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jc w:val="center"/>
        <w:ind w:right="-820"/>
        <w:spacing w:after="0"/>
        <w:rPr>
          <w:sz w:val="20"/>
          <w:szCs w:val="20"/>
          <w:color w:val="auto"/>
        </w:rPr>
      </w:pPr>
      <w:r>
        <w:rPr>
          <w:rFonts w:ascii="Arial" w:cs="Arial" w:eastAsia="Arial" w:hAnsi="Arial"/>
          <w:sz w:val="16"/>
          <w:szCs w:val="16"/>
          <w:b w:val="1"/>
          <w:bCs w:val="1"/>
          <w:color w:val="auto"/>
        </w:rPr>
        <w:t>UNITED STATES</w:t>
      </w:r>
    </w:p>
    <w:p>
      <w:pPr>
        <w:spacing w:after="0" w:line="32" w:lineRule="exact"/>
        <w:rPr>
          <w:sz w:val="24"/>
          <w:szCs w:val="24"/>
          <w:color w:val="auto"/>
        </w:rPr>
      </w:pPr>
    </w:p>
    <w:p>
      <w:pPr>
        <w:jc w:val="center"/>
        <w:ind w:right="-820"/>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ind w:right="-820"/>
        <w:spacing w:after="0"/>
        <w:rPr>
          <w:sz w:val="20"/>
          <w:szCs w:val="20"/>
          <w:color w:val="auto"/>
        </w:rPr>
      </w:pPr>
      <w:r>
        <w:rPr>
          <w:rFonts w:ascii="Arial" w:cs="Arial" w:eastAsia="Arial" w:hAnsi="Arial"/>
          <w:sz w:val="16"/>
          <w:szCs w:val="16"/>
          <w:b w:val="1"/>
          <w:bCs w:val="1"/>
          <w:color w:val="auto"/>
        </w:rPr>
        <w:t>Washington, D.C. 20549</w:t>
      </w:r>
    </w:p>
    <w:p>
      <w:pPr>
        <w:spacing w:after="0" w:line="155" w:lineRule="exact"/>
        <w:rPr>
          <w:sz w:val="24"/>
          <w:szCs w:val="24"/>
          <w:color w:val="auto"/>
        </w:rPr>
      </w:pPr>
    </w:p>
    <w:p>
      <w:pPr>
        <w:jc w:val="center"/>
        <w:ind w:right="-820"/>
        <w:spacing w:after="0"/>
        <w:rPr>
          <w:sz w:val="20"/>
          <w:szCs w:val="20"/>
          <w:color w:val="auto"/>
        </w:rPr>
      </w:pPr>
      <w:r>
        <w:rPr>
          <w:rFonts w:ascii="Arial" w:cs="Arial" w:eastAsia="Arial" w:hAnsi="Arial"/>
          <w:sz w:val="25"/>
          <w:szCs w:val="25"/>
          <w:b w:val="1"/>
          <w:bCs w:val="1"/>
          <w:color w:val="auto"/>
        </w:rPr>
        <w:t>SCHEDULE 14A</w:t>
      </w:r>
    </w:p>
    <w:p>
      <w:pPr>
        <w:spacing w:after="0" w:line="190"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Proxy Statement Pursuant to Section 14(a) of</w:t>
      </w:r>
    </w:p>
    <w:p>
      <w:pPr>
        <w:spacing w:after="0" w:line="32" w:lineRule="exact"/>
        <w:rPr>
          <w:sz w:val="24"/>
          <w:szCs w:val="24"/>
          <w:color w:val="auto"/>
        </w:rPr>
      </w:pPr>
    </w:p>
    <w:p>
      <w:pPr>
        <w:jc w:val="center"/>
        <w:ind w:right="-820"/>
        <w:spacing w:after="0"/>
        <w:tabs>
          <w:tab w:leader="none" w:pos="300" w:val="left"/>
        </w:tabs>
        <w:rPr>
          <w:sz w:val="20"/>
          <w:szCs w:val="20"/>
          <w:color w:val="auto"/>
        </w:rPr>
      </w:pPr>
      <w:r>
        <w:rPr>
          <w:rFonts w:ascii="Arial" w:cs="Arial" w:eastAsia="Arial" w:hAnsi="Arial"/>
          <w:sz w:val="16"/>
          <w:szCs w:val="16"/>
          <w:color w:val="auto"/>
        </w:rPr>
        <w:t>the Securities Exchange Act of 1934 (Amendment No.</w:t>
      </w:r>
      <w:r>
        <w:rPr>
          <w:sz w:val="20"/>
          <w:szCs w:val="20"/>
          <w:color w:val="auto"/>
        </w:rPr>
        <w:tab/>
      </w:r>
      <w:r>
        <w:rPr>
          <w:rFonts w:ascii="Arial" w:cs="Arial" w:eastAsia="Arial" w:hAnsi="Arial"/>
          <w:sz w:val="16"/>
          <w:szCs w:val="16"/>
          <w:color w:val="auto"/>
        </w:rPr>
        <w:t>)</w:t>
      </w:r>
    </w:p>
    <w:p>
      <w:pPr>
        <w:spacing w:after="0" w:line="139" w:lineRule="exact"/>
        <w:rPr>
          <w:sz w:val="24"/>
          <w:szCs w:val="24"/>
          <w:color w:val="auto"/>
        </w:rPr>
      </w:pPr>
    </w:p>
    <w:p>
      <w:pPr>
        <w:ind w:left="660"/>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181" w:lineRule="exact"/>
        <w:rPr>
          <w:sz w:val="24"/>
          <w:szCs w:val="24"/>
          <w:color w:val="auto"/>
        </w:rPr>
      </w:pPr>
    </w:p>
    <w:p>
      <w:pPr>
        <w:ind w:left="660"/>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9" w:lineRule="exact"/>
        <w:rPr>
          <w:sz w:val="24"/>
          <w:szCs w:val="24"/>
          <w:color w:val="auto"/>
        </w:rPr>
      </w:pPr>
    </w:p>
    <w:p>
      <w:pPr>
        <w:ind w:left="660"/>
        <w:spacing w:after="0"/>
        <w:rPr>
          <w:sz w:val="20"/>
          <w:szCs w:val="20"/>
          <w:color w:val="auto"/>
        </w:rPr>
      </w:pPr>
      <w:r>
        <w:rPr>
          <w:rFonts w:ascii="Arial" w:cs="Arial" w:eastAsia="Arial" w:hAnsi="Arial"/>
          <w:sz w:val="16"/>
          <w:szCs w:val="16"/>
          <w:color w:val="auto"/>
        </w:rPr>
        <w:t>Check the appropriate box:</w:t>
      </w:r>
    </w:p>
    <w:p>
      <w:pPr>
        <w:spacing w:after="0" w:line="181" w:lineRule="exact"/>
        <w:rPr>
          <w:sz w:val="24"/>
          <w:szCs w:val="24"/>
          <w:color w:val="auto"/>
        </w:rPr>
      </w:pPr>
    </w:p>
    <w:p>
      <w:pPr>
        <w:ind w:left="1020" w:hanging="366"/>
        <w:spacing w:after="0"/>
        <w:tabs>
          <w:tab w:leader="none" w:pos="10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60" w:lineRule="exact"/>
        <w:rPr>
          <w:rFonts w:ascii="MS PGothic" w:cs="MS PGothic" w:eastAsia="MS PGothic" w:hAnsi="MS PGothic"/>
          <w:sz w:val="16"/>
          <w:szCs w:val="16"/>
          <w:color w:val="auto"/>
        </w:rPr>
      </w:pPr>
    </w:p>
    <w:p>
      <w:pPr>
        <w:ind w:left="1020" w:hanging="366"/>
        <w:spacing w:after="0"/>
        <w:tabs>
          <w:tab w:leader="none" w:pos="10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87" w:lineRule="exact"/>
        <w:rPr>
          <w:sz w:val="24"/>
          <w:szCs w:val="24"/>
          <w:color w:val="auto"/>
        </w:rPr>
      </w:pPr>
    </w:p>
    <w:p>
      <w:pPr>
        <w:ind w:left="1020" w:hanging="366"/>
        <w:spacing w:after="0"/>
        <w:tabs>
          <w:tab w:leader="none" w:pos="102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81" w:lineRule="exact"/>
        <w:rPr>
          <w:sz w:val="24"/>
          <w:szCs w:val="24"/>
          <w:color w:val="auto"/>
        </w:rPr>
      </w:pPr>
    </w:p>
    <w:p>
      <w:pPr>
        <w:ind w:left="1020" w:hanging="366"/>
        <w:spacing w:after="0"/>
        <w:tabs>
          <w:tab w:leader="none" w:pos="102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80" w:lineRule="exact"/>
        <w:rPr>
          <w:rFonts w:ascii="MS PGothic" w:cs="MS PGothic" w:eastAsia="MS PGothic" w:hAnsi="MS PGothic"/>
          <w:sz w:val="16"/>
          <w:szCs w:val="16"/>
          <w:color w:val="auto"/>
        </w:rPr>
      </w:pPr>
    </w:p>
    <w:p>
      <w:pPr>
        <w:ind w:left="1020" w:hanging="366"/>
        <w:spacing w:after="0"/>
        <w:tabs>
          <w:tab w:leader="none" w:pos="102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1631315</wp:posOffset>
            </wp:positionH>
            <wp:positionV relativeFrom="paragraph">
              <wp:posOffset>130810</wp:posOffset>
            </wp:positionV>
            <wp:extent cx="3540125" cy="2317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40125" cy="2317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820"/>
        <w:spacing w:after="0"/>
        <w:rPr>
          <w:sz w:val="20"/>
          <w:szCs w:val="20"/>
          <w:color w:val="auto"/>
        </w:rPr>
      </w:pPr>
      <w:r>
        <w:rPr>
          <w:rFonts w:ascii="Arial" w:cs="Arial" w:eastAsia="Arial" w:hAnsi="Arial"/>
          <w:sz w:val="16"/>
          <w:szCs w:val="16"/>
          <w:b w:val="1"/>
          <w:bCs w:val="1"/>
          <w:color w:val="auto"/>
        </w:rPr>
        <w:t>Lucid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414020</wp:posOffset>
            </wp:positionH>
            <wp:positionV relativeFrom="paragraph">
              <wp:posOffset>66040</wp:posOffset>
            </wp:positionV>
            <wp:extent cx="59664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67"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414020</wp:posOffset>
            </wp:positionH>
            <wp:positionV relativeFrom="paragraph">
              <wp:posOffset>285115</wp:posOffset>
            </wp:positionV>
            <wp:extent cx="59664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ind w:left="278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16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Payment of Filing Fee (Check the appropriate box):</w:t>
      </w:r>
    </w:p>
    <w:p>
      <w:pPr>
        <w:spacing w:after="0" w:line="181" w:lineRule="exact"/>
        <w:rPr>
          <w:sz w:val="24"/>
          <w:szCs w:val="24"/>
          <w:color w:val="auto"/>
        </w:rPr>
      </w:pPr>
    </w:p>
    <w:p>
      <w:pPr>
        <w:ind w:left="1020" w:hanging="366"/>
        <w:spacing w:after="0"/>
        <w:tabs>
          <w:tab w:leader="none" w:pos="102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67" w:lineRule="exact"/>
        <w:rPr>
          <w:sz w:val="24"/>
          <w:szCs w:val="24"/>
          <w:color w:val="auto"/>
        </w:rPr>
      </w:pPr>
    </w:p>
    <w:p>
      <w:pPr>
        <w:ind w:left="1020" w:hanging="366"/>
        <w:spacing w:after="0"/>
        <w:tabs>
          <w:tab w:leader="none" w:pos="102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80" w:lineRule="exact"/>
        <w:rPr>
          <w:rFonts w:ascii="MS PGothic" w:cs="MS PGothic" w:eastAsia="MS PGothic" w:hAnsi="MS PGothic"/>
          <w:sz w:val="16"/>
          <w:szCs w:val="16"/>
          <w:color w:val="auto"/>
        </w:rPr>
      </w:pPr>
    </w:p>
    <w:p>
      <w:pPr>
        <w:ind w:left="1020" w:hanging="366"/>
        <w:spacing w:after="0"/>
        <w:tabs>
          <w:tab w:leader="none" w:pos="102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2972435</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39" w:right="1440" w:bottom="1440" w:gutter="0" w:footer="0" w:header="0"/>
        </w:sectPr>
      </w:pPr>
    </w:p>
    <w:bookmarkStart w:id="1" w:name="page2"/>
    <w:bookmarkEnd w:id="1"/>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-96520</wp:posOffset>
            </wp:positionV>
            <wp:extent cx="7016115" cy="91338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6115" cy="9133840"/>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10378440</wp:posOffset>
            </wp:positionV>
            <wp:extent cx="2614295"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14295" cy="4000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-96520</wp:posOffset>
            </wp:positionV>
            <wp:extent cx="2614295" cy="58204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14295" cy="5820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Arial" w:cs="Arial" w:eastAsia="Arial" w:hAnsi="Arial"/>
          <w:sz w:val="36"/>
          <w:szCs w:val="36"/>
          <w:b w:val="1"/>
          <w:bCs w:val="1"/>
          <w:color w:val="FEFEFE"/>
        </w:rPr>
        <w:t>Letter to</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31"/>
          <w:szCs w:val="31"/>
          <w:b w:val="1"/>
          <w:bCs w:val="1"/>
          <w:color w:val="FEFEFE"/>
        </w:rPr>
        <w:t>Stockholders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C4B592"/>
        </w:rPr>
        <w:t>Peter Rawlinson</w:t>
      </w:r>
    </w:p>
    <w:p>
      <w:pPr>
        <w:spacing w:after="0" w:line="52" w:lineRule="exact"/>
        <w:rPr>
          <w:sz w:val="20"/>
          <w:szCs w:val="20"/>
          <w:color w:val="auto"/>
        </w:rPr>
      </w:pPr>
    </w:p>
    <w:p>
      <w:pPr>
        <w:ind w:left="660"/>
        <w:spacing w:after="0"/>
        <w:rPr>
          <w:sz w:val="20"/>
          <w:szCs w:val="20"/>
          <w:color w:val="auto"/>
        </w:rPr>
      </w:pPr>
      <w:r>
        <w:rPr>
          <w:rFonts w:ascii="Arial" w:cs="Arial" w:eastAsia="Arial" w:hAnsi="Arial"/>
          <w:sz w:val="16"/>
          <w:szCs w:val="16"/>
          <w:color w:val="FEFEFE"/>
        </w:rPr>
        <w:t>Chief Executive Officer &amp;</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FEFEFE"/>
        </w:rPr>
        <w:t>Chief Technology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April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-460375</wp:posOffset>
            </wp:positionV>
            <wp:extent cx="1414780" cy="94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4780" cy="9461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Dear Stockholders,</w:t>
      </w:r>
    </w:p>
    <w:p>
      <w:pPr>
        <w:spacing w:after="0" w:line="24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As we approach the culmination of our very first year as a public company, I want to take a moment to reflect upon our modest beginnings, how far we’ve come, a few important milestones along the way, and our vision for the future.</w:t>
      </w:r>
    </w:p>
    <w:p>
      <w:pPr>
        <w:spacing w:after="0" w:line="203"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We began our journey with a modest but dedicated team, united by a common mission to inspire the adoption of sustainable transportation, and a goal to create the most captivating luxury electric vehicles in the world through advanced in-house technology. After many years of struggle and innumerable hurdles, our relentless perseverance was finally rewarded with the introduction of the Lucid Air, what I believe to be the single most advanced EV in production today, bar none.</w:t>
      </w:r>
    </w:p>
    <w:p>
      <w:pPr>
        <w:spacing w:after="0" w:line="204"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I believe now, more than ever, that technology will be the determining factor that divides the market into winners and losers. This truly is a technology race, set to play out over the coming years. We plan to continue to differentiate ourselves by using our technological prowess to advance EVs with world class range and performance and efficiency.</w:t>
      </w:r>
    </w:p>
    <w:p>
      <w:pPr>
        <w:spacing w:after="0" w:line="20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Designing, developing and manufacturing our very own, complete EV powertrain in-house, including battery pack, electric motors, power electronics and Wunderbox, sets us apart as a technology company unconstrained by traditional limitations. Coupled with a world class design and a 0.21 coefficient of drag, the Lucid Air achieves an unprecedented efficiency of up to 4.6 miles per kilowatt hour. Unlike a gas car, where the benefit of efficiency is only felt through the cost at the gas pump, efficiency in an EV fundamentally influences everything from range to interior space to manufacturing cost. Whereas an efficient gas car merely costs less in fuel, an efficient EV is a fundamentally superior product in so many ways — and also has less environmental impact.</w:t>
      </w:r>
    </w:p>
    <w:p>
      <w:pPr>
        <w:spacing w:after="0" w:line="20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Because our cars are so efficient, they are capable of going further for a given size of battery pack. Our future variants, such as Lucid Air Pure, can then achieve a competitive range with a smaller battery than our competitors. This then becomes a fundamental commercial advantage as the battery pack is the single most expensive item in an EV. Furthermore, if the world becomes constrained by nickel, lithium or cell quantities in general, we will be able to manufacture more cars than our competitors for a given supply.</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886B25"/>
        </w:rPr>
        <w:t>Major Milestones</w:t>
      </w:r>
    </w:p>
    <w:p>
      <w:pPr>
        <w:spacing w:after="0" w:line="205"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As I’ve often said, we would not achieve anything as a company until our cars were in the hands of customers. In October 2021, we achieved this significant milestone — undeniably my proudest moment at the company so far. I am grateful to all those who helped us accomplish this and all our other recent achievements as this is truly a team effort:</w:t>
      </w:r>
    </w:p>
    <w:p>
      <w:pPr>
        <w:spacing w:after="0" w:line="123" w:lineRule="exact"/>
        <w:rPr>
          <w:sz w:val="20"/>
          <w:szCs w:val="20"/>
          <w:color w:val="auto"/>
        </w:rPr>
      </w:pPr>
    </w:p>
    <w:p>
      <w:pPr>
        <w:ind w:left="160" w:right="160" w:hanging="154"/>
        <w:spacing w:after="0" w:line="295" w:lineRule="auto"/>
        <w:tabs>
          <w:tab w:leader="none" w:pos="160" w:val="left"/>
        </w:tabs>
        <w:numPr>
          <w:ilvl w:val="0"/>
          <w:numId w:val="6"/>
        </w:numPr>
        <w:rPr>
          <w:rFonts w:ascii="Arial" w:cs="Arial" w:eastAsia="Arial" w:hAnsi="Arial"/>
          <w:sz w:val="16"/>
          <w:szCs w:val="16"/>
          <w:color w:val="886B25"/>
        </w:rPr>
      </w:pPr>
      <w:r>
        <w:rPr>
          <w:rFonts w:ascii="Arial" w:cs="Arial" w:eastAsia="Arial" w:hAnsi="Arial"/>
          <w:sz w:val="16"/>
          <w:szCs w:val="16"/>
          <w:color w:val="auto"/>
        </w:rPr>
        <w:t>In July 2021, we became a public company with our listing on Nasdaq as LCID.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667385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3780" w:space="720"/>
            <w:col w:w="5540"/>
          </w:cols>
          <w:pgMar w:left="580" w:top="131" w:right="1279" w:bottom="1440" w:gutter="0" w:footer="0" w:header="0"/>
        </w:sectPr>
      </w:pPr>
    </w:p>
    <w:bookmarkStart w:id="3" w:name="page4"/>
    <w:bookmarkEnd w:id="3"/>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660" w:right="20" w:hanging="154"/>
        <w:spacing w:after="0" w:line="286" w:lineRule="auto"/>
        <w:tabs>
          <w:tab w:leader="none" w:pos="4660" w:val="left"/>
        </w:tabs>
        <w:numPr>
          <w:ilvl w:val="0"/>
          <w:numId w:val="7"/>
        </w:numPr>
        <w:rPr>
          <w:rFonts w:ascii="Arial" w:cs="Arial" w:eastAsia="Arial" w:hAnsi="Arial"/>
          <w:sz w:val="16"/>
          <w:szCs w:val="16"/>
          <w:color w:val="886B25"/>
        </w:rPr>
      </w:pPr>
      <w:r>
        <w:rPr>
          <w:rFonts w:ascii="Arial" w:cs="Arial" w:eastAsia="Arial" w:hAnsi="Arial"/>
          <w:sz w:val="16"/>
          <w:szCs w:val="16"/>
          <w:color w:val="auto"/>
        </w:rPr>
        <w:t>Also in July, we appointed four new Board members, bringing the total to nine, eight of whom are independent. These members augment a Board of seasoned, accomplished, and respected leaders who bring a wide and diverse range of experiences.</w:t>
      </w:r>
    </w:p>
    <w:p>
      <w:pPr>
        <w:spacing w:after="0" w:line="108" w:lineRule="exact"/>
        <w:rPr>
          <w:rFonts w:ascii="Arial" w:cs="Arial" w:eastAsia="Arial" w:hAnsi="Arial"/>
          <w:sz w:val="16"/>
          <w:szCs w:val="16"/>
          <w:color w:val="886B25"/>
        </w:rPr>
      </w:pPr>
    </w:p>
    <w:p>
      <w:pPr>
        <w:ind w:left="4660" w:right="320" w:hanging="154"/>
        <w:spacing w:after="0" w:line="281" w:lineRule="auto"/>
        <w:tabs>
          <w:tab w:leader="none" w:pos="4660" w:val="left"/>
        </w:tabs>
        <w:numPr>
          <w:ilvl w:val="0"/>
          <w:numId w:val="7"/>
        </w:numPr>
        <w:rPr>
          <w:rFonts w:ascii="Arial" w:cs="Arial" w:eastAsia="Arial" w:hAnsi="Arial"/>
          <w:sz w:val="16"/>
          <w:szCs w:val="16"/>
          <w:color w:val="886B25"/>
        </w:rPr>
      </w:pPr>
      <w:r>
        <w:rPr>
          <w:rFonts w:ascii="Arial" w:cs="Arial" w:eastAsia="Arial" w:hAnsi="Arial"/>
          <w:sz w:val="16"/>
          <w:szCs w:val="16"/>
          <w:color w:val="auto"/>
        </w:rPr>
        <w:t>In September 2021, the EPA released its official range estimate for the Lucid Air Dream Edition and Lucid Air Grand Touring, certifying that</w:t>
      </w:r>
    </w:p>
    <w:p>
      <w:pPr>
        <w:spacing w:after="0" w:line="1" w:lineRule="exact"/>
        <w:rPr>
          <w:rFonts w:ascii="Arial" w:cs="Arial" w:eastAsia="Arial" w:hAnsi="Arial"/>
          <w:sz w:val="16"/>
          <w:szCs w:val="16"/>
          <w:color w:val="886B25"/>
        </w:rPr>
      </w:pPr>
    </w:p>
    <w:p>
      <w:pPr>
        <w:ind w:left="4660" w:right="20"/>
        <w:spacing w:after="0" w:line="286" w:lineRule="auto"/>
        <w:rPr>
          <w:rFonts w:ascii="Arial" w:cs="Arial" w:eastAsia="Arial" w:hAnsi="Arial"/>
          <w:sz w:val="16"/>
          <w:szCs w:val="16"/>
          <w:color w:val="886B25"/>
        </w:rPr>
      </w:pPr>
      <w:r>
        <w:rPr>
          <w:rFonts w:ascii="Arial" w:cs="Arial" w:eastAsia="Arial" w:hAnsi="Arial"/>
          <w:sz w:val="16"/>
          <w:szCs w:val="16"/>
          <w:color w:val="auto"/>
        </w:rPr>
        <w:t xml:space="preserve">versions of each vehicle have range in excess of 500 miles per charge and that the Dream Edition Range has the </w:t>
      </w:r>
      <w:r>
        <w:rPr>
          <w:rFonts w:ascii="Arial" w:cs="Arial" w:eastAsia="Arial" w:hAnsi="Arial"/>
          <w:sz w:val="16"/>
          <w:szCs w:val="16"/>
          <w:i w:val="1"/>
          <w:iCs w:val="1"/>
          <w:color w:val="auto"/>
        </w:rPr>
        <w:t>longest range for any electric car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ever rated by the EPA at 520 miles on a single charge </w:t>
      </w:r>
      <w:r>
        <w:rPr>
          <w:rFonts w:ascii="Arial" w:cs="Arial" w:eastAsia="Arial" w:hAnsi="Arial"/>
          <w:sz w:val="16"/>
          <w:szCs w:val="16"/>
          <w:color w:val="auto"/>
        </w:rPr>
        <w:t>— more than 100</w:t>
      </w:r>
      <w:r>
        <w:rPr>
          <w:rFonts w:ascii="Arial" w:cs="Arial" w:eastAsia="Arial" w:hAnsi="Arial"/>
          <w:sz w:val="16"/>
          <w:szCs w:val="16"/>
          <w:i w:val="1"/>
          <w:iCs w:val="1"/>
          <w:color w:val="auto"/>
        </w:rPr>
        <w:t xml:space="preserve"> </w:t>
      </w:r>
      <w:r>
        <w:rPr>
          <w:rFonts w:ascii="Arial" w:cs="Arial" w:eastAsia="Arial" w:hAnsi="Arial"/>
          <w:sz w:val="16"/>
          <w:szCs w:val="16"/>
          <w:color w:val="auto"/>
        </w:rPr>
        <w:t>miles over its closest competitor.</w:t>
      </w:r>
    </w:p>
    <w:p>
      <w:pPr>
        <w:spacing w:after="0" w:line="108" w:lineRule="exact"/>
        <w:rPr>
          <w:rFonts w:ascii="Arial" w:cs="Arial" w:eastAsia="Arial" w:hAnsi="Arial"/>
          <w:sz w:val="16"/>
          <w:szCs w:val="16"/>
          <w:color w:val="886B25"/>
        </w:rPr>
      </w:pPr>
    </w:p>
    <w:p>
      <w:pPr>
        <w:ind w:left="4660" w:right="180" w:hanging="154"/>
        <w:spacing w:after="0" w:line="281" w:lineRule="auto"/>
        <w:tabs>
          <w:tab w:leader="none" w:pos="4660" w:val="left"/>
        </w:tabs>
        <w:numPr>
          <w:ilvl w:val="0"/>
          <w:numId w:val="7"/>
        </w:numPr>
        <w:rPr>
          <w:rFonts w:ascii="Arial" w:cs="Arial" w:eastAsia="Arial" w:hAnsi="Arial"/>
          <w:sz w:val="16"/>
          <w:szCs w:val="16"/>
          <w:color w:val="886B25"/>
        </w:rPr>
      </w:pPr>
      <w:r>
        <w:rPr>
          <w:rFonts w:ascii="Arial" w:cs="Arial" w:eastAsia="Arial" w:hAnsi="Arial"/>
          <w:sz w:val="16"/>
          <w:szCs w:val="16"/>
          <w:color w:val="auto"/>
        </w:rPr>
        <w:t>Also in September, the first customer-quality Lucid Air luxury electric sedans began rolling off the assembly line of our Case Grande, Arizona factory — the very first greenfield dedicated EV factory in North America. We also announced plans to quadruple its size with an additional</w:t>
      </w:r>
    </w:p>
    <w:p>
      <w:pPr>
        <w:spacing w:after="0" w:line="2" w:lineRule="exact"/>
        <w:rPr>
          <w:rFonts w:ascii="Arial" w:cs="Arial" w:eastAsia="Arial" w:hAnsi="Arial"/>
          <w:sz w:val="16"/>
          <w:szCs w:val="16"/>
          <w:color w:val="886B25"/>
        </w:rPr>
      </w:pPr>
    </w:p>
    <w:p>
      <w:pPr>
        <w:ind w:left="4660"/>
        <w:spacing w:after="0"/>
        <w:rPr>
          <w:rFonts w:ascii="Arial" w:cs="Arial" w:eastAsia="Arial" w:hAnsi="Arial"/>
          <w:sz w:val="16"/>
          <w:szCs w:val="16"/>
          <w:color w:val="886B25"/>
        </w:rPr>
      </w:pPr>
      <w:r>
        <w:rPr>
          <w:rFonts w:ascii="Arial" w:cs="Arial" w:eastAsia="Arial" w:hAnsi="Arial"/>
          <w:sz w:val="16"/>
          <w:szCs w:val="16"/>
          <w:color w:val="auto"/>
        </w:rPr>
        <w:t>2.85 million square feet in 2023.</w:t>
      </w:r>
    </w:p>
    <w:p>
      <w:pPr>
        <w:spacing w:after="0" w:line="140" w:lineRule="exact"/>
        <w:rPr>
          <w:rFonts w:ascii="Arial" w:cs="Arial" w:eastAsia="Arial" w:hAnsi="Arial"/>
          <w:sz w:val="16"/>
          <w:szCs w:val="16"/>
          <w:color w:val="886B25"/>
        </w:rPr>
      </w:pPr>
    </w:p>
    <w:p>
      <w:pPr>
        <w:ind w:left="4660" w:hanging="154"/>
        <w:spacing w:after="0" w:line="295" w:lineRule="auto"/>
        <w:tabs>
          <w:tab w:leader="none" w:pos="4660" w:val="left"/>
        </w:tabs>
        <w:numPr>
          <w:ilvl w:val="0"/>
          <w:numId w:val="7"/>
        </w:numPr>
        <w:rPr>
          <w:rFonts w:ascii="Arial" w:cs="Arial" w:eastAsia="Arial" w:hAnsi="Arial"/>
          <w:sz w:val="16"/>
          <w:szCs w:val="16"/>
          <w:color w:val="886B25"/>
        </w:rPr>
      </w:pPr>
      <w:r>
        <w:rPr>
          <w:rFonts w:ascii="Arial" w:cs="Arial" w:eastAsia="Arial" w:hAnsi="Arial"/>
          <w:sz w:val="16"/>
          <w:szCs w:val="16"/>
          <w:color w:val="auto"/>
        </w:rPr>
        <w:t>In October 2021, we began delivering the very first Lucid Air Dream Edition models to the delight of our first customers in North America.</w:t>
      </w:r>
    </w:p>
    <w:p>
      <w:pPr>
        <w:spacing w:after="0" w:line="101" w:lineRule="exact"/>
        <w:rPr>
          <w:rFonts w:ascii="Arial" w:cs="Arial" w:eastAsia="Arial" w:hAnsi="Arial"/>
          <w:sz w:val="16"/>
          <w:szCs w:val="16"/>
          <w:color w:val="886B25"/>
        </w:rPr>
      </w:pPr>
    </w:p>
    <w:p>
      <w:pPr>
        <w:ind w:left="4660" w:hanging="154"/>
        <w:spacing w:after="0"/>
        <w:tabs>
          <w:tab w:leader="none" w:pos="4660" w:val="left"/>
        </w:tabs>
        <w:numPr>
          <w:ilvl w:val="0"/>
          <w:numId w:val="7"/>
        </w:numPr>
        <w:rPr>
          <w:rFonts w:ascii="Arial" w:cs="Arial" w:eastAsia="Arial" w:hAnsi="Arial"/>
          <w:sz w:val="16"/>
          <w:szCs w:val="16"/>
          <w:color w:val="886B25"/>
        </w:rPr>
      </w:pPr>
      <w:r>
        <w:rPr>
          <w:rFonts w:ascii="Arial" w:cs="Arial" w:eastAsia="Arial" w:hAnsi="Arial"/>
          <w:sz w:val="16"/>
          <w:szCs w:val="16"/>
          <w:color w:val="auto"/>
        </w:rPr>
        <w:t>In November 2021, we were honored to be awarded the 2022 MotorTrend</w:t>
      </w:r>
    </w:p>
    <w:p>
      <w:pPr>
        <w:spacing w:after="0" w:line="32" w:lineRule="exact"/>
        <w:rPr>
          <w:rFonts w:ascii="Arial" w:cs="Arial" w:eastAsia="Arial" w:hAnsi="Arial"/>
          <w:sz w:val="16"/>
          <w:szCs w:val="16"/>
          <w:color w:val="886B25"/>
        </w:rPr>
      </w:pPr>
    </w:p>
    <w:p>
      <w:pPr>
        <w:ind w:left="4660" w:right="120"/>
        <w:spacing w:after="0" w:line="288" w:lineRule="auto"/>
        <w:rPr>
          <w:rFonts w:ascii="Arial" w:cs="Arial" w:eastAsia="Arial" w:hAnsi="Arial"/>
          <w:sz w:val="16"/>
          <w:szCs w:val="16"/>
          <w:color w:val="886B25"/>
        </w:rPr>
      </w:pPr>
      <w:r>
        <w:rPr>
          <w:rFonts w:ascii="Arial" w:cs="Arial" w:eastAsia="Arial" w:hAnsi="Arial"/>
          <w:sz w:val="16"/>
          <w:szCs w:val="16"/>
          <w:color w:val="auto"/>
        </w:rPr>
        <w:t xml:space="preserve">Car of the Year, the most prestigious award in the automotive industry, for Lucid Air — </w:t>
      </w:r>
      <w:r>
        <w:rPr>
          <w:rFonts w:ascii="Arial" w:cs="Arial" w:eastAsia="Arial" w:hAnsi="Arial"/>
          <w:sz w:val="16"/>
          <w:szCs w:val="16"/>
          <w:i w:val="1"/>
          <w:iCs w:val="1"/>
          <w:color w:val="auto"/>
        </w:rPr>
        <w:t>our very first car</w:t>
      </w:r>
      <w:r>
        <w:rPr>
          <w:rFonts w:ascii="Arial" w:cs="Arial" w:eastAsia="Arial" w:hAnsi="Arial"/>
          <w:sz w:val="16"/>
          <w:szCs w:val="16"/>
          <w:color w:val="auto"/>
        </w:rPr>
        <w:t xml:space="preserve"> — and a resounding endorsement of our ability to deliver the most advanced electric vehicles in the world.</w:t>
      </w:r>
    </w:p>
    <w:p>
      <w:pPr>
        <w:spacing w:after="0" w:line="107" w:lineRule="exact"/>
        <w:rPr>
          <w:rFonts w:ascii="Arial" w:cs="Arial" w:eastAsia="Arial" w:hAnsi="Arial"/>
          <w:sz w:val="16"/>
          <w:szCs w:val="16"/>
          <w:color w:val="886B25"/>
        </w:rPr>
      </w:pPr>
    </w:p>
    <w:p>
      <w:pPr>
        <w:ind w:left="4660" w:right="20" w:hanging="154"/>
        <w:spacing w:after="0" w:line="295" w:lineRule="auto"/>
        <w:tabs>
          <w:tab w:leader="none" w:pos="4660" w:val="left"/>
        </w:tabs>
        <w:numPr>
          <w:ilvl w:val="0"/>
          <w:numId w:val="7"/>
        </w:numPr>
        <w:rPr>
          <w:rFonts w:ascii="Arial" w:cs="Arial" w:eastAsia="Arial" w:hAnsi="Arial"/>
          <w:sz w:val="16"/>
          <w:szCs w:val="16"/>
          <w:color w:val="886B25"/>
        </w:rPr>
      </w:pPr>
      <w:r>
        <w:rPr>
          <w:rFonts w:ascii="Arial" w:cs="Arial" w:eastAsia="Arial" w:hAnsi="Arial"/>
          <w:sz w:val="16"/>
          <w:szCs w:val="16"/>
          <w:color w:val="auto"/>
        </w:rPr>
        <w:t>In December 2021, we became a part of the prestigious Nasdaq 100 Index and raised an additional $2 billion in convertible green bonds.</w:t>
      </w:r>
    </w:p>
    <w:p>
      <w:pPr>
        <w:spacing w:after="0" w:line="182" w:lineRule="exact"/>
        <w:rPr>
          <w:sz w:val="20"/>
          <w:szCs w:val="20"/>
          <w:color w:val="auto"/>
        </w:rPr>
      </w:pPr>
    </w:p>
    <w:p>
      <w:pPr>
        <w:ind w:left="4500" w:right="40"/>
        <w:spacing w:after="0" w:line="267" w:lineRule="auto"/>
        <w:rPr>
          <w:sz w:val="20"/>
          <w:szCs w:val="20"/>
          <w:color w:val="auto"/>
        </w:rPr>
      </w:pPr>
      <w:r>
        <w:rPr>
          <w:rFonts w:ascii="Arial" w:cs="Arial" w:eastAsia="Arial" w:hAnsi="Arial"/>
          <w:sz w:val="16"/>
          <w:szCs w:val="16"/>
          <w:color w:val="auto"/>
        </w:rPr>
        <w:t>In fiscal year 2021, we continued to attract talent and expand our talent pool, growing our employee base from about 1,600 to about 3,900. To date, we have also opened 24 Studio and Service locations in North America, further expanding our direct-to-consumer studio network, delivering a world class customer experience and attracting new customers to the brand.</w:t>
      </w:r>
    </w:p>
    <w:p>
      <w:pPr>
        <w:spacing w:after="0" w:line="203"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886B25"/>
        </w:rPr>
        <w:t>And It’s Just the Beginning</w:t>
      </w:r>
    </w:p>
    <w:p>
      <w:pPr>
        <w:spacing w:after="0" w:line="192" w:lineRule="exact"/>
        <w:rPr>
          <w:sz w:val="20"/>
          <w:szCs w:val="20"/>
          <w:color w:val="auto"/>
        </w:rPr>
      </w:pPr>
    </w:p>
    <w:p>
      <w:pPr>
        <w:jc w:val="both"/>
        <w:ind w:left="4500" w:right="100"/>
        <w:spacing w:after="0" w:line="271" w:lineRule="auto"/>
        <w:rPr>
          <w:sz w:val="20"/>
          <w:szCs w:val="20"/>
          <w:color w:val="auto"/>
        </w:rPr>
      </w:pPr>
      <w:r>
        <w:rPr>
          <w:rFonts w:ascii="Arial" w:cs="Arial" w:eastAsia="Arial" w:hAnsi="Arial"/>
          <w:sz w:val="16"/>
          <w:szCs w:val="16"/>
          <w:color w:val="auto"/>
        </w:rPr>
        <w:t>Whilst I am heartened by what we have achieved to date, in many ways this is just the beginning. We continue to expand our world-class team of people that are dedicated to our mission of making the planet a better place.</w:t>
      </w:r>
    </w:p>
    <w:p>
      <w:pPr>
        <w:spacing w:after="0" w:line="200" w:lineRule="exact"/>
        <w:rPr>
          <w:sz w:val="20"/>
          <w:szCs w:val="20"/>
          <w:color w:val="auto"/>
        </w:rPr>
      </w:pPr>
    </w:p>
    <w:p>
      <w:pPr>
        <w:ind w:left="4500"/>
        <w:spacing w:after="0" w:line="266" w:lineRule="auto"/>
        <w:rPr>
          <w:sz w:val="20"/>
          <w:szCs w:val="20"/>
          <w:color w:val="auto"/>
        </w:rPr>
      </w:pPr>
      <w:r>
        <w:rPr>
          <w:rFonts w:ascii="Arial" w:cs="Arial" w:eastAsia="Arial" w:hAnsi="Arial"/>
          <w:sz w:val="16"/>
          <w:szCs w:val="16"/>
          <w:color w:val="auto"/>
        </w:rPr>
        <w:t>We remain intently focused on ramping production to deliver vehicles to our patient and loyal customers and are very excited about our product roadmap in 2022 and beyond. We are delivering Lucid Air Grand Touring models today, and we expect to begin customer deliveries of Lucid Air Touring and Pure models later this year. We also have plans to introduce our Gravity SUV model in 2024, with much more to follow. Later this year, we will expand our global presence for sales and service into Europe and the Middle East while laying the foundation for Asia Pacific markets in 2023.</w:t>
      </w:r>
    </w:p>
    <w:p>
      <w:pPr>
        <w:spacing w:after="0" w:line="205" w:lineRule="exact"/>
        <w:rPr>
          <w:sz w:val="20"/>
          <w:szCs w:val="20"/>
          <w:color w:val="auto"/>
        </w:rPr>
      </w:pPr>
    </w:p>
    <w:p>
      <w:pPr>
        <w:ind w:left="4500"/>
        <w:spacing w:after="0" w:line="266" w:lineRule="auto"/>
        <w:rPr>
          <w:sz w:val="20"/>
          <w:szCs w:val="20"/>
          <w:color w:val="auto"/>
        </w:rPr>
      </w:pPr>
      <w:r>
        <w:rPr>
          <w:rFonts w:ascii="Arial" w:cs="Arial" w:eastAsia="Arial" w:hAnsi="Arial"/>
          <w:sz w:val="16"/>
          <w:szCs w:val="16"/>
          <w:color w:val="auto"/>
        </w:rPr>
        <w:t>The Phase 2 expansion of our factory in Casa Grande, Arizona — the first greenfield EV factory in North America — is already underway. When completed in 2023, this expansion is expected to add 2.85 million square feet to the existing AMP-1 factory, allowing us to bring production of advanced EV powertrain, battery packs and assembly of vehicles all under one roof. We have also announced plans to build a brand-new manufacturing facility in the Kingdom of Saudi Arabia.</w:t>
      </w:r>
    </w:p>
    <w:p>
      <w:pPr>
        <w:spacing w:after="0" w:line="206" w:lineRule="exact"/>
        <w:rPr>
          <w:sz w:val="20"/>
          <w:szCs w:val="20"/>
          <w:color w:val="auto"/>
        </w:rPr>
      </w:pPr>
    </w:p>
    <w:p>
      <w:pPr>
        <w:ind w:left="4500" w:right="80"/>
        <w:spacing w:after="0" w:line="278" w:lineRule="auto"/>
        <w:rPr>
          <w:sz w:val="20"/>
          <w:szCs w:val="20"/>
          <w:color w:val="auto"/>
        </w:rPr>
      </w:pPr>
      <w:r>
        <w:rPr>
          <w:rFonts w:ascii="Arial" w:cs="Arial" w:eastAsia="Arial" w:hAnsi="Arial"/>
          <w:sz w:val="16"/>
          <w:szCs w:val="16"/>
          <w:color w:val="auto"/>
        </w:rPr>
        <w:t>We are not immune to the challenging global environment that has impacted parts of our supply chain and logistics, but our team continues to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495300</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sectPr>
      </w:pPr>
    </w:p>
    <w:bookmarkStart w:id="4" w:name="page5"/>
    <w:bookmarkEnd w:id="4"/>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500"/>
        <w:spacing w:after="0" w:line="284" w:lineRule="auto"/>
        <w:rPr>
          <w:sz w:val="20"/>
          <w:szCs w:val="20"/>
          <w:color w:val="auto"/>
        </w:rPr>
      </w:pPr>
      <w:r>
        <w:rPr>
          <w:rFonts w:ascii="Arial" w:cs="Arial" w:eastAsia="Arial" w:hAnsi="Arial"/>
          <w:sz w:val="16"/>
          <w:szCs w:val="16"/>
          <w:color w:val="auto"/>
        </w:rPr>
        <w:t>hard to mitigate these risks. We have a strong team, strong products, and a strong balance sheet with over $6.2 billion in cash on hand at the end of 2021, and we continue to invest in our business, our products and our people. We are on the precipice of a global transition toward electric vehicles. With our leading technology and design, Lucid is at the forefront of one of the most significant transformations of our time.</w:t>
      </w:r>
    </w:p>
    <w:p>
      <w:pPr>
        <w:spacing w:after="0" w:line="206" w:lineRule="exact"/>
        <w:rPr>
          <w:sz w:val="20"/>
          <w:szCs w:val="20"/>
          <w:color w:val="auto"/>
        </w:rPr>
      </w:pPr>
    </w:p>
    <w:p>
      <w:pPr>
        <w:ind w:left="4500" w:right="80"/>
        <w:spacing w:after="0" w:line="283" w:lineRule="auto"/>
        <w:rPr>
          <w:sz w:val="20"/>
          <w:szCs w:val="20"/>
          <w:color w:val="auto"/>
        </w:rPr>
      </w:pPr>
      <w:r>
        <w:rPr>
          <w:rFonts w:ascii="Arial" w:cs="Arial" w:eastAsia="Arial" w:hAnsi="Arial"/>
          <w:sz w:val="16"/>
          <w:szCs w:val="16"/>
          <w:color w:val="auto"/>
        </w:rPr>
        <w:t>I want to thank you for joining us on this journey to a sustainable future, and we truly appreciate your support of our company and our mission. We are dedicated to continuing to deliver on our ESG mission, making additional progress on advancing diversity, equity, and inclusion in our employee base, and further enhancing stockholder value. We will continue to strive to invest time with you, our stockholders, to better understand your perspectives. Together we can make a difference in the world, for ourselves, and for future generations to come.</w:t>
      </w:r>
    </w:p>
    <w:p>
      <w:pPr>
        <w:spacing w:after="0" w:line="208"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2857500</wp:posOffset>
            </wp:positionH>
            <wp:positionV relativeFrom="paragraph">
              <wp:posOffset>182245</wp:posOffset>
            </wp:positionV>
            <wp:extent cx="1971675" cy="548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7167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500"/>
        <w:spacing w:after="0"/>
        <w:rPr>
          <w:sz w:val="20"/>
          <w:szCs w:val="20"/>
          <w:color w:val="auto"/>
        </w:rPr>
      </w:pPr>
      <w:r>
        <w:rPr>
          <w:rFonts w:ascii="Arial" w:cs="Arial" w:eastAsia="Arial" w:hAnsi="Arial"/>
          <w:sz w:val="16"/>
          <w:szCs w:val="16"/>
          <w:b w:val="1"/>
          <w:bCs w:val="1"/>
          <w:color w:val="auto"/>
        </w:rPr>
        <w:t>Peter Rawlinson</w:t>
      </w:r>
    </w:p>
    <w:p>
      <w:pPr>
        <w:spacing w:after="0" w:line="52"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Chief Executive Officer and</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Chief Technology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4018280</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sectPr>
      </w:pPr>
    </w:p>
    <w:bookmarkStart w:id="5" w:name="page6"/>
    <w:bookmarkEnd w:id="5"/>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36"/>
          <w:szCs w:val="36"/>
          <w:b w:val="1"/>
          <w:bCs w:val="1"/>
          <w:color w:val="auto"/>
        </w:rPr>
        <w:t>Lucid Group, Inc.</w:t>
      </w:r>
    </w:p>
    <w:p>
      <w:pPr>
        <w:spacing w:after="0" w:line="194" w:lineRule="exact"/>
        <w:rPr>
          <w:sz w:val="20"/>
          <w:szCs w:val="20"/>
          <w:color w:val="auto"/>
        </w:rPr>
      </w:pPr>
    </w:p>
    <w:p>
      <w:pPr>
        <w:ind w:left="660" w:right="2980"/>
        <w:spacing w:after="0" w:line="305" w:lineRule="auto"/>
        <w:rPr>
          <w:sz w:val="20"/>
          <w:szCs w:val="20"/>
          <w:color w:val="auto"/>
        </w:rPr>
      </w:pPr>
      <w:r>
        <w:rPr>
          <w:rFonts w:ascii="Arial" w:cs="Arial" w:eastAsia="Arial" w:hAnsi="Arial"/>
          <w:sz w:val="33"/>
          <w:szCs w:val="33"/>
          <w:b w:val="1"/>
          <w:bCs w:val="1"/>
          <w:color w:val="auto"/>
        </w:rPr>
        <w:t>Notice of Annual Meeting of Stockholders to Be Held on June 9, 2022</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April 28, 2022</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Dear Stockholder:</w:t>
      </w:r>
    </w:p>
    <w:p>
      <w:pPr>
        <w:spacing w:after="0" w:line="248" w:lineRule="exact"/>
        <w:rPr>
          <w:sz w:val="20"/>
          <w:szCs w:val="20"/>
          <w:color w:val="auto"/>
        </w:rPr>
      </w:pPr>
    </w:p>
    <w:p>
      <w:pPr>
        <w:ind w:left="660" w:right="280"/>
        <w:spacing w:after="0" w:line="288" w:lineRule="auto"/>
        <w:rPr>
          <w:sz w:val="20"/>
          <w:szCs w:val="20"/>
          <w:color w:val="auto"/>
        </w:rPr>
      </w:pPr>
      <w:r>
        <w:rPr>
          <w:rFonts w:ascii="Arial" w:cs="Arial" w:eastAsia="Arial" w:hAnsi="Arial"/>
          <w:sz w:val="16"/>
          <w:szCs w:val="16"/>
          <w:color w:val="auto"/>
        </w:rPr>
        <w:t>You are cordially invited to attend the 2022 Annual Meeting of Stockholders (the “Annual Meeting”) of Lucid Group, Inc., a Delaware corporation (“we,” “us,” “Lucid Group,” “Lucid” or the “Company”). The Annual Meeting will be held virtually on June 9, 2022 at 9:00 a.m. (Pacific Time), to consider and vote on the following proposals:</w:t>
      </w:r>
    </w:p>
    <w:p>
      <w:pPr>
        <w:spacing w:after="0" w:line="202" w:lineRule="exact"/>
        <w:rPr>
          <w:sz w:val="20"/>
          <w:szCs w:val="20"/>
          <w:color w:val="auto"/>
        </w:rPr>
      </w:pPr>
    </w:p>
    <w:p>
      <w:pPr>
        <w:ind w:left="980" w:right="240" w:hanging="326"/>
        <w:spacing w:after="0" w:line="295"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elect the nine nominees to serve as directors until the next annual meeting of stockholders and until their successors are duly elected and qualified, subject to earlier resignation or removal;</w:t>
      </w:r>
    </w:p>
    <w:p>
      <w:pPr>
        <w:spacing w:after="0" w:line="195" w:lineRule="exact"/>
        <w:rPr>
          <w:rFonts w:ascii="Arial" w:cs="Arial" w:eastAsia="Arial" w:hAnsi="Arial"/>
          <w:sz w:val="16"/>
          <w:szCs w:val="16"/>
          <w:color w:val="auto"/>
        </w:rPr>
      </w:pPr>
    </w:p>
    <w:p>
      <w:pPr>
        <w:ind w:left="980" w:right="280" w:hanging="326"/>
        <w:spacing w:after="0" w:line="295"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ratify the selection of Grant Thornton LLP as our independent registered public accounting firm for the fiscal year ending December 31, 2022;</w:t>
      </w:r>
    </w:p>
    <w:p>
      <w:pPr>
        <w:spacing w:after="0" w:line="195" w:lineRule="exact"/>
        <w:rPr>
          <w:rFonts w:ascii="Arial" w:cs="Arial" w:eastAsia="Arial" w:hAnsi="Arial"/>
          <w:sz w:val="16"/>
          <w:szCs w:val="16"/>
          <w:color w:val="auto"/>
        </w:rPr>
      </w:pPr>
    </w:p>
    <w:p>
      <w:pPr>
        <w:ind w:left="980" w:hanging="326"/>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approve, on an advisory basis, the compensation for our named executive officers;</w:t>
      </w:r>
    </w:p>
    <w:p>
      <w:pPr>
        <w:spacing w:after="0" w:line="248" w:lineRule="exact"/>
        <w:rPr>
          <w:rFonts w:ascii="Arial" w:cs="Arial" w:eastAsia="Arial" w:hAnsi="Arial"/>
          <w:sz w:val="16"/>
          <w:szCs w:val="16"/>
          <w:color w:val="auto"/>
        </w:rPr>
      </w:pPr>
    </w:p>
    <w:p>
      <w:pPr>
        <w:ind w:left="980" w:right="500" w:hanging="326"/>
        <w:spacing w:after="0" w:line="295"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approve, on an advisory basis, the frequency of future stockholder advisory votes on the compensation of our named executive officers;</w:t>
      </w:r>
    </w:p>
    <w:p>
      <w:pPr>
        <w:spacing w:after="0" w:line="195" w:lineRule="exact"/>
        <w:rPr>
          <w:rFonts w:ascii="Arial" w:cs="Arial" w:eastAsia="Arial" w:hAnsi="Arial"/>
          <w:sz w:val="16"/>
          <w:szCs w:val="16"/>
          <w:color w:val="auto"/>
        </w:rPr>
      </w:pPr>
    </w:p>
    <w:p>
      <w:pPr>
        <w:ind w:left="980" w:hanging="326"/>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approve the amendment of the Lucid Group, Inc. 2021 Stock Incentive Plan; and</w:t>
      </w:r>
    </w:p>
    <w:p>
      <w:pPr>
        <w:spacing w:after="0" w:line="248" w:lineRule="exact"/>
        <w:rPr>
          <w:rFonts w:ascii="Arial" w:cs="Arial" w:eastAsia="Arial" w:hAnsi="Arial"/>
          <w:sz w:val="16"/>
          <w:szCs w:val="16"/>
          <w:color w:val="auto"/>
        </w:rPr>
      </w:pPr>
    </w:p>
    <w:p>
      <w:pPr>
        <w:ind w:left="980" w:hanging="326"/>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conduct such other business as may properly come before the Annual Meeting or any adjournment thereof.</w:t>
      </w:r>
    </w:p>
    <w:p>
      <w:pPr>
        <w:spacing w:after="0" w:line="248" w:lineRule="exact"/>
        <w:rPr>
          <w:sz w:val="20"/>
          <w:szCs w:val="20"/>
          <w:color w:val="auto"/>
        </w:rPr>
      </w:pPr>
    </w:p>
    <w:p>
      <w:pPr>
        <w:ind w:left="660" w:right="820"/>
        <w:spacing w:after="0" w:line="295" w:lineRule="auto"/>
        <w:rPr>
          <w:sz w:val="20"/>
          <w:szCs w:val="20"/>
          <w:color w:val="auto"/>
        </w:rPr>
      </w:pPr>
      <w:r>
        <w:rPr>
          <w:rFonts w:ascii="Arial" w:cs="Arial" w:eastAsia="Arial" w:hAnsi="Arial"/>
          <w:sz w:val="16"/>
          <w:szCs w:val="16"/>
          <w:color w:val="auto"/>
        </w:rPr>
        <w:t>These items of business are more fully described in the proxy statement accompanying this Notice of Annual Meeting of Stockholders (the “Proxy Statement”).</w:t>
      </w:r>
    </w:p>
    <w:p>
      <w:pPr>
        <w:spacing w:after="0" w:line="196" w:lineRule="exact"/>
        <w:rPr>
          <w:sz w:val="20"/>
          <w:szCs w:val="20"/>
          <w:color w:val="auto"/>
        </w:rPr>
      </w:pPr>
    </w:p>
    <w:p>
      <w:pPr>
        <w:ind w:left="660" w:right="140"/>
        <w:spacing w:after="0" w:line="284" w:lineRule="auto"/>
        <w:rPr>
          <w:sz w:val="20"/>
          <w:szCs w:val="20"/>
          <w:color w:val="auto"/>
        </w:rPr>
      </w:pPr>
      <w:r>
        <w:rPr>
          <w:rFonts w:ascii="Arial" w:cs="Arial" w:eastAsia="Arial" w:hAnsi="Arial"/>
          <w:sz w:val="16"/>
          <w:szCs w:val="16"/>
          <w:color w:val="auto"/>
        </w:rPr>
        <w:t>The record date for the Annual Meeting is April 12, 2022 (the “Record Date”). Only stockholders of record at the close of business on the Record Date may vote at the Annual Meeting or any adjournment thereof. You will be able to attend the Annual Meeting remotely by registering at www.proxdocs.com/LCID. Upon completing your registration, you will receive further instructions via email, including a unique link that will allow you access to the Annual Meeting and to vote and submit questions. As part of the registration process, you must enter the control number located on your proxy card, voting instruction form, or Important Notice Regarding the Availability of Proxy Materials.</w:t>
      </w:r>
    </w:p>
    <w:p>
      <w:pPr>
        <w:spacing w:after="0" w:line="186" w:lineRule="exact"/>
        <w:rPr>
          <w:sz w:val="20"/>
          <w:szCs w:val="20"/>
          <w:color w:val="auto"/>
        </w:rPr>
      </w:pPr>
    </w:p>
    <w:p>
      <w:pPr>
        <w:jc w:val="center"/>
        <w:ind w:right="-659"/>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Meeting to be held on</w:t>
      </w:r>
    </w:p>
    <w:p>
      <w:pPr>
        <w:spacing w:after="0" w:line="248" w:lineRule="exact"/>
        <w:rPr>
          <w:sz w:val="20"/>
          <w:szCs w:val="20"/>
          <w:color w:val="auto"/>
        </w:rPr>
      </w:pPr>
    </w:p>
    <w:p>
      <w:pPr>
        <w:jc w:val="center"/>
        <w:ind w:right="-659"/>
        <w:spacing w:after="0"/>
        <w:rPr>
          <w:sz w:val="20"/>
          <w:szCs w:val="20"/>
          <w:color w:val="auto"/>
        </w:rPr>
      </w:pPr>
      <w:r>
        <w:rPr>
          <w:rFonts w:ascii="Arial" w:cs="Arial" w:eastAsia="Arial" w:hAnsi="Arial"/>
          <w:sz w:val="16"/>
          <w:szCs w:val="16"/>
          <w:b w:val="1"/>
          <w:bCs w:val="1"/>
          <w:color w:val="auto"/>
        </w:rPr>
        <w:t>June 9, 2022 at 9:00 a.m. (Pacific Time)</w:t>
      </w:r>
    </w:p>
    <w:p>
      <w:pPr>
        <w:spacing w:after="0" w:line="248" w:lineRule="exact"/>
        <w:rPr>
          <w:sz w:val="20"/>
          <w:szCs w:val="20"/>
          <w:color w:val="auto"/>
        </w:rPr>
      </w:pPr>
    </w:p>
    <w:p>
      <w:pPr>
        <w:jc w:val="center"/>
        <w:ind w:right="-659"/>
        <w:spacing w:after="0"/>
        <w:rPr>
          <w:sz w:val="20"/>
          <w:szCs w:val="20"/>
          <w:color w:val="auto"/>
        </w:rPr>
      </w:pPr>
      <w:r>
        <w:rPr>
          <w:rFonts w:ascii="Arial" w:cs="Arial" w:eastAsia="Arial" w:hAnsi="Arial"/>
          <w:sz w:val="16"/>
          <w:szCs w:val="16"/>
          <w:b w:val="1"/>
          <w:bCs w:val="1"/>
          <w:color w:val="auto"/>
        </w:rPr>
        <w:t>via the internet at www.proxydocs.com/LCID</w:t>
      </w:r>
    </w:p>
    <w:p>
      <w:pPr>
        <w:spacing w:after="0" w:line="248" w:lineRule="exact"/>
        <w:rPr>
          <w:sz w:val="20"/>
          <w:szCs w:val="20"/>
          <w:color w:val="auto"/>
        </w:rPr>
      </w:pPr>
    </w:p>
    <w:p>
      <w:pPr>
        <w:jc w:val="center"/>
        <w:ind w:right="-659"/>
        <w:spacing w:after="0"/>
        <w:rPr>
          <w:sz w:val="20"/>
          <w:szCs w:val="20"/>
          <w:color w:val="auto"/>
        </w:rPr>
      </w:pPr>
      <w:r>
        <w:rPr>
          <w:rFonts w:ascii="Arial" w:cs="Arial" w:eastAsia="Arial" w:hAnsi="Arial"/>
          <w:sz w:val="16"/>
          <w:szCs w:val="16"/>
          <w:b w:val="1"/>
          <w:bCs w:val="1"/>
          <w:color w:val="auto"/>
        </w:rPr>
        <w:t>The Proxy Statement and annual report to stockholders are available at: www.proxydocs.com/LCID</w:t>
      </w:r>
    </w:p>
    <w:p>
      <w:pPr>
        <w:spacing w:after="0" w:line="268" w:lineRule="exact"/>
        <w:rPr>
          <w:sz w:val="20"/>
          <w:szCs w:val="20"/>
          <w:color w:val="auto"/>
        </w:rPr>
      </w:pPr>
    </w:p>
    <w:p>
      <w:pPr>
        <w:ind w:left="660" w:right="40"/>
        <w:spacing w:after="0" w:line="285" w:lineRule="auto"/>
        <w:rPr>
          <w:sz w:val="20"/>
          <w:szCs w:val="20"/>
          <w:color w:val="auto"/>
        </w:rPr>
      </w:pPr>
      <w:r>
        <w:rPr>
          <w:rFonts w:ascii="Arial" w:cs="Arial" w:eastAsia="Arial" w:hAnsi="Arial"/>
          <w:sz w:val="16"/>
          <w:szCs w:val="16"/>
          <w:color w:val="auto"/>
        </w:rPr>
        <w:t>In light of the COVID-19 pandemic, for the safety of all involved persons, including our directors, employees and stockholders, and taking into account recent federal, state and local guidance that has been issued, we have determined that the 2022 Annual Meeting will be held in a virtual meeting format only, via the internet, with no physical in-person meeting. If you plan to participate in the virtual meeting, please see the Questions and Answers section below. Stockholders will be able to attend, vote and submit questions (both before, and for a portion of, the meeting) via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706755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131" w:right="1259" w:bottom="1440" w:gutter="0" w:footer="0" w:header="0"/>
        </w:sectPr>
      </w:pPr>
    </w:p>
    <w:bookmarkStart w:id="6" w:name="page7"/>
    <w:bookmarkEnd w:id="6"/>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60"/>
        <w:spacing w:after="0" w:line="286" w:lineRule="auto"/>
        <w:rPr>
          <w:sz w:val="20"/>
          <w:szCs w:val="20"/>
          <w:color w:val="auto"/>
        </w:rPr>
      </w:pPr>
      <w:r>
        <w:rPr>
          <w:rFonts w:ascii="Arial" w:cs="Arial" w:eastAsia="Arial" w:hAnsi="Arial"/>
          <w:sz w:val="16"/>
          <w:szCs w:val="16"/>
          <w:color w:val="auto"/>
        </w:rPr>
        <w:t>In the event of an adjournment, postponement or emergency that may change the Annual Meeting’s time or date, we will make an announcement, issue a press release or post information at www.lucidmotors.com to notify stockholders, as appropriate. If you have any questions or need assistance in voting your shares, please write to Lucid Investor Relations at 7373 Gateway Boulevard, Newark, CA 94560 or by email at investor@lucidmotors.com.</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By Order of the Board of Directors</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Jonathan Butler</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General Counsel &amp; Secretary</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Newark, California</w:t>
      </w:r>
    </w:p>
    <w:p>
      <w:pPr>
        <w:spacing w:after="0" w:line="228" w:lineRule="exact"/>
        <w:rPr>
          <w:sz w:val="20"/>
          <w:szCs w:val="20"/>
          <w:color w:val="auto"/>
        </w:rPr>
      </w:pPr>
    </w:p>
    <w:p>
      <w:pPr>
        <w:ind w:left="660" w:right="60"/>
        <w:spacing w:after="0" w:line="291" w:lineRule="auto"/>
        <w:rPr>
          <w:sz w:val="20"/>
          <w:szCs w:val="20"/>
          <w:color w:val="auto"/>
        </w:rPr>
      </w:pPr>
      <w:r>
        <w:rPr>
          <w:rFonts w:ascii="Arial" w:cs="Arial" w:eastAsia="Arial" w:hAnsi="Arial"/>
          <w:sz w:val="16"/>
          <w:szCs w:val="16"/>
          <w:b w:val="1"/>
          <w:bCs w:val="1"/>
          <w:color w:val="auto"/>
        </w:rPr>
        <w:t>ALL STOCKHOLDERS ARE CORDIALLY INVITED TO VIRTUALLY ATTEND THE ANNUAL MEETING. WHETHER OR NOT YOU EXPECT TO ATTEND THE ANNUAL MEETING, PLEASE COMPLETE, DATE, SIGN AND RETURN THE PROXY CARD, OR VOTE OVER THE TELEPHONE OR INTERNET AS INSTRUCTED IN THESE MATERIALS, AS PROMPTLY AS POSSIBLE IN ORDER TO ENSURE YOUR REPRESENTATION AT THE ANNUAL MEETING. EVEN IF YOU HAVE VOTED BY PROXY, YOU MAY STILL VOTE IF YOU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5600065</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sectPr>
      </w:pPr>
    </w:p>
    <w:bookmarkStart w:id="7" w:name="page8"/>
    <w:bookmarkEnd w:id="7"/>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6806565" cy="906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06565" cy="906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ind w:right="6879"/>
        <w:spacing w:after="0"/>
        <w:rPr>
          <w:sz w:val="20"/>
          <w:szCs w:val="20"/>
          <w:color w:val="auto"/>
        </w:rPr>
      </w:pPr>
      <w:r>
        <w:rPr>
          <w:rFonts w:ascii="Arial" w:cs="Arial" w:eastAsia="Arial" w:hAnsi="Arial"/>
          <w:sz w:val="36"/>
          <w:szCs w:val="36"/>
          <w:b w:val="1"/>
          <w:bCs w:val="1"/>
          <w:color w:val="FEFEFE"/>
        </w:rPr>
        <w:t>Table of Contents</w:t>
      </w:r>
    </w:p>
    <w:p>
      <w:pPr>
        <w:sectPr>
          <w:pgSz w:w="11900" w:h="16838" w:orient="portrait"/>
          <w:cols w:equalWidth="0" w:num="1">
            <w:col w:w="10239"/>
          </w:cols>
          <w:pgMar w:left="2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40"/>
        <w:spacing w:after="0"/>
        <w:rPr>
          <w:rFonts w:ascii="Arial" w:cs="Arial" w:eastAsia="Arial" w:hAnsi="Arial"/>
          <w:sz w:val="16"/>
          <w:szCs w:val="16"/>
          <w:u w:val="single" w:color="auto"/>
          <w:color w:val="FEFEFE"/>
        </w:rPr>
      </w:pPr>
      <w:hyperlink w:anchor="page9">
        <w:r>
          <w:rPr>
            <w:rFonts w:ascii="Arial" w:cs="Arial" w:eastAsia="Arial" w:hAnsi="Arial"/>
            <w:sz w:val="16"/>
            <w:szCs w:val="16"/>
            <w:u w:val="single" w:color="auto"/>
            <w:color w:val="FEFEFE"/>
          </w:rPr>
          <w:t>About Lucid</w:t>
        </w:r>
      </w:hyperlink>
    </w:p>
    <w:p>
      <w:pPr>
        <w:spacing w:after="0" w:line="73" w:lineRule="exact"/>
        <w:rPr>
          <w:sz w:val="20"/>
          <w:szCs w:val="20"/>
          <w:color w:val="auto"/>
        </w:rPr>
      </w:pPr>
    </w:p>
    <w:p>
      <w:pPr>
        <w:ind w:left="640"/>
        <w:spacing w:after="0" w:line="260" w:lineRule="auto"/>
        <w:rPr>
          <w:rFonts w:ascii="Arial" w:cs="Arial" w:eastAsia="Arial" w:hAnsi="Arial"/>
          <w:sz w:val="16"/>
          <w:szCs w:val="16"/>
          <w:u w:val="single" w:color="auto"/>
          <w:color w:val="FEFEFE"/>
        </w:rPr>
      </w:pPr>
      <w:hyperlink w:anchor="page10">
        <w:r>
          <w:rPr>
            <w:rFonts w:ascii="Arial" w:cs="Arial" w:eastAsia="Arial" w:hAnsi="Arial"/>
            <w:sz w:val="16"/>
            <w:szCs w:val="16"/>
            <w:u w:val="single" w:color="auto"/>
            <w:color w:val="FEFEFE"/>
          </w:rPr>
          <w:t>Questions and Answers About These Proxy Materials and</w:t>
        </w:r>
      </w:hyperlink>
      <w:r>
        <w:rPr>
          <w:rFonts w:ascii="Arial" w:cs="Arial" w:eastAsia="Arial" w:hAnsi="Arial"/>
          <w:sz w:val="16"/>
          <w:szCs w:val="16"/>
          <w:u w:val="single" w:color="auto"/>
          <w:color w:val="FEFEFE"/>
        </w:rPr>
        <w:t xml:space="preserve"> </w:t>
      </w:r>
      <w:hyperlink w:anchor="page10">
        <w:r>
          <w:rPr>
            <w:rFonts w:ascii="Arial" w:cs="Arial" w:eastAsia="Arial" w:hAnsi="Arial"/>
            <w:sz w:val="16"/>
            <w:szCs w:val="16"/>
            <w:u w:val="single" w:color="auto"/>
            <w:color w:val="FEFEFE"/>
          </w:rPr>
          <w:t>Voting</w:t>
        </w:r>
      </w:hyperlink>
    </w:p>
    <w:p>
      <w:pPr>
        <w:spacing w:after="0" w:line="74" w:lineRule="exact"/>
        <w:rPr>
          <w:sz w:val="20"/>
          <w:szCs w:val="20"/>
          <w:color w:val="auto"/>
        </w:rPr>
      </w:pPr>
    </w:p>
    <w:p>
      <w:pPr>
        <w:ind w:left="640"/>
        <w:spacing w:after="0"/>
        <w:rPr>
          <w:rFonts w:ascii="Arial" w:cs="Arial" w:eastAsia="Arial" w:hAnsi="Arial"/>
          <w:sz w:val="16"/>
          <w:szCs w:val="16"/>
          <w:u w:val="single" w:color="auto"/>
          <w:color w:val="C4B592"/>
        </w:rPr>
      </w:pPr>
      <w:hyperlink w:anchor="page17">
        <w:r>
          <w:rPr>
            <w:rFonts w:ascii="Arial" w:cs="Arial" w:eastAsia="Arial" w:hAnsi="Arial"/>
            <w:sz w:val="16"/>
            <w:szCs w:val="16"/>
            <w:u w:val="single" w:color="auto"/>
            <w:color w:val="C4B592"/>
          </w:rPr>
          <w:t xml:space="preserve">Proposal No. 1 — </w:t>
        </w:r>
        <w:r>
          <w:rPr>
            <w:rFonts w:ascii="Arial" w:cs="Arial" w:eastAsia="Arial" w:hAnsi="Arial"/>
            <w:sz w:val="16"/>
            <w:szCs w:val="16"/>
            <w:u w:val="single" w:color="auto"/>
            <w:color w:val="FEFEFE"/>
          </w:rPr>
          <w:t>Election of Directors</w:t>
        </w:r>
      </w:hyperlink>
    </w:p>
    <w:p>
      <w:pPr>
        <w:spacing w:after="0" w:line="86" w:lineRule="exact"/>
        <w:rPr>
          <w:sz w:val="20"/>
          <w:szCs w:val="20"/>
          <w:color w:val="auto"/>
        </w:rPr>
      </w:pPr>
    </w:p>
    <w:p>
      <w:pPr>
        <w:ind w:left="640" w:right="620"/>
        <w:spacing w:after="0" w:line="260" w:lineRule="auto"/>
        <w:rPr>
          <w:rFonts w:ascii="Arial" w:cs="Arial" w:eastAsia="Arial" w:hAnsi="Arial"/>
          <w:sz w:val="16"/>
          <w:szCs w:val="16"/>
          <w:u w:val="single" w:color="auto"/>
          <w:color w:val="FEFEFE"/>
        </w:rPr>
      </w:pPr>
      <w:hyperlink w:anchor="page24">
        <w:r>
          <w:rPr>
            <w:rFonts w:ascii="Arial" w:cs="Arial" w:eastAsia="Arial" w:hAnsi="Arial"/>
            <w:sz w:val="16"/>
            <w:szCs w:val="16"/>
            <w:u w:val="single" w:color="auto"/>
            <w:color w:val="FEFEFE"/>
          </w:rPr>
          <w:t>Information Regarding the Board of Directors and</w:t>
        </w:r>
      </w:hyperlink>
      <w:r>
        <w:rPr>
          <w:rFonts w:ascii="Arial" w:cs="Arial" w:eastAsia="Arial" w:hAnsi="Arial"/>
          <w:sz w:val="16"/>
          <w:szCs w:val="16"/>
          <w:u w:val="single" w:color="auto"/>
          <w:color w:val="FEFEFE"/>
        </w:rPr>
        <w:t xml:space="preserve"> </w:t>
      </w:r>
      <w:hyperlink w:anchor="page24">
        <w:r>
          <w:rPr>
            <w:rFonts w:ascii="Arial" w:cs="Arial" w:eastAsia="Arial" w:hAnsi="Arial"/>
            <w:sz w:val="16"/>
            <w:szCs w:val="16"/>
            <w:u w:val="single" w:color="auto"/>
            <w:color w:val="FEFEFE"/>
          </w:rPr>
          <w:t>Corporate Governance</w:t>
        </w:r>
      </w:hyperlink>
    </w:p>
    <w:p>
      <w:pPr>
        <w:spacing w:after="0" w:line="60" w:lineRule="exact"/>
        <w:rPr>
          <w:sz w:val="20"/>
          <w:szCs w:val="20"/>
          <w:color w:val="auto"/>
        </w:rPr>
      </w:pPr>
    </w:p>
    <w:p>
      <w:pPr>
        <w:ind w:left="640" w:right="440"/>
        <w:spacing w:after="0" w:line="260" w:lineRule="auto"/>
        <w:rPr>
          <w:rFonts w:ascii="Arial" w:cs="Arial" w:eastAsia="Arial" w:hAnsi="Arial"/>
          <w:sz w:val="16"/>
          <w:szCs w:val="16"/>
          <w:u w:val="single" w:color="auto"/>
          <w:color w:val="FEFEFE"/>
        </w:rPr>
      </w:pPr>
      <w:hyperlink w:anchor="page32">
        <w:r>
          <w:rPr>
            <w:rFonts w:ascii="Arial" w:cs="Arial" w:eastAsia="Arial" w:hAnsi="Arial"/>
            <w:sz w:val="16"/>
            <w:szCs w:val="16"/>
            <w:u w:val="single" w:color="auto"/>
            <w:color w:val="C4B592"/>
          </w:rPr>
          <w:t xml:space="preserve">Proposal No. 2 — </w:t>
        </w:r>
        <w:r>
          <w:rPr>
            <w:rFonts w:ascii="Arial" w:cs="Arial" w:eastAsia="Arial" w:hAnsi="Arial"/>
            <w:sz w:val="16"/>
            <w:szCs w:val="16"/>
            <w:u w:val="single" w:color="auto"/>
            <w:color w:val="FEFEFE"/>
          </w:rPr>
          <w:t>Ratification of the Selection of the</w:t>
        </w:r>
      </w:hyperlink>
      <w:r>
        <w:rPr>
          <w:rFonts w:ascii="Arial" w:cs="Arial" w:eastAsia="Arial" w:hAnsi="Arial"/>
          <w:sz w:val="16"/>
          <w:szCs w:val="16"/>
          <w:u w:val="single" w:color="auto"/>
          <w:color w:val="C4B592"/>
        </w:rPr>
        <w:t xml:space="preserve"> </w:t>
      </w:r>
      <w:hyperlink w:anchor="page32">
        <w:r>
          <w:rPr>
            <w:rFonts w:ascii="Arial" w:cs="Arial" w:eastAsia="Arial" w:hAnsi="Arial"/>
            <w:sz w:val="16"/>
            <w:szCs w:val="16"/>
            <w:u w:val="single" w:color="auto"/>
            <w:color w:val="FEFEFE"/>
          </w:rPr>
          <w:t>Independent Registered Public Accounting Firm</w:t>
        </w:r>
      </w:hyperlink>
    </w:p>
    <w:p>
      <w:pPr>
        <w:spacing w:after="0" w:line="60" w:lineRule="exact"/>
        <w:rPr>
          <w:sz w:val="20"/>
          <w:szCs w:val="20"/>
          <w:color w:val="auto"/>
        </w:rPr>
      </w:pPr>
    </w:p>
    <w:p>
      <w:pPr>
        <w:ind w:left="640" w:right="300"/>
        <w:spacing w:after="0" w:line="260" w:lineRule="auto"/>
        <w:rPr>
          <w:rFonts w:ascii="Arial" w:cs="Arial" w:eastAsia="Arial" w:hAnsi="Arial"/>
          <w:sz w:val="16"/>
          <w:szCs w:val="16"/>
          <w:u w:val="single" w:color="auto"/>
          <w:color w:val="FEFEFE"/>
        </w:rPr>
      </w:pPr>
      <w:hyperlink w:anchor="page35">
        <w:r>
          <w:rPr>
            <w:rFonts w:ascii="Arial" w:cs="Arial" w:eastAsia="Arial" w:hAnsi="Arial"/>
            <w:sz w:val="16"/>
            <w:szCs w:val="16"/>
            <w:u w:val="single" w:color="auto"/>
            <w:color w:val="C4B592"/>
          </w:rPr>
          <w:t xml:space="preserve">Proposal No. 3 — </w:t>
        </w:r>
        <w:r>
          <w:rPr>
            <w:rFonts w:ascii="Arial" w:cs="Arial" w:eastAsia="Arial" w:hAnsi="Arial"/>
            <w:sz w:val="16"/>
            <w:szCs w:val="16"/>
            <w:u w:val="single" w:color="auto"/>
            <w:color w:val="FEFEFE"/>
          </w:rPr>
          <w:t>Approval, on an Advisory Basis, the</w:t>
        </w:r>
      </w:hyperlink>
      <w:r>
        <w:rPr>
          <w:rFonts w:ascii="Arial" w:cs="Arial" w:eastAsia="Arial" w:hAnsi="Arial"/>
          <w:sz w:val="16"/>
          <w:szCs w:val="16"/>
          <w:u w:val="single" w:color="auto"/>
          <w:color w:val="C4B592"/>
        </w:rPr>
        <w:t xml:space="preserve"> </w:t>
      </w:r>
      <w:hyperlink w:anchor="page35">
        <w:r>
          <w:rPr>
            <w:rFonts w:ascii="Arial" w:cs="Arial" w:eastAsia="Arial" w:hAnsi="Arial"/>
            <w:sz w:val="16"/>
            <w:szCs w:val="16"/>
            <w:u w:val="single" w:color="auto"/>
            <w:color w:val="FEFEFE"/>
          </w:rPr>
          <w:t>Compensation of Our Named Executive Officers</w:t>
        </w:r>
      </w:hyperlink>
    </w:p>
    <w:p>
      <w:pPr>
        <w:spacing w:after="0" w:line="60" w:lineRule="exact"/>
        <w:rPr>
          <w:sz w:val="20"/>
          <w:szCs w:val="20"/>
          <w:color w:val="auto"/>
        </w:rPr>
      </w:pPr>
    </w:p>
    <w:p>
      <w:pPr>
        <w:jc w:val="both"/>
        <w:ind w:left="640" w:right="120"/>
        <w:spacing w:after="0" w:line="253" w:lineRule="auto"/>
        <w:rPr>
          <w:rFonts w:ascii="Arial" w:cs="Arial" w:eastAsia="Arial" w:hAnsi="Arial"/>
          <w:sz w:val="16"/>
          <w:szCs w:val="16"/>
          <w:u w:val="single" w:color="auto"/>
          <w:color w:val="FEFEFE"/>
        </w:rPr>
      </w:pPr>
      <w:hyperlink w:anchor="page37">
        <w:r>
          <w:rPr>
            <w:rFonts w:ascii="Arial" w:cs="Arial" w:eastAsia="Arial" w:hAnsi="Arial"/>
            <w:sz w:val="16"/>
            <w:szCs w:val="16"/>
            <w:u w:val="single" w:color="auto"/>
            <w:color w:val="C4B592"/>
          </w:rPr>
          <w:t xml:space="preserve">Proposal No. 4 — </w:t>
        </w:r>
        <w:r>
          <w:rPr>
            <w:rFonts w:ascii="Arial" w:cs="Arial" w:eastAsia="Arial" w:hAnsi="Arial"/>
            <w:sz w:val="16"/>
            <w:szCs w:val="16"/>
            <w:u w:val="single" w:color="auto"/>
            <w:color w:val="FEFEFE"/>
          </w:rPr>
          <w:t>Approval, on an Advisory Basis, of the</w:t>
        </w:r>
      </w:hyperlink>
      <w:r>
        <w:rPr>
          <w:rFonts w:ascii="Arial" w:cs="Arial" w:eastAsia="Arial" w:hAnsi="Arial"/>
          <w:sz w:val="16"/>
          <w:szCs w:val="16"/>
          <w:u w:val="single" w:color="auto"/>
          <w:color w:val="C4B592"/>
        </w:rPr>
        <w:t xml:space="preserve"> </w:t>
      </w:r>
      <w:hyperlink w:anchor="page37">
        <w:r>
          <w:rPr>
            <w:rFonts w:ascii="Arial" w:cs="Arial" w:eastAsia="Arial" w:hAnsi="Arial"/>
            <w:sz w:val="16"/>
            <w:szCs w:val="16"/>
            <w:u w:val="single" w:color="auto"/>
            <w:color w:val="FEFEFE"/>
          </w:rPr>
          <w:t>Frequency of Future Stockholder Advisory Votes on the</w:t>
        </w:r>
      </w:hyperlink>
      <w:r>
        <w:rPr>
          <w:rFonts w:ascii="Arial" w:cs="Arial" w:eastAsia="Arial" w:hAnsi="Arial"/>
          <w:sz w:val="16"/>
          <w:szCs w:val="16"/>
          <w:u w:val="single" w:color="auto"/>
          <w:color w:val="FEFEFE"/>
        </w:rPr>
        <w:t xml:space="preserve"> </w:t>
      </w:r>
      <w:hyperlink w:anchor="page37">
        <w:r>
          <w:rPr>
            <w:rFonts w:ascii="Arial" w:cs="Arial" w:eastAsia="Arial" w:hAnsi="Arial"/>
            <w:sz w:val="16"/>
            <w:szCs w:val="16"/>
            <w:u w:val="single" w:color="auto"/>
            <w:color w:val="FEFEFE"/>
          </w:rPr>
          <w:t>Compensation of Our Named Executive Officers</w:t>
        </w:r>
      </w:hyperlink>
    </w:p>
    <w:p>
      <w:pPr>
        <w:spacing w:after="0" w:line="20" w:lineRule="exact"/>
        <w:rPr>
          <w:rFonts w:ascii="Arial" w:cs="Arial" w:eastAsia="Arial" w:hAnsi="Arial"/>
          <w:sz w:val="16"/>
          <w:szCs w:val="16"/>
          <w:u w:val="single" w:color="auto"/>
          <w:color w:val="C4B592"/>
        </w:rPr>
      </w:pPr>
      <w:r>
        <w:rPr>
          <w:rFonts w:ascii="Arial" w:cs="Arial" w:eastAsia="Arial" w:hAnsi="Arial"/>
          <w:sz w:val="16"/>
          <w:szCs w:val="16"/>
          <w:u w:val="single" w:color="auto"/>
          <w:color w:val="C4B592"/>
        </w:rPr>
        <w:br w:type="column"/>
      </w:r>
    </w:p>
    <w:p>
      <w:pPr>
        <w:spacing w:after="0" w:line="200" w:lineRule="exact"/>
        <w:rPr>
          <w:rFonts w:ascii="Arial" w:cs="Arial" w:eastAsia="Arial" w:hAnsi="Arial"/>
          <w:sz w:val="16"/>
          <w:szCs w:val="16"/>
          <w:u w:val="single" w:color="auto"/>
          <w:color w:val="C4B592"/>
        </w:rPr>
      </w:pPr>
    </w:p>
    <w:p>
      <w:pPr>
        <w:spacing w:after="0" w:line="200" w:lineRule="exact"/>
        <w:rPr>
          <w:rFonts w:ascii="Arial" w:cs="Arial" w:eastAsia="Arial" w:hAnsi="Arial"/>
          <w:sz w:val="16"/>
          <w:szCs w:val="16"/>
          <w:u w:val="single" w:color="auto"/>
          <w:color w:val="C4B592"/>
        </w:rPr>
      </w:pPr>
    </w:p>
    <w:p>
      <w:pPr>
        <w:spacing w:after="0" w:line="200" w:lineRule="exact"/>
        <w:rPr>
          <w:rFonts w:ascii="Arial" w:cs="Arial" w:eastAsia="Arial" w:hAnsi="Arial"/>
          <w:sz w:val="16"/>
          <w:szCs w:val="16"/>
          <w:u w:val="single" w:color="auto"/>
          <w:color w:val="C4B592"/>
        </w:rPr>
      </w:pPr>
    </w:p>
    <w:p>
      <w:pPr>
        <w:spacing w:after="0" w:line="200" w:lineRule="exact"/>
        <w:rPr>
          <w:rFonts w:ascii="Arial" w:cs="Arial" w:eastAsia="Arial" w:hAnsi="Arial"/>
          <w:sz w:val="16"/>
          <w:szCs w:val="16"/>
          <w:u w:val="single" w:color="auto"/>
          <w:color w:val="C4B592"/>
        </w:rPr>
      </w:pPr>
    </w:p>
    <w:p>
      <w:pPr>
        <w:spacing w:after="0" w:line="200" w:lineRule="exact"/>
        <w:rPr>
          <w:rFonts w:ascii="Arial" w:cs="Arial" w:eastAsia="Arial" w:hAnsi="Arial"/>
          <w:sz w:val="16"/>
          <w:szCs w:val="16"/>
          <w:u w:val="single" w:color="auto"/>
          <w:color w:val="C4B592"/>
        </w:rPr>
      </w:pPr>
    </w:p>
    <w:p>
      <w:pPr>
        <w:spacing w:after="0" w:line="200" w:lineRule="exact"/>
        <w:rPr>
          <w:rFonts w:ascii="Arial" w:cs="Arial" w:eastAsia="Arial" w:hAnsi="Arial"/>
          <w:sz w:val="16"/>
          <w:szCs w:val="16"/>
          <w:u w:val="single" w:color="auto"/>
          <w:color w:val="C4B592"/>
        </w:rPr>
      </w:pPr>
    </w:p>
    <w:p>
      <w:pPr>
        <w:spacing w:after="0" w:line="200" w:lineRule="exact"/>
        <w:rPr>
          <w:rFonts w:ascii="Arial" w:cs="Arial" w:eastAsia="Arial" w:hAnsi="Arial"/>
          <w:sz w:val="16"/>
          <w:szCs w:val="16"/>
          <w:u w:val="single" w:color="auto"/>
          <w:color w:val="C4B592"/>
        </w:rPr>
      </w:pPr>
    </w:p>
    <w:p>
      <w:pPr>
        <w:spacing w:after="0" w:line="200" w:lineRule="exact"/>
        <w:rPr>
          <w:rFonts w:ascii="Arial" w:cs="Arial" w:eastAsia="Arial" w:hAnsi="Arial"/>
          <w:sz w:val="16"/>
          <w:szCs w:val="16"/>
          <w:u w:val="single" w:color="auto"/>
          <w:color w:val="C4B592"/>
        </w:rPr>
      </w:pPr>
    </w:p>
    <w:p>
      <w:pPr>
        <w:spacing w:after="0" w:line="291" w:lineRule="exact"/>
        <w:rPr>
          <w:rFonts w:ascii="Arial" w:cs="Arial" w:eastAsia="Arial" w:hAnsi="Arial"/>
          <w:sz w:val="16"/>
          <w:szCs w:val="16"/>
          <w:u w:val="single" w:color="auto"/>
          <w:color w:val="C4B592"/>
        </w:rPr>
      </w:pPr>
    </w:p>
    <w:p>
      <w:pPr>
        <w:ind w:left="460" w:hanging="373"/>
        <w:spacing w:after="0"/>
        <w:tabs>
          <w:tab w:leader="none" w:pos="460" w:val="left"/>
        </w:tabs>
        <w:numPr>
          <w:ilvl w:val="0"/>
          <w:numId w:val="9"/>
        </w:numPr>
        <w:rPr>
          <w:rFonts w:ascii="Arial" w:cs="Arial" w:eastAsia="Arial" w:hAnsi="Arial"/>
          <w:sz w:val="16"/>
          <w:szCs w:val="16"/>
          <w:color w:val="C4B592"/>
        </w:rPr>
      </w:pPr>
      <w:hyperlink w:anchor="page39">
        <w:r>
          <w:rPr>
            <w:rFonts w:ascii="Arial" w:cs="Arial" w:eastAsia="Arial" w:hAnsi="Arial"/>
            <w:sz w:val="16"/>
            <w:szCs w:val="16"/>
            <w:color w:val="C4B592"/>
          </w:rPr>
          <w:t xml:space="preserve">Proposal No. 5 — </w:t>
        </w:r>
        <w:r>
          <w:rPr>
            <w:rFonts w:ascii="Arial" w:cs="Arial" w:eastAsia="Arial" w:hAnsi="Arial"/>
            <w:sz w:val="16"/>
            <w:szCs w:val="16"/>
            <w:color w:val="FEFEFE"/>
          </w:rPr>
          <w:t>Approval of the Amendment of the Lucid</w:t>
        </w:r>
      </w:hyperlink>
    </w:p>
    <w:p>
      <w:pPr>
        <w:spacing w:after="0" w:line="20" w:lineRule="exact"/>
        <w:rPr>
          <w:rFonts w:ascii="Arial" w:cs="Arial" w:eastAsia="Arial" w:hAnsi="Arial"/>
          <w:sz w:val="16"/>
          <w:szCs w:val="16"/>
          <w:u w:val="single" w:color="auto"/>
          <w:color w:val="C4B592"/>
        </w:rPr>
      </w:pPr>
    </w:p>
    <w:tbl>
      <w:tblPr>
        <w:tblLayout w:type="fixed"/>
        <w:tblInd w:w="0" w:type="dxa"/>
        <w:tblCellMar>
          <w:top w:w="0" w:type="dxa"/>
          <w:left w:w="0" w:type="dxa"/>
          <w:bottom w:w="0" w:type="dxa"/>
          <w:right w:w="0" w:type="dxa"/>
        </w:tblCellMar>
      </w:tblPr>
      <w:tr>
        <w:trPr>
          <w:trHeight w:val="20"/>
        </w:trPr>
        <w:tc>
          <w:tcPr>
            <w:tcW w:w="80" w:type="dxa"/>
            <w:vAlign w:val="bottom"/>
          </w:tcPr>
          <w:p>
            <w:pPr>
              <w:spacing w:after="0" w:line="20" w:lineRule="exact"/>
              <w:rPr>
                <w:sz w:val="1"/>
                <w:szCs w:val="1"/>
                <w:color w:val="auto"/>
              </w:rPr>
            </w:pPr>
          </w:p>
        </w:tc>
        <w:tc>
          <w:tcPr>
            <w:tcW w:w="100" w:type="dxa"/>
            <w:vAlign w:val="bottom"/>
            <w:shd w:val="clear" w:color="auto" w:fill="FEFEF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C4B592"/>
          </w:tcPr>
          <w:p>
            <w:pPr>
              <w:spacing w:after="0" w:line="20" w:lineRule="exact"/>
              <w:rPr>
                <w:sz w:val="1"/>
                <w:szCs w:val="1"/>
                <w:color w:val="auto"/>
              </w:rPr>
            </w:pPr>
          </w:p>
        </w:tc>
        <w:tc>
          <w:tcPr>
            <w:tcW w:w="340" w:type="dxa"/>
            <w:vAlign w:val="bottom"/>
            <w:shd w:val="clear" w:color="auto" w:fill="C4B592"/>
          </w:tcPr>
          <w:p>
            <w:pPr>
              <w:spacing w:after="0" w:line="20" w:lineRule="exact"/>
              <w:rPr>
                <w:sz w:val="1"/>
                <w:szCs w:val="1"/>
                <w:color w:val="auto"/>
              </w:rPr>
            </w:pPr>
          </w:p>
        </w:tc>
        <w:tc>
          <w:tcPr>
            <w:tcW w:w="40" w:type="dxa"/>
            <w:vAlign w:val="bottom"/>
            <w:shd w:val="clear" w:color="auto" w:fill="C4B592"/>
          </w:tcPr>
          <w:p>
            <w:pPr>
              <w:spacing w:after="0" w:line="20" w:lineRule="exact"/>
              <w:rPr>
                <w:sz w:val="1"/>
                <w:szCs w:val="1"/>
                <w:color w:val="auto"/>
              </w:rPr>
            </w:pPr>
          </w:p>
        </w:tc>
        <w:tc>
          <w:tcPr>
            <w:tcW w:w="320" w:type="dxa"/>
            <w:vAlign w:val="bottom"/>
            <w:tcBorders>
              <w:left w:val="single" w:sz="8" w:color="C4B592"/>
              <w:right w:val="single" w:sz="8" w:color="FEFEFE"/>
            </w:tcBorders>
            <w:shd w:val="clear" w:color="auto" w:fill="C4B592"/>
          </w:tcPr>
          <w:p>
            <w:pPr>
              <w:spacing w:after="0" w:line="20" w:lineRule="exact"/>
              <w:rPr>
                <w:sz w:val="1"/>
                <w:szCs w:val="1"/>
                <w:color w:val="auto"/>
              </w:rPr>
            </w:pPr>
          </w:p>
        </w:tc>
        <w:tc>
          <w:tcPr>
            <w:tcW w:w="480" w:type="dxa"/>
            <w:vAlign w:val="bottom"/>
            <w:shd w:val="clear" w:color="auto" w:fill="FEFEFE"/>
          </w:tcPr>
          <w:p>
            <w:pPr>
              <w:spacing w:after="0" w:line="20" w:lineRule="exact"/>
              <w:rPr>
                <w:sz w:val="1"/>
                <w:szCs w:val="1"/>
                <w:color w:val="auto"/>
              </w:rPr>
            </w:pPr>
          </w:p>
        </w:tc>
        <w:tc>
          <w:tcPr>
            <w:tcW w:w="620" w:type="dxa"/>
            <w:vAlign w:val="bottom"/>
            <w:shd w:val="clear" w:color="auto" w:fill="FEFEFE"/>
          </w:tcPr>
          <w:p>
            <w:pPr>
              <w:spacing w:after="0" w:line="20" w:lineRule="exact"/>
              <w:rPr>
                <w:sz w:val="1"/>
                <w:szCs w:val="1"/>
                <w:color w:val="auto"/>
              </w:rPr>
            </w:pPr>
          </w:p>
        </w:tc>
        <w:tc>
          <w:tcPr>
            <w:tcW w:w="300" w:type="dxa"/>
            <w:vAlign w:val="bottom"/>
            <w:shd w:val="clear" w:color="auto" w:fill="FEFEFE"/>
          </w:tcPr>
          <w:p>
            <w:pPr>
              <w:spacing w:after="0" w:line="20" w:lineRule="exact"/>
              <w:rPr>
                <w:sz w:val="1"/>
                <w:szCs w:val="1"/>
                <w:color w:val="auto"/>
              </w:rPr>
            </w:pPr>
          </w:p>
        </w:tc>
        <w:tc>
          <w:tcPr>
            <w:tcW w:w="700" w:type="dxa"/>
            <w:vAlign w:val="bottom"/>
            <w:shd w:val="clear" w:color="auto" w:fill="FEFEFE"/>
          </w:tcPr>
          <w:p>
            <w:pPr>
              <w:spacing w:after="0" w:line="20" w:lineRule="exact"/>
              <w:rPr>
                <w:sz w:val="1"/>
                <w:szCs w:val="1"/>
                <w:color w:val="auto"/>
              </w:rPr>
            </w:pPr>
          </w:p>
        </w:tc>
        <w:tc>
          <w:tcPr>
            <w:tcW w:w="40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380" w:type="dxa"/>
            <w:vAlign w:val="bottom"/>
            <w:shd w:val="clear" w:color="auto" w:fill="FEFEF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40" w:type="dxa"/>
            <w:vAlign w:val="bottom"/>
            <w:gridSpan w:val="11"/>
          </w:tcPr>
          <w:p>
            <w:pPr>
              <w:spacing w:after="0" w:line="162" w:lineRule="exact"/>
              <w:rPr>
                <w:rFonts w:ascii="Arial" w:cs="Arial" w:eastAsia="Arial" w:hAnsi="Arial"/>
                <w:sz w:val="16"/>
                <w:szCs w:val="16"/>
                <w:color w:val="FEFEFE"/>
              </w:rPr>
            </w:pPr>
            <w:hyperlink w:anchor="page39">
              <w:r>
                <w:rPr>
                  <w:rFonts w:ascii="Arial" w:cs="Arial" w:eastAsia="Arial" w:hAnsi="Arial"/>
                  <w:sz w:val="16"/>
                  <w:szCs w:val="16"/>
                  <w:color w:val="FEFEFE"/>
                </w:rPr>
                <w:t>Group, Inc. 2021 Stock Incentive Plan</w:t>
              </w:r>
            </w:hyperlink>
          </w:p>
        </w:tc>
        <w:tc>
          <w:tcPr>
            <w:tcW w:w="320" w:type="dxa"/>
            <w:vAlign w:val="bottom"/>
            <w:gridSpan w:val="3"/>
          </w:tcPr>
          <w:p>
            <w:pPr>
              <w:jc w:val="right"/>
              <w:spacing w:after="0" w:line="162" w:lineRule="exact"/>
              <w:rPr>
                <w:rFonts w:ascii="Arial" w:cs="Arial" w:eastAsia="Arial" w:hAnsi="Arial"/>
                <w:sz w:val="16"/>
                <w:szCs w:val="16"/>
                <w:color w:val="FEFEFE"/>
              </w:rPr>
            </w:pPr>
            <w:hyperlink w:anchor="page39">
              <w:r>
                <w:rPr>
                  <w:rFonts w:ascii="Arial" w:cs="Arial" w:eastAsia="Arial" w:hAnsi="Arial"/>
                  <w:sz w:val="16"/>
                  <w:szCs w:val="16"/>
                  <w:color w:val="FEFEFE"/>
                </w:rPr>
                <w:t>31</w:t>
              </w:r>
            </w:hyperlink>
          </w:p>
        </w:tc>
        <w:tc>
          <w:tcPr>
            <w:tcW w:w="0" w:type="dxa"/>
            <w:vAlign w:val="bottom"/>
          </w:tcPr>
          <w:p>
            <w:pPr>
              <w:spacing w:after="0"/>
              <w:rPr>
                <w:sz w:val="1"/>
                <w:szCs w:val="1"/>
                <w:color w:val="auto"/>
              </w:rPr>
            </w:pPr>
          </w:p>
        </w:tc>
      </w:tr>
      <w:tr>
        <w:trPr>
          <w:trHeight w:val="20"/>
        </w:trPr>
        <w:tc>
          <w:tcPr>
            <w:tcW w:w="80" w:type="dxa"/>
            <w:vAlign w:val="bottom"/>
            <w:vMerge w:val="restart"/>
          </w:tcPr>
          <w:p>
            <w:pPr>
              <w:spacing w:after="0" w:line="20" w:lineRule="exact"/>
              <w:rPr>
                <w:sz w:val="1"/>
                <w:szCs w:val="1"/>
                <w:color w:val="auto"/>
              </w:rPr>
            </w:pPr>
          </w:p>
        </w:tc>
        <w:tc>
          <w:tcPr>
            <w:tcW w:w="100" w:type="dxa"/>
            <w:vAlign w:val="bottom"/>
            <w:vMerge w:val="restart"/>
          </w:tcPr>
          <w:p>
            <w:pPr>
              <w:jc w:val="right"/>
              <w:spacing w:after="0"/>
              <w:rPr>
                <w:rFonts w:ascii="Arial" w:cs="Arial" w:eastAsia="Arial" w:hAnsi="Arial"/>
                <w:sz w:val="16"/>
                <w:szCs w:val="16"/>
                <w:color w:val="FEFEFE"/>
                <w:w w:val="89"/>
              </w:rPr>
            </w:pPr>
            <w:hyperlink w:anchor="page10">
              <w:r>
                <w:rPr>
                  <w:rFonts w:ascii="Arial" w:cs="Arial" w:eastAsia="Arial" w:hAnsi="Arial"/>
                  <w:sz w:val="16"/>
                  <w:szCs w:val="16"/>
                  <w:color w:val="FEFEFE"/>
                  <w:w w:val="89"/>
                </w:rPr>
                <w:t>2</w:t>
              </w:r>
            </w:hyperlink>
          </w:p>
        </w:tc>
        <w:tc>
          <w:tcPr>
            <w:tcW w:w="280" w:type="dxa"/>
            <w:vAlign w:val="bottom"/>
          </w:tcPr>
          <w:p>
            <w:pPr>
              <w:spacing w:after="0" w:line="20" w:lineRule="exact"/>
              <w:rPr>
                <w:sz w:val="1"/>
                <w:szCs w:val="1"/>
                <w:color w:val="auto"/>
              </w:rPr>
            </w:pPr>
          </w:p>
        </w:tc>
        <w:tc>
          <w:tcPr>
            <w:tcW w:w="620" w:type="dxa"/>
            <w:vAlign w:val="bottom"/>
            <w:shd w:val="clear" w:color="auto" w:fill="FEFEFE"/>
          </w:tcPr>
          <w:p>
            <w:pPr>
              <w:spacing w:after="0" w:line="20" w:lineRule="exact"/>
              <w:rPr>
                <w:sz w:val="1"/>
                <w:szCs w:val="1"/>
                <w:color w:val="auto"/>
              </w:rPr>
            </w:pPr>
          </w:p>
        </w:tc>
        <w:tc>
          <w:tcPr>
            <w:tcW w:w="34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320" w:type="dxa"/>
            <w:vAlign w:val="bottom"/>
            <w:tcBorders>
              <w:left w:val="single" w:sz="8" w:color="FEFEFE"/>
              <w:right w:val="single" w:sz="8" w:color="FEFEFE"/>
            </w:tcBorders>
            <w:shd w:val="clear" w:color="auto" w:fill="FEFEFE"/>
          </w:tcPr>
          <w:p>
            <w:pPr>
              <w:spacing w:after="0" w:line="20" w:lineRule="exact"/>
              <w:rPr>
                <w:sz w:val="1"/>
                <w:szCs w:val="1"/>
                <w:color w:val="auto"/>
              </w:rPr>
            </w:pPr>
          </w:p>
        </w:tc>
        <w:tc>
          <w:tcPr>
            <w:tcW w:w="480" w:type="dxa"/>
            <w:vAlign w:val="bottom"/>
            <w:shd w:val="clear" w:color="auto" w:fill="FEFEFE"/>
          </w:tcPr>
          <w:p>
            <w:pPr>
              <w:spacing w:after="0" w:line="20" w:lineRule="exact"/>
              <w:rPr>
                <w:sz w:val="1"/>
                <w:szCs w:val="1"/>
                <w:color w:val="auto"/>
              </w:rPr>
            </w:pPr>
          </w:p>
        </w:tc>
        <w:tc>
          <w:tcPr>
            <w:tcW w:w="620" w:type="dxa"/>
            <w:vAlign w:val="bottom"/>
            <w:shd w:val="clear" w:color="auto" w:fill="FEFEFE"/>
          </w:tcPr>
          <w:p>
            <w:pPr>
              <w:spacing w:after="0" w:line="20" w:lineRule="exact"/>
              <w:rPr>
                <w:sz w:val="1"/>
                <w:szCs w:val="1"/>
                <w:color w:val="auto"/>
              </w:rPr>
            </w:pPr>
          </w:p>
        </w:tc>
        <w:tc>
          <w:tcPr>
            <w:tcW w:w="300" w:type="dxa"/>
            <w:vAlign w:val="bottom"/>
            <w:shd w:val="clear" w:color="auto" w:fill="FEFEF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0" w:type="dxa"/>
            <w:vAlign w:val="bottom"/>
            <w:vMerge w:val="continue"/>
          </w:tcPr>
          <w:p>
            <w:pPr>
              <w:spacing w:after="0"/>
              <w:rPr>
                <w:sz w:val="19"/>
                <w:szCs w:val="19"/>
                <w:color w:val="auto"/>
              </w:rPr>
            </w:pPr>
          </w:p>
        </w:tc>
        <w:tc>
          <w:tcPr>
            <w:tcW w:w="100" w:type="dxa"/>
            <w:vAlign w:val="bottom"/>
            <w:tcBorders>
              <w:bottom w:val="single" w:sz="8" w:color="FEFEFE"/>
            </w:tcBorders>
            <w:vMerge w:val="continue"/>
          </w:tcPr>
          <w:p>
            <w:pPr>
              <w:spacing w:after="0"/>
              <w:rPr>
                <w:sz w:val="19"/>
                <w:szCs w:val="19"/>
                <w:color w:val="auto"/>
              </w:rPr>
            </w:pPr>
          </w:p>
        </w:tc>
        <w:tc>
          <w:tcPr>
            <w:tcW w:w="280" w:type="dxa"/>
            <w:vAlign w:val="bottom"/>
          </w:tcPr>
          <w:p>
            <w:pPr>
              <w:spacing w:after="0"/>
              <w:rPr>
                <w:sz w:val="19"/>
                <w:szCs w:val="19"/>
                <w:color w:val="auto"/>
              </w:rPr>
            </w:pPr>
          </w:p>
        </w:tc>
        <w:tc>
          <w:tcPr>
            <w:tcW w:w="2720" w:type="dxa"/>
            <w:vAlign w:val="bottom"/>
            <w:gridSpan w:val="7"/>
          </w:tcPr>
          <w:p>
            <w:pPr>
              <w:spacing w:after="0"/>
              <w:rPr>
                <w:rFonts w:ascii="Arial" w:cs="Arial" w:eastAsia="Arial" w:hAnsi="Arial"/>
                <w:sz w:val="16"/>
                <w:szCs w:val="16"/>
                <w:color w:val="FEFEFE"/>
              </w:rPr>
            </w:pPr>
            <w:hyperlink w:anchor="page46">
              <w:r>
                <w:rPr>
                  <w:rFonts w:ascii="Arial" w:cs="Arial" w:eastAsia="Arial" w:hAnsi="Arial"/>
                  <w:sz w:val="16"/>
                  <w:szCs w:val="16"/>
                  <w:color w:val="FEFEFE"/>
                </w:rPr>
                <w:t>Lucid ESG: Principles and Impact</w:t>
              </w:r>
            </w:hyperlink>
          </w:p>
        </w:tc>
        <w:tc>
          <w:tcPr>
            <w:tcW w:w="1520" w:type="dxa"/>
            <w:vAlign w:val="bottom"/>
            <w:gridSpan w:val="4"/>
          </w:tcPr>
          <w:p>
            <w:pPr>
              <w:spacing w:after="0"/>
              <w:rPr>
                <w:sz w:val="19"/>
                <w:szCs w:val="19"/>
                <w:color w:val="auto"/>
              </w:rPr>
            </w:pPr>
          </w:p>
        </w:tc>
        <w:tc>
          <w:tcPr>
            <w:tcW w:w="320" w:type="dxa"/>
            <w:vAlign w:val="bottom"/>
            <w:gridSpan w:val="3"/>
          </w:tcPr>
          <w:p>
            <w:pPr>
              <w:jc w:val="right"/>
              <w:spacing w:after="0"/>
              <w:rPr>
                <w:rFonts w:ascii="Arial" w:cs="Arial" w:eastAsia="Arial" w:hAnsi="Arial"/>
                <w:sz w:val="16"/>
                <w:szCs w:val="16"/>
                <w:color w:val="FEFEFE"/>
              </w:rPr>
            </w:pPr>
            <w:hyperlink w:anchor="page46">
              <w:r>
                <w:rPr>
                  <w:rFonts w:ascii="Arial" w:cs="Arial" w:eastAsia="Arial" w:hAnsi="Arial"/>
                  <w:sz w:val="16"/>
                  <w:szCs w:val="16"/>
                  <w:color w:val="FEFEFE"/>
                </w:rPr>
                <w:t>38</w:t>
              </w:r>
            </w:hyperlink>
          </w:p>
        </w:tc>
        <w:tc>
          <w:tcPr>
            <w:tcW w:w="0" w:type="dxa"/>
            <w:vAlign w:val="bottom"/>
          </w:tcPr>
          <w:p>
            <w:pPr>
              <w:spacing w:after="0"/>
              <w:rPr>
                <w:sz w:val="1"/>
                <w:szCs w:val="1"/>
                <w:color w:val="auto"/>
              </w:rPr>
            </w:pPr>
          </w:p>
        </w:tc>
      </w:tr>
      <w:tr>
        <w:trPr>
          <w:trHeight w:val="20"/>
        </w:trPr>
        <w:tc>
          <w:tcPr>
            <w:tcW w:w="80" w:type="dxa"/>
            <w:vAlign w:val="bottom"/>
            <w:vMerge w:val="restart"/>
          </w:tcPr>
          <w:p>
            <w:pPr>
              <w:spacing w:after="0" w:line="20" w:lineRule="exact"/>
              <w:rPr>
                <w:sz w:val="1"/>
                <w:szCs w:val="1"/>
                <w:color w:val="auto"/>
              </w:rPr>
            </w:pPr>
          </w:p>
        </w:tc>
        <w:tc>
          <w:tcPr>
            <w:tcW w:w="100" w:type="dxa"/>
            <w:vAlign w:val="bottom"/>
            <w:vMerge w:val="restart"/>
          </w:tcPr>
          <w:p>
            <w:pPr>
              <w:jc w:val="right"/>
              <w:spacing w:after="0"/>
              <w:rPr>
                <w:rFonts w:ascii="Arial" w:cs="Arial" w:eastAsia="Arial" w:hAnsi="Arial"/>
                <w:sz w:val="16"/>
                <w:szCs w:val="16"/>
                <w:color w:val="FEFEFE"/>
                <w:w w:val="89"/>
              </w:rPr>
            </w:pPr>
            <w:hyperlink w:anchor="page17">
              <w:r>
                <w:rPr>
                  <w:rFonts w:ascii="Arial" w:cs="Arial" w:eastAsia="Arial" w:hAnsi="Arial"/>
                  <w:sz w:val="16"/>
                  <w:szCs w:val="16"/>
                  <w:color w:val="FEFEFE"/>
                  <w:w w:val="89"/>
                </w:rPr>
                <w:t>9</w:t>
              </w:r>
            </w:hyperlink>
          </w:p>
        </w:tc>
        <w:tc>
          <w:tcPr>
            <w:tcW w:w="280" w:type="dxa"/>
            <w:vAlign w:val="bottom"/>
          </w:tcPr>
          <w:p>
            <w:pPr>
              <w:spacing w:after="0" w:line="20" w:lineRule="exact"/>
              <w:rPr>
                <w:sz w:val="1"/>
                <w:szCs w:val="1"/>
                <w:color w:val="auto"/>
              </w:rPr>
            </w:pPr>
          </w:p>
        </w:tc>
        <w:tc>
          <w:tcPr>
            <w:tcW w:w="620" w:type="dxa"/>
            <w:vAlign w:val="bottom"/>
            <w:shd w:val="clear" w:color="auto" w:fill="FEFEFE"/>
          </w:tcPr>
          <w:p>
            <w:pPr>
              <w:spacing w:after="0" w:line="20" w:lineRule="exact"/>
              <w:rPr>
                <w:sz w:val="1"/>
                <w:szCs w:val="1"/>
                <w:color w:val="auto"/>
              </w:rPr>
            </w:pPr>
          </w:p>
        </w:tc>
        <w:tc>
          <w:tcPr>
            <w:tcW w:w="34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320" w:type="dxa"/>
            <w:vAlign w:val="bottom"/>
            <w:tcBorders>
              <w:left w:val="single" w:sz="8" w:color="FEFEFE"/>
              <w:right w:val="single" w:sz="8" w:color="FEFEFE"/>
            </w:tcBorders>
            <w:shd w:val="clear" w:color="auto" w:fill="FEFEFE"/>
          </w:tcPr>
          <w:p>
            <w:pPr>
              <w:spacing w:after="0" w:line="20" w:lineRule="exact"/>
              <w:rPr>
                <w:sz w:val="1"/>
                <w:szCs w:val="1"/>
                <w:color w:val="auto"/>
              </w:rPr>
            </w:pPr>
          </w:p>
        </w:tc>
        <w:tc>
          <w:tcPr>
            <w:tcW w:w="480" w:type="dxa"/>
            <w:vAlign w:val="bottom"/>
            <w:shd w:val="clear" w:color="auto" w:fill="FEFEFE"/>
          </w:tcPr>
          <w:p>
            <w:pPr>
              <w:spacing w:after="0" w:line="20" w:lineRule="exact"/>
              <w:rPr>
                <w:sz w:val="1"/>
                <w:szCs w:val="1"/>
                <w:color w:val="auto"/>
              </w:rPr>
            </w:pPr>
          </w:p>
        </w:tc>
        <w:tc>
          <w:tcPr>
            <w:tcW w:w="620" w:type="dxa"/>
            <w:vAlign w:val="bottom"/>
            <w:shd w:val="clear" w:color="auto" w:fill="FEFEF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4"/>
          </w:tcPr>
          <w:p>
            <w:pPr>
              <w:spacing w:after="0"/>
              <w:rPr>
                <w:rFonts w:ascii="Arial" w:cs="Arial" w:eastAsia="Arial" w:hAnsi="Arial"/>
                <w:sz w:val="16"/>
                <w:szCs w:val="16"/>
                <w:color w:val="FEFEFE"/>
                <w:w w:val="99"/>
              </w:rPr>
            </w:pPr>
            <w:hyperlink w:anchor="page48">
              <w:r>
                <w:rPr>
                  <w:rFonts w:ascii="Arial" w:cs="Arial" w:eastAsia="Arial" w:hAnsi="Arial"/>
                  <w:sz w:val="16"/>
                  <w:szCs w:val="16"/>
                  <w:color w:val="FEFEFE"/>
                  <w:w w:val="99"/>
                </w:rPr>
                <w:t>Executive Officers</w:t>
              </w:r>
            </w:hyperlink>
          </w:p>
        </w:tc>
        <w:tc>
          <w:tcPr>
            <w:tcW w:w="1100" w:type="dxa"/>
            <w:vAlign w:val="bottom"/>
            <w:gridSpan w:val="2"/>
          </w:tcPr>
          <w:p>
            <w:pPr>
              <w:spacing w:after="0"/>
              <w:rPr>
                <w:sz w:val="21"/>
                <w:szCs w:val="21"/>
                <w:color w:val="auto"/>
              </w:rPr>
            </w:pPr>
          </w:p>
        </w:tc>
        <w:tc>
          <w:tcPr>
            <w:tcW w:w="1820" w:type="dxa"/>
            <w:vAlign w:val="bottom"/>
            <w:gridSpan w:val="5"/>
          </w:tcPr>
          <w:p>
            <w:pPr>
              <w:spacing w:after="0"/>
              <w:rPr>
                <w:sz w:val="21"/>
                <w:szCs w:val="21"/>
                <w:color w:val="auto"/>
              </w:rPr>
            </w:pPr>
          </w:p>
        </w:tc>
        <w:tc>
          <w:tcPr>
            <w:tcW w:w="320" w:type="dxa"/>
            <w:vAlign w:val="bottom"/>
            <w:gridSpan w:val="3"/>
          </w:tcPr>
          <w:p>
            <w:pPr>
              <w:jc w:val="right"/>
              <w:spacing w:after="0"/>
              <w:rPr>
                <w:rFonts w:ascii="Arial" w:cs="Arial" w:eastAsia="Arial" w:hAnsi="Arial"/>
                <w:sz w:val="16"/>
                <w:szCs w:val="16"/>
                <w:color w:val="FEFEFE"/>
              </w:rPr>
            </w:pPr>
            <w:hyperlink w:anchor="page48">
              <w:r>
                <w:rPr>
                  <w:rFonts w:ascii="Arial" w:cs="Arial" w:eastAsia="Arial" w:hAnsi="Arial"/>
                  <w:sz w:val="16"/>
                  <w:szCs w:val="16"/>
                  <w:color w:val="FEFEFE"/>
                </w:rPr>
                <w:t>40</w:t>
              </w:r>
            </w:hyperlink>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00" w:type="dxa"/>
            <w:vAlign w:val="bottom"/>
            <w:shd w:val="clear" w:color="auto" w:fill="FEFEFE"/>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FEFEFE"/>
          </w:tcPr>
          <w:p>
            <w:pPr>
              <w:spacing w:after="0"/>
              <w:rPr>
                <w:sz w:val="2"/>
                <w:szCs w:val="2"/>
                <w:color w:val="auto"/>
              </w:rPr>
            </w:pPr>
          </w:p>
        </w:tc>
        <w:tc>
          <w:tcPr>
            <w:tcW w:w="340" w:type="dxa"/>
            <w:vAlign w:val="bottom"/>
            <w:shd w:val="clear" w:color="auto" w:fill="FEFEFE"/>
          </w:tcPr>
          <w:p>
            <w:pPr>
              <w:spacing w:after="0"/>
              <w:rPr>
                <w:sz w:val="2"/>
                <w:szCs w:val="2"/>
                <w:color w:val="auto"/>
              </w:rPr>
            </w:pPr>
          </w:p>
        </w:tc>
        <w:tc>
          <w:tcPr>
            <w:tcW w:w="40" w:type="dxa"/>
            <w:vAlign w:val="bottom"/>
            <w:shd w:val="clear" w:color="auto" w:fill="FEFEFE"/>
          </w:tcPr>
          <w:p>
            <w:pPr>
              <w:spacing w:after="0"/>
              <w:rPr>
                <w:sz w:val="2"/>
                <w:szCs w:val="2"/>
                <w:color w:val="auto"/>
              </w:rPr>
            </w:pPr>
          </w:p>
        </w:tc>
        <w:tc>
          <w:tcPr>
            <w:tcW w:w="320" w:type="dxa"/>
            <w:vAlign w:val="bottom"/>
            <w:tcBorders>
              <w:left w:val="single" w:sz="8" w:color="FEFEFE"/>
              <w:right w:val="single" w:sz="8" w:color="FEFEFE"/>
            </w:tcBorders>
            <w:shd w:val="clear" w:color="auto" w:fill="FEFEFE"/>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gridSpan w:val="3"/>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FEFEF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0" w:type="dxa"/>
            <w:vAlign w:val="bottom"/>
            <w:gridSpan w:val="2"/>
            <w:vMerge w:val="restart"/>
          </w:tcPr>
          <w:p>
            <w:pPr>
              <w:jc w:val="right"/>
              <w:spacing w:after="0"/>
              <w:rPr>
                <w:rFonts w:ascii="Arial" w:cs="Arial" w:eastAsia="Arial" w:hAnsi="Arial"/>
                <w:sz w:val="16"/>
                <w:szCs w:val="16"/>
                <w:color w:val="FEFEFE"/>
                <w:w w:val="89"/>
              </w:rPr>
            </w:pPr>
            <w:hyperlink w:anchor="page24">
              <w:r>
                <w:rPr>
                  <w:rFonts w:ascii="Arial" w:cs="Arial" w:eastAsia="Arial" w:hAnsi="Arial"/>
                  <w:sz w:val="16"/>
                  <w:szCs w:val="16"/>
                  <w:color w:val="FEFEFE"/>
                  <w:w w:val="89"/>
                </w:rPr>
                <w:t>16</w:t>
              </w:r>
            </w:hyperlink>
          </w:p>
        </w:tc>
        <w:tc>
          <w:tcPr>
            <w:tcW w:w="280" w:type="dxa"/>
            <w:vAlign w:val="bottom"/>
          </w:tcPr>
          <w:p>
            <w:pPr>
              <w:spacing w:after="0"/>
              <w:rPr>
                <w:sz w:val="23"/>
                <w:szCs w:val="23"/>
                <w:color w:val="auto"/>
              </w:rPr>
            </w:pPr>
          </w:p>
        </w:tc>
        <w:tc>
          <w:tcPr>
            <w:tcW w:w="4240" w:type="dxa"/>
            <w:vAlign w:val="bottom"/>
            <w:gridSpan w:val="11"/>
          </w:tcPr>
          <w:p>
            <w:pPr>
              <w:spacing w:after="0"/>
              <w:rPr>
                <w:rFonts w:ascii="Arial" w:cs="Arial" w:eastAsia="Arial" w:hAnsi="Arial"/>
                <w:sz w:val="16"/>
                <w:szCs w:val="16"/>
                <w:color w:val="FEFEFE"/>
              </w:rPr>
            </w:pPr>
            <w:hyperlink w:anchor="page50">
              <w:r>
                <w:rPr>
                  <w:rFonts w:ascii="Arial" w:cs="Arial" w:eastAsia="Arial" w:hAnsi="Arial"/>
                  <w:sz w:val="16"/>
                  <w:szCs w:val="16"/>
                  <w:color w:val="FEFEFE"/>
                </w:rPr>
                <w:t>Executive Compensation</w:t>
              </w:r>
            </w:hyperlink>
          </w:p>
        </w:tc>
        <w:tc>
          <w:tcPr>
            <w:tcW w:w="320" w:type="dxa"/>
            <w:vAlign w:val="bottom"/>
            <w:gridSpan w:val="3"/>
          </w:tcPr>
          <w:p>
            <w:pPr>
              <w:jc w:val="right"/>
              <w:spacing w:after="0"/>
              <w:rPr>
                <w:rFonts w:ascii="Arial" w:cs="Arial" w:eastAsia="Arial" w:hAnsi="Arial"/>
                <w:sz w:val="16"/>
                <w:szCs w:val="16"/>
                <w:color w:val="FEFEFE"/>
              </w:rPr>
            </w:pPr>
            <w:hyperlink w:anchor="page50">
              <w:r>
                <w:rPr>
                  <w:rFonts w:ascii="Arial" w:cs="Arial" w:eastAsia="Arial" w:hAnsi="Arial"/>
                  <w:sz w:val="16"/>
                  <w:szCs w:val="16"/>
                  <w:color w:val="FEFEFE"/>
                </w:rPr>
                <w:t>42</w:t>
              </w:r>
            </w:hyperlink>
          </w:p>
        </w:tc>
        <w:tc>
          <w:tcPr>
            <w:tcW w:w="0" w:type="dxa"/>
            <w:vAlign w:val="bottom"/>
          </w:tcPr>
          <w:p>
            <w:pPr>
              <w:spacing w:after="0"/>
              <w:rPr>
                <w:sz w:val="1"/>
                <w:szCs w:val="1"/>
                <w:color w:val="auto"/>
              </w:rPr>
            </w:pPr>
          </w:p>
        </w:tc>
      </w:tr>
      <w:tr>
        <w:trPr>
          <w:trHeight w:val="20"/>
        </w:trPr>
        <w:tc>
          <w:tcPr>
            <w:tcW w:w="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FEFEFE"/>
          </w:tcPr>
          <w:p>
            <w:pPr>
              <w:spacing w:after="0" w:line="20" w:lineRule="exact"/>
              <w:rPr>
                <w:sz w:val="1"/>
                <w:szCs w:val="1"/>
                <w:color w:val="auto"/>
              </w:rPr>
            </w:pPr>
          </w:p>
        </w:tc>
        <w:tc>
          <w:tcPr>
            <w:tcW w:w="34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320" w:type="dxa"/>
            <w:vAlign w:val="bottom"/>
            <w:tcBorders>
              <w:left w:val="single" w:sz="8" w:color="FEFEFE"/>
              <w:right w:val="single" w:sz="8" w:color="FEFEFE"/>
            </w:tcBorders>
            <w:shd w:val="clear" w:color="auto" w:fill="FEFEFE"/>
          </w:tcPr>
          <w:p>
            <w:pPr>
              <w:spacing w:after="0" w:line="20" w:lineRule="exact"/>
              <w:rPr>
                <w:sz w:val="1"/>
                <w:szCs w:val="1"/>
                <w:color w:val="auto"/>
              </w:rPr>
            </w:pPr>
          </w:p>
        </w:tc>
        <w:tc>
          <w:tcPr>
            <w:tcW w:w="480" w:type="dxa"/>
            <w:vAlign w:val="bottom"/>
            <w:shd w:val="clear" w:color="auto" w:fill="FEFEF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80" w:type="dxa"/>
            <w:vAlign w:val="bottom"/>
            <w:tcBorders>
              <w:bottom w:val="single" w:sz="8" w:color="FEFEFE"/>
            </w:tcBorders>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4240" w:type="dxa"/>
            <w:vAlign w:val="bottom"/>
            <w:gridSpan w:val="11"/>
            <w:vMerge w:val="restart"/>
          </w:tcPr>
          <w:p>
            <w:pPr>
              <w:spacing w:after="0"/>
              <w:rPr>
                <w:rFonts w:ascii="Arial" w:cs="Arial" w:eastAsia="Arial" w:hAnsi="Arial"/>
                <w:sz w:val="16"/>
                <w:szCs w:val="16"/>
                <w:color w:val="FEFEFE"/>
              </w:rPr>
            </w:pPr>
            <w:hyperlink w:anchor="page74">
              <w:r>
                <w:rPr>
                  <w:rFonts w:ascii="Arial" w:cs="Arial" w:eastAsia="Arial" w:hAnsi="Arial"/>
                  <w:sz w:val="16"/>
                  <w:szCs w:val="16"/>
                  <w:color w:val="FEFEFE"/>
                </w:rPr>
                <w:t>Security Ownership of Certain Beneficial Owners and</w:t>
              </w:r>
            </w:hyperlink>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40" w:type="dxa"/>
            <w:vAlign w:val="bottom"/>
            <w:gridSpan w:val="11"/>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80" w:type="dxa"/>
            <w:vAlign w:val="bottom"/>
            <w:gridSpan w:val="2"/>
            <w:vMerge w:val="restart"/>
          </w:tcPr>
          <w:p>
            <w:pPr>
              <w:jc w:val="right"/>
              <w:spacing w:after="0"/>
              <w:rPr>
                <w:rFonts w:ascii="Arial" w:cs="Arial" w:eastAsia="Arial" w:hAnsi="Arial"/>
                <w:sz w:val="16"/>
                <w:szCs w:val="16"/>
                <w:color w:val="FEFEFE"/>
                <w:w w:val="89"/>
              </w:rPr>
            </w:pPr>
            <w:hyperlink w:anchor="page32">
              <w:r>
                <w:rPr>
                  <w:rFonts w:ascii="Arial" w:cs="Arial" w:eastAsia="Arial" w:hAnsi="Arial"/>
                  <w:sz w:val="16"/>
                  <w:szCs w:val="16"/>
                  <w:color w:val="FEFEFE"/>
                  <w:w w:val="89"/>
                </w:rPr>
                <w:t>24</w:t>
              </w:r>
            </w:hyperlink>
          </w:p>
        </w:tc>
        <w:tc>
          <w:tcPr>
            <w:tcW w:w="280" w:type="dxa"/>
            <w:vAlign w:val="bottom"/>
          </w:tcPr>
          <w:p>
            <w:pPr>
              <w:spacing w:after="0"/>
              <w:rPr>
                <w:sz w:val="14"/>
                <w:szCs w:val="14"/>
                <w:color w:val="auto"/>
              </w:rPr>
            </w:pPr>
          </w:p>
        </w:tc>
        <w:tc>
          <w:tcPr>
            <w:tcW w:w="960" w:type="dxa"/>
            <w:vAlign w:val="bottom"/>
            <w:tcBorders>
              <w:top w:val="single" w:sz="8" w:color="FEFEFE"/>
            </w:tcBorders>
            <w:gridSpan w:val="2"/>
          </w:tcPr>
          <w:p>
            <w:pPr>
              <w:spacing w:after="0" w:line="169" w:lineRule="exact"/>
              <w:rPr>
                <w:rFonts w:ascii="Arial" w:cs="Arial" w:eastAsia="Arial" w:hAnsi="Arial"/>
                <w:sz w:val="16"/>
                <w:szCs w:val="16"/>
                <w:color w:val="FEFEFE"/>
              </w:rPr>
            </w:pPr>
            <w:hyperlink w:anchor="page74">
              <w:r>
                <w:rPr>
                  <w:rFonts w:ascii="Arial" w:cs="Arial" w:eastAsia="Arial" w:hAnsi="Arial"/>
                  <w:sz w:val="16"/>
                  <w:szCs w:val="16"/>
                  <w:color w:val="FEFEFE"/>
                </w:rPr>
                <w:t>Management</w:t>
              </w:r>
            </w:hyperlink>
          </w:p>
        </w:tc>
        <w:tc>
          <w:tcPr>
            <w:tcW w:w="2860" w:type="dxa"/>
            <w:vAlign w:val="bottom"/>
            <w:tcBorders>
              <w:top w:val="single" w:sz="8" w:color="FEFEFE"/>
            </w:tcBorders>
            <w:gridSpan w:val="7"/>
          </w:tcPr>
          <w:p>
            <w:pPr>
              <w:spacing w:after="0"/>
              <w:rPr>
                <w:sz w:val="14"/>
                <w:szCs w:val="14"/>
                <w:color w:val="auto"/>
              </w:rPr>
            </w:pPr>
          </w:p>
        </w:tc>
        <w:tc>
          <w:tcPr>
            <w:tcW w:w="420" w:type="dxa"/>
            <w:vAlign w:val="bottom"/>
            <w:gridSpan w:val="2"/>
          </w:tcPr>
          <w:p>
            <w:pPr>
              <w:spacing w:after="0"/>
              <w:rPr>
                <w:sz w:val="14"/>
                <w:szCs w:val="14"/>
                <w:color w:val="auto"/>
              </w:rPr>
            </w:pPr>
          </w:p>
        </w:tc>
        <w:tc>
          <w:tcPr>
            <w:tcW w:w="320" w:type="dxa"/>
            <w:vAlign w:val="bottom"/>
            <w:gridSpan w:val="3"/>
          </w:tcPr>
          <w:p>
            <w:pPr>
              <w:jc w:val="right"/>
              <w:spacing w:after="0" w:line="169" w:lineRule="exact"/>
              <w:rPr>
                <w:rFonts w:ascii="Arial" w:cs="Arial" w:eastAsia="Arial" w:hAnsi="Arial"/>
                <w:sz w:val="16"/>
                <w:szCs w:val="16"/>
                <w:color w:val="FEFEFE"/>
              </w:rPr>
            </w:pPr>
            <w:hyperlink w:anchor="page74">
              <w:r>
                <w:rPr>
                  <w:rFonts w:ascii="Arial" w:cs="Arial" w:eastAsia="Arial" w:hAnsi="Arial"/>
                  <w:sz w:val="16"/>
                  <w:szCs w:val="16"/>
                  <w:color w:val="FEFEFE"/>
                </w:rPr>
                <w:t>66</w:t>
              </w:r>
            </w:hyperlink>
          </w:p>
        </w:tc>
        <w:tc>
          <w:tcPr>
            <w:tcW w:w="0" w:type="dxa"/>
            <w:vAlign w:val="bottom"/>
          </w:tcPr>
          <w:p>
            <w:pPr>
              <w:spacing w:after="0"/>
              <w:rPr>
                <w:sz w:val="1"/>
                <w:szCs w:val="1"/>
                <w:color w:val="auto"/>
              </w:rPr>
            </w:pPr>
          </w:p>
        </w:tc>
      </w:tr>
      <w:tr>
        <w:trPr>
          <w:trHeight w:val="20"/>
        </w:trPr>
        <w:tc>
          <w:tcPr>
            <w:tcW w:w="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FEFEFE"/>
          </w:tcPr>
          <w:p>
            <w:pPr>
              <w:spacing w:after="0" w:line="20" w:lineRule="exact"/>
              <w:rPr>
                <w:sz w:val="1"/>
                <w:szCs w:val="1"/>
                <w:color w:val="auto"/>
              </w:rPr>
            </w:pPr>
          </w:p>
        </w:tc>
        <w:tc>
          <w:tcPr>
            <w:tcW w:w="340" w:type="dxa"/>
            <w:vAlign w:val="bottom"/>
            <w:shd w:val="clear" w:color="auto" w:fill="FEFEF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80" w:type="dxa"/>
            <w:vAlign w:val="bottom"/>
            <w:tcBorders>
              <w:bottom w:val="single" w:sz="8" w:color="FEFEFE"/>
            </w:tcBorders>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3860" w:type="dxa"/>
            <w:vAlign w:val="bottom"/>
            <w:gridSpan w:val="10"/>
            <w:vMerge w:val="restart"/>
          </w:tcPr>
          <w:p>
            <w:pPr>
              <w:spacing w:after="0"/>
              <w:rPr>
                <w:rFonts w:ascii="Arial" w:cs="Arial" w:eastAsia="Arial" w:hAnsi="Arial"/>
                <w:sz w:val="16"/>
                <w:szCs w:val="16"/>
                <w:color w:val="FEFEFE"/>
              </w:rPr>
            </w:pPr>
            <w:hyperlink w:anchor="page76">
              <w:r>
                <w:rPr>
                  <w:rFonts w:ascii="Arial" w:cs="Arial" w:eastAsia="Arial" w:hAnsi="Arial"/>
                  <w:sz w:val="16"/>
                  <w:szCs w:val="16"/>
                  <w:color w:val="FEFEFE"/>
                </w:rPr>
                <w:t>Certain Relationships and Related Party Transactions</w:t>
              </w:r>
            </w:hyperlink>
          </w:p>
        </w:tc>
        <w:tc>
          <w:tcPr>
            <w:tcW w:w="380" w:type="dxa"/>
            <w:vAlign w:val="bottom"/>
            <w:vMerge w:val="restart"/>
          </w:tcPr>
          <w:p>
            <w:pPr>
              <w:spacing w:after="0"/>
              <w:rPr>
                <w:sz w:val="12"/>
                <w:szCs w:val="12"/>
                <w:color w:val="auto"/>
              </w:rPr>
            </w:pPr>
          </w:p>
        </w:tc>
        <w:tc>
          <w:tcPr>
            <w:tcW w:w="320" w:type="dxa"/>
            <w:vAlign w:val="bottom"/>
            <w:gridSpan w:val="3"/>
            <w:vMerge w:val="restart"/>
          </w:tcPr>
          <w:p>
            <w:pPr>
              <w:jc w:val="right"/>
              <w:spacing w:after="0"/>
              <w:rPr>
                <w:rFonts w:ascii="Arial" w:cs="Arial" w:eastAsia="Arial" w:hAnsi="Arial"/>
                <w:sz w:val="16"/>
                <w:szCs w:val="16"/>
                <w:color w:val="FEFEFE"/>
              </w:rPr>
            </w:pPr>
            <w:hyperlink w:anchor="page76">
              <w:r>
                <w:rPr>
                  <w:rFonts w:ascii="Arial" w:cs="Arial" w:eastAsia="Arial" w:hAnsi="Arial"/>
                  <w:sz w:val="16"/>
                  <w:szCs w:val="16"/>
                  <w:color w:val="FEFEFE"/>
                </w:rPr>
                <w:t>68</w:t>
              </w:r>
            </w:hyperlink>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60" w:type="dxa"/>
            <w:vAlign w:val="bottom"/>
            <w:gridSpan w:val="10"/>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3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80" w:type="dxa"/>
            <w:vAlign w:val="bottom"/>
            <w:gridSpan w:val="2"/>
            <w:vMerge w:val="restart"/>
          </w:tcPr>
          <w:p>
            <w:pPr>
              <w:jc w:val="right"/>
              <w:spacing w:after="0"/>
              <w:rPr>
                <w:rFonts w:ascii="Arial" w:cs="Arial" w:eastAsia="Arial" w:hAnsi="Arial"/>
                <w:sz w:val="16"/>
                <w:szCs w:val="16"/>
                <w:color w:val="FEFEFE"/>
                <w:w w:val="89"/>
              </w:rPr>
            </w:pPr>
            <w:hyperlink w:anchor="page35">
              <w:r>
                <w:rPr>
                  <w:rFonts w:ascii="Arial" w:cs="Arial" w:eastAsia="Arial" w:hAnsi="Arial"/>
                  <w:sz w:val="16"/>
                  <w:szCs w:val="16"/>
                  <w:color w:val="FEFEFE"/>
                  <w:w w:val="89"/>
                </w:rPr>
                <w:t>27</w:t>
              </w:r>
            </w:hyperlink>
          </w:p>
        </w:tc>
        <w:tc>
          <w:tcPr>
            <w:tcW w:w="280" w:type="dxa"/>
            <w:vAlign w:val="bottom"/>
          </w:tcPr>
          <w:p>
            <w:pPr>
              <w:spacing w:after="0"/>
              <w:rPr>
                <w:sz w:val="21"/>
                <w:szCs w:val="21"/>
                <w:color w:val="auto"/>
              </w:rPr>
            </w:pPr>
          </w:p>
        </w:tc>
        <w:tc>
          <w:tcPr>
            <w:tcW w:w="3420" w:type="dxa"/>
            <w:vAlign w:val="bottom"/>
            <w:tcBorders>
              <w:top w:val="single" w:sz="8" w:color="FEFEFE"/>
              <w:bottom w:val="single" w:sz="8" w:color="FEFEFE"/>
            </w:tcBorders>
            <w:gridSpan w:val="8"/>
          </w:tcPr>
          <w:p>
            <w:pPr>
              <w:spacing w:after="0"/>
              <w:rPr>
                <w:rFonts w:ascii="Arial" w:cs="Arial" w:eastAsia="Arial" w:hAnsi="Arial"/>
                <w:sz w:val="16"/>
                <w:szCs w:val="16"/>
                <w:color w:val="FEFEFE"/>
              </w:rPr>
            </w:pPr>
            <w:hyperlink w:anchor="page80">
              <w:r>
                <w:rPr>
                  <w:rFonts w:ascii="Arial" w:cs="Arial" w:eastAsia="Arial" w:hAnsi="Arial"/>
                  <w:sz w:val="16"/>
                  <w:szCs w:val="16"/>
                  <w:color w:val="FEFEFE"/>
                </w:rPr>
                <w:t>Householding of Proxy Materials; Availability of</w:t>
              </w:r>
            </w:hyperlink>
          </w:p>
        </w:tc>
        <w:tc>
          <w:tcPr>
            <w:tcW w:w="440" w:type="dxa"/>
            <w:vAlign w:val="bottom"/>
            <w:tcBorders>
              <w:top w:val="single" w:sz="8" w:color="FEFEFE"/>
            </w:tcBorders>
            <w:gridSpan w:val="2"/>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FEFEFE"/>
            </w:tcBorders>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180" w:type="dxa"/>
            <w:vAlign w:val="bottom"/>
            <w:tcBorders>
              <w:bottom w:val="single" w:sz="8" w:color="FEFEFE"/>
            </w:tcBorders>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4240" w:type="dxa"/>
            <w:vAlign w:val="bottom"/>
            <w:gridSpan w:val="11"/>
            <w:vMerge w:val="restart"/>
          </w:tcPr>
          <w:p>
            <w:pPr>
              <w:spacing w:after="0" w:line="169" w:lineRule="exact"/>
              <w:rPr>
                <w:rFonts w:ascii="Arial" w:cs="Arial" w:eastAsia="Arial" w:hAnsi="Arial"/>
                <w:sz w:val="16"/>
                <w:szCs w:val="16"/>
                <w:color w:val="FEFEFE"/>
              </w:rPr>
            </w:pPr>
            <w:hyperlink w:anchor="page80">
              <w:r>
                <w:rPr>
                  <w:rFonts w:ascii="Arial" w:cs="Arial" w:eastAsia="Arial" w:hAnsi="Arial"/>
                  <w:sz w:val="16"/>
                  <w:szCs w:val="16"/>
                  <w:color w:val="FEFEFE"/>
                </w:rPr>
                <w:t>Annual Report</w:t>
              </w:r>
            </w:hyperlink>
          </w:p>
        </w:tc>
        <w:tc>
          <w:tcPr>
            <w:tcW w:w="320" w:type="dxa"/>
            <w:vAlign w:val="bottom"/>
            <w:gridSpan w:val="3"/>
            <w:vMerge w:val="restart"/>
          </w:tcPr>
          <w:p>
            <w:pPr>
              <w:jc w:val="right"/>
              <w:spacing w:after="0" w:line="169" w:lineRule="exact"/>
              <w:rPr>
                <w:rFonts w:ascii="Arial" w:cs="Arial" w:eastAsia="Arial" w:hAnsi="Arial"/>
                <w:sz w:val="16"/>
                <w:szCs w:val="16"/>
                <w:color w:val="FEFEFE"/>
              </w:rPr>
            </w:pPr>
            <w:hyperlink w:anchor="page80">
              <w:r>
                <w:rPr>
                  <w:rFonts w:ascii="Arial" w:cs="Arial" w:eastAsia="Arial" w:hAnsi="Arial"/>
                  <w:sz w:val="16"/>
                  <w:szCs w:val="16"/>
                  <w:color w:val="FEFEFE"/>
                </w:rPr>
                <w:t>72</w:t>
              </w:r>
            </w:hyperlink>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40" w:type="dxa"/>
            <w:vAlign w:val="bottom"/>
            <w:gridSpan w:val="11"/>
            <w:vMerge w:val="continue"/>
          </w:tcPr>
          <w:p>
            <w:pPr>
              <w:spacing w:after="0"/>
              <w:rPr>
                <w:sz w:val="8"/>
                <w:szCs w:val="8"/>
                <w:color w:val="auto"/>
              </w:rPr>
            </w:pPr>
          </w:p>
        </w:tc>
        <w:tc>
          <w:tcPr>
            <w:tcW w:w="3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FEFEFE"/>
          </w:tcPr>
          <w:p>
            <w:pPr>
              <w:spacing w:after="0" w:line="20" w:lineRule="exact"/>
              <w:rPr>
                <w:sz w:val="1"/>
                <w:szCs w:val="1"/>
                <w:color w:val="auto"/>
              </w:rPr>
            </w:pPr>
          </w:p>
        </w:tc>
        <w:tc>
          <w:tcPr>
            <w:tcW w:w="380" w:type="dxa"/>
            <w:vAlign w:val="bottom"/>
            <w:gridSpan w:val="2"/>
            <w:shd w:val="clear" w:color="auto" w:fill="FEFEFE"/>
          </w:tcPr>
          <w:p>
            <w:pPr>
              <w:spacing w:after="0" w:line="20" w:lineRule="exact"/>
              <w:rPr>
                <w:sz w:val="1"/>
                <w:szCs w:val="1"/>
                <w:color w:val="auto"/>
              </w:rPr>
            </w:pPr>
          </w:p>
        </w:tc>
        <w:tc>
          <w:tcPr>
            <w:tcW w:w="3240" w:type="dxa"/>
            <w:vAlign w:val="bottom"/>
            <w:tcBorders>
              <w:left w:val="single" w:sz="8" w:color="FEFEFE"/>
            </w:tcBorders>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gridSpan w:val="3"/>
          </w:tcPr>
          <w:p>
            <w:pPr>
              <w:spacing w:after="0"/>
              <w:rPr>
                <w:rFonts w:ascii="Arial" w:cs="Arial" w:eastAsia="Arial" w:hAnsi="Arial"/>
                <w:sz w:val="16"/>
                <w:szCs w:val="16"/>
                <w:color w:val="FEFEFE"/>
                <w:w w:val="98"/>
              </w:rPr>
            </w:pPr>
            <w:hyperlink w:anchor="page80">
              <w:r>
                <w:rPr>
                  <w:rFonts w:ascii="Arial" w:cs="Arial" w:eastAsia="Arial" w:hAnsi="Arial"/>
                  <w:sz w:val="16"/>
                  <w:szCs w:val="16"/>
                  <w:color w:val="FEFEFE"/>
                  <w:w w:val="98"/>
                </w:rPr>
                <w:t>Other Matters</w:t>
              </w:r>
            </w:hyperlink>
          </w:p>
        </w:tc>
        <w:tc>
          <w:tcPr>
            <w:tcW w:w="3240" w:type="dxa"/>
            <w:vAlign w:val="bottom"/>
            <w:gridSpan w:val="8"/>
          </w:tcPr>
          <w:p>
            <w:pPr>
              <w:spacing w:after="0"/>
              <w:rPr>
                <w:sz w:val="22"/>
                <w:szCs w:val="22"/>
                <w:color w:val="auto"/>
              </w:rPr>
            </w:pPr>
          </w:p>
        </w:tc>
        <w:tc>
          <w:tcPr>
            <w:tcW w:w="320" w:type="dxa"/>
            <w:vAlign w:val="bottom"/>
            <w:gridSpan w:val="3"/>
          </w:tcPr>
          <w:p>
            <w:pPr>
              <w:jc w:val="right"/>
              <w:spacing w:after="0"/>
              <w:rPr>
                <w:rFonts w:ascii="Arial" w:cs="Arial" w:eastAsia="Arial" w:hAnsi="Arial"/>
                <w:sz w:val="16"/>
                <w:szCs w:val="16"/>
                <w:color w:val="FEFEFE"/>
              </w:rPr>
            </w:pPr>
            <w:hyperlink w:anchor="page80">
              <w:r>
                <w:rPr>
                  <w:rFonts w:ascii="Arial" w:cs="Arial" w:eastAsia="Arial" w:hAnsi="Arial"/>
                  <w:sz w:val="16"/>
                  <w:szCs w:val="16"/>
                  <w:color w:val="FEFEFE"/>
                </w:rPr>
                <w:t>72</w:t>
              </w:r>
            </w:hyperlink>
          </w:p>
        </w:tc>
        <w:tc>
          <w:tcPr>
            <w:tcW w:w="0" w:type="dxa"/>
            <w:vAlign w:val="bottom"/>
          </w:tcPr>
          <w:p>
            <w:pPr>
              <w:spacing w:after="0"/>
              <w:rPr>
                <w:sz w:val="1"/>
                <w:szCs w:val="1"/>
                <w:color w:val="auto"/>
              </w:rPr>
            </w:pPr>
          </w:p>
        </w:tc>
      </w:tr>
      <w:tr>
        <w:trPr>
          <w:trHeight w:val="20"/>
        </w:trPr>
        <w:tc>
          <w:tcPr>
            <w:tcW w:w="180" w:type="dxa"/>
            <w:vAlign w:val="bottom"/>
            <w:gridSpan w:val="2"/>
            <w:vMerge w:val="restart"/>
          </w:tcPr>
          <w:p>
            <w:pPr>
              <w:jc w:val="right"/>
              <w:spacing w:after="0"/>
              <w:rPr>
                <w:rFonts w:ascii="Arial" w:cs="Arial" w:eastAsia="Arial" w:hAnsi="Arial"/>
                <w:sz w:val="16"/>
                <w:szCs w:val="16"/>
                <w:color w:val="FEFEFE"/>
                <w:w w:val="89"/>
              </w:rPr>
            </w:pPr>
            <w:hyperlink w:anchor="page37">
              <w:r>
                <w:rPr>
                  <w:rFonts w:ascii="Arial" w:cs="Arial" w:eastAsia="Arial" w:hAnsi="Arial"/>
                  <w:sz w:val="16"/>
                  <w:szCs w:val="16"/>
                  <w:color w:val="FEFEFE"/>
                  <w:w w:val="89"/>
                </w:rPr>
                <w:t>29</w:t>
              </w:r>
            </w:hyperlink>
          </w:p>
        </w:tc>
        <w:tc>
          <w:tcPr>
            <w:tcW w:w="280" w:type="dxa"/>
            <w:vAlign w:val="bottom"/>
          </w:tcPr>
          <w:p>
            <w:pPr>
              <w:spacing w:after="0" w:line="20" w:lineRule="exact"/>
              <w:rPr>
                <w:sz w:val="1"/>
                <w:szCs w:val="1"/>
                <w:color w:val="auto"/>
              </w:rPr>
            </w:pPr>
          </w:p>
        </w:tc>
        <w:tc>
          <w:tcPr>
            <w:tcW w:w="620" w:type="dxa"/>
            <w:vAlign w:val="bottom"/>
            <w:shd w:val="clear" w:color="auto" w:fill="FEFEFE"/>
          </w:tcPr>
          <w:p>
            <w:pPr>
              <w:spacing w:after="0" w:line="20" w:lineRule="exact"/>
              <w:rPr>
                <w:sz w:val="1"/>
                <w:szCs w:val="1"/>
                <w:color w:val="auto"/>
              </w:rPr>
            </w:pPr>
          </w:p>
        </w:tc>
        <w:tc>
          <w:tcPr>
            <w:tcW w:w="380" w:type="dxa"/>
            <w:vAlign w:val="bottom"/>
            <w:gridSpan w:val="2"/>
            <w:shd w:val="clear" w:color="auto" w:fill="FEFEFE"/>
          </w:tcPr>
          <w:p>
            <w:pPr>
              <w:spacing w:after="0" w:line="20" w:lineRule="exact"/>
              <w:rPr>
                <w:sz w:val="1"/>
                <w:szCs w:val="1"/>
                <w:color w:val="auto"/>
              </w:rPr>
            </w:pPr>
          </w:p>
        </w:tc>
        <w:tc>
          <w:tcPr>
            <w:tcW w:w="324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80" w:type="dxa"/>
            <w:vAlign w:val="bottom"/>
            <w:tcBorders>
              <w:bottom w:val="single" w:sz="8" w:color="FEFEFE"/>
            </w:tcBorders>
            <w:gridSpan w:val="2"/>
            <w:vMerge w:val="continue"/>
          </w:tcPr>
          <w:p>
            <w:pPr>
              <w:spacing w:after="0"/>
              <w:rPr>
                <w:sz w:val="19"/>
                <w:szCs w:val="19"/>
                <w:color w:val="auto"/>
              </w:rPr>
            </w:pPr>
          </w:p>
        </w:tc>
        <w:tc>
          <w:tcPr>
            <w:tcW w:w="280" w:type="dxa"/>
            <w:vAlign w:val="bottom"/>
            <w:vMerge w:val="restart"/>
          </w:tcPr>
          <w:p>
            <w:pPr>
              <w:spacing w:after="0"/>
              <w:rPr>
                <w:sz w:val="19"/>
                <w:szCs w:val="19"/>
                <w:color w:val="auto"/>
              </w:rPr>
            </w:pPr>
          </w:p>
        </w:tc>
        <w:tc>
          <w:tcPr>
            <w:tcW w:w="1000" w:type="dxa"/>
            <w:vAlign w:val="bottom"/>
            <w:gridSpan w:val="3"/>
            <w:vMerge w:val="restart"/>
          </w:tcPr>
          <w:p>
            <w:pPr>
              <w:spacing w:after="0"/>
              <w:rPr>
                <w:rFonts w:ascii="Arial" w:cs="Arial" w:eastAsia="Arial" w:hAnsi="Arial"/>
                <w:sz w:val="16"/>
                <w:szCs w:val="16"/>
                <w:color w:val="FEFEFE"/>
              </w:rPr>
            </w:pPr>
            <w:hyperlink w:anchor="page81">
              <w:r>
                <w:rPr>
                  <w:rFonts w:ascii="Arial" w:cs="Arial" w:eastAsia="Arial" w:hAnsi="Arial"/>
                  <w:sz w:val="16"/>
                  <w:szCs w:val="16"/>
                  <w:color w:val="FEFEFE"/>
                </w:rPr>
                <w:t>Annex A</w:t>
              </w:r>
            </w:hyperlink>
          </w:p>
        </w:tc>
        <w:tc>
          <w:tcPr>
            <w:tcW w:w="3240" w:type="dxa"/>
            <w:vAlign w:val="bottom"/>
            <w:gridSpan w:val="8"/>
            <w:vMerge w:val="restart"/>
          </w:tcPr>
          <w:p>
            <w:pPr>
              <w:spacing w:after="0"/>
              <w:rPr>
                <w:sz w:val="19"/>
                <w:szCs w:val="19"/>
                <w:color w:val="auto"/>
              </w:rPr>
            </w:pPr>
          </w:p>
        </w:tc>
        <w:tc>
          <w:tcPr>
            <w:tcW w:w="320" w:type="dxa"/>
            <w:vAlign w:val="bottom"/>
            <w:gridSpan w:val="3"/>
            <w:vMerge w:val="restart"/>
          </w:tcPr>
          <w:p>
            <w:pPr>
              <w:jc w:val="right"/>
              <w:spacing w:after="0"/>
              <w:rPr>
                <w:rFonts w:ascii="Arial" w:cs="Arial" w:eastAsia="Arial" w:hAnsi="Arial"/>
                <w:sz w:val="16"/>
                <w:szCs w:val="16"/>
                <w:color w:val="FEFEFE"/>
              </w:rPr>
            </w:pPr>
            <w:hyperlink w:anchor="page81">
              <w:r>
                <w:rPr>
                  <w:rFonts w:ascii="Arial" w:cs="Arial" w:eastAsia="Arial" w:hAnsi="Arial"/>
                  <w:sz w:val="16"/>
                  <w:szCs w:val="16"/>
                  <w:color w:val="FEFEFE"/>
                </w:rPr>
                <w:t>A-1</w:t>
              </w:r>
            </w:hyperlink>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000" w:type="dxa"/>
            <w:vAlign w:val="bottom"/>
            <w:gridSpan w:val="3"/>
            <w:vMerge w:val="continue"/>
          </w:tcPr>
          <w:p>
            <w:pPr>
              <w:spacing w:after="0" w:line="20" w:lineRule="exact"/>
              <w:rPr>
                <w:sz w:val="1"/>
                <w:szCs w:val="1"/>
                <w:color w:val="auto"/>
              </w:rPr>
            </w:pPr>
          </w:p>
        </w:tc>
        <w:tc>
          <w:tcPr>
            <w:tcW w:w="3240" w:type="dxa"/>
            <w:vAlign w:val="bottom"/>
            <w:gridSpan w:val="8"/>
            <w:vMerge w:val="continue"/>
          </w:tcPr>
          <w:p>
            <w:pPr>
              <w:spacing w:after="0" w:line="20" w:lineRule="exact"/>
              <w:rPr>
                <w:sz w:val="1"/>
                <w:szCs w:val="1"/>
                <w:color w:val="auto"/>
              </w:rPr>
            </w:pPr>
          </w:p>
        </w:tc>
        <w:tc>
          <w:tcPr>
            <w:tcW w:w="3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FEFEF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18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-3187065</wp:posOffset>
            </wp:positionH>
            <wp:positionV relativeFrom="paragraph">
              <wp:posOffset>4445000</wp:posOffset>
            </wp:positionV>
            <wp:extent cx="68065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4800" w:space="220"/>
            <w:col w:w="5219"/>
          </w:cols>
          <w:pgMar w:left="22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-96520</wp:posOffset>
            </wp:positionV>
            <wp:extent cx="6557645" cy="30175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57645"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840"/>
        <w:spacing w:after="0"/>
        <w:rPr>
          <w:sz w:val="20"/>
          <w:szCs w:val="20"/>
          <w:color w:val="auto"/>
        </w:rPr>
      </w:pPr>
      <w:r>
        <w:rPr>
          <w:rFonts w:ascii="Arial" w:cs="Arial" w:eastAsia="Arial" w:hAnsi="Arial"/>
          <w:sz w:val="16"/>
          <w:szCs w:val="16"/>
          <w:b w:val="1"/>
          <w:bCs w:val="1"/>
          <w:color w:val="auto"/>
        </w:rPr>
        <w:t>Lucid Group, Inc.</w:t>
      </w:r>
    </w:p>
    <w:p>
      <w:pPr>
        <w:spacing w:after="0" w:line="32" w:lineRule="exact"/>
        <w:rPr>
          <w:sz w:val="20"/>
          <w:szCs w:val="20"/>
          <w:color w:val="auto"/>
        </w:rPr>
      </w:pPr>
    </w:p>
    <w:p>
      <w:pPr>
        <w:jc w:val="center"/>
        <w:ind w:right="-840"/>
        <w:spacing w:after="0"/>
        <w:rPr>
          <w:sz w:val="20"/>
          <w:szCs w:val="20"/>
          <w:color w:val="auto"/>
        </w:rPr>
      </w:pPr>
      <w:r>
        <w:rPr>
          <w:rFonts w:ascii="Arial" w:cs="Arial" w:eastAsia="Arial" w:hAnsi="Arial"/>
          <w:sz w:val="16"/>
          <w:szCs w:val="16"/>
          <w:b w:val="1"/>
          <w:bCs w:val="1"/>
          <w:color w:val="auto"/>
        </w:rPr>
        <w:t>7373 Gateway Boulevard</w:t>
      </w:r>
    </w:p>
    <w:p>
      <w:pPr>
        <w:spacing w:after="0" w:line="32" w:lineRule="exact"/>
        <w:rPr>
          <w:sz w:val="20"/>
          <w:szCs w:val="20"/>
          <w:color w:val="auto"/>
        </w:rPr>
      </w:pPr>
    </w:p>
    <w:p>
      <w:pPr>
        <w:jc w:val="center"/>
        <w:ind w:right="-840"/>
        <w:spacing w:after="0"/>
        <w:rPr>
          <w:sz w:val="20"/>
          <w:szCs w:val="20"/>
          <w:color w:val="auto"/>
        </w:rPr>
      </w:pPr>
      <w:r>
        <w:rPr>
          <w:rFonts w:ascii="Arial" w:cs="Arial" w:eastAsia="Arial" w:hAnsi="Arial"/>
          <w:sz w:val="16"/>
          <w:szCs w:val="16"/>
          <w:b w:val="1"/>
          <w:bCs w:val="1"/>
          <w:color w:val="auto"/>
        </w:rPr>
        <w:t>Newark, CA 94560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60"/>
        <w:spacing w:after="0"/>
        <w:rPr>
          <w:sz w:val="20"/>
          <w:szCs w:val="20"/>
          <w:color w:val="auto"/>
        </w:rPr>
      </w:pPr>
      <w:r>
        <w:rPr>
          <w:rFonts w:ascii="Arial" w:cs="Arial" w:eastAsia="Arial" w:hAnsi="Arial"/>
          <w:sz w:val="36"/>
          <w:szCs w:val="36"/>
          <w:b w:val="1"/>
          <w:bCs w:val="1"/>
          <w:color w:val="auto"/>
        </w:rPr>
        <w:t>Proxy Statement</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32"/>
          <w:szCs w:val="32"/>
          <w:b w:val="1"/>
          <w:bCs w:val="1"/>
          <w:color w:val="auto"/>
        </w:rPr>
        <w:t>For the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3712210</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 w:name="page10"/>
    <w:bookmarkEnd w:id="9"/>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-96520</wp:posOffset>
            </wp:positionV>
            <wp:extent cx="6471920" cy="25628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71920"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Arial" w:cs="Arial" w:eastAsia="Arial" w:hAnsi="Arial"/>
          <w:sz w:val="36"/>
          <w:szCs w:val="36"/>
          <w:b w:val="1"/>
          <w:bCs w:val="1"/>
          <w:color w:val="auto"/>
        </w:rPr>
        <w:t>About Lucid</w:t>
      </w:r>
    </w:p>
    <w:p>
      <w:pPr>
        <w:spacing w:after="0" w:line="38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Business Combination Background</w:t>
      </w:r>
    </w:p>
    <w:p>
      <w:pPr>
        <w:spacing w:after="0" w:line="205" w:lineRule="exact"/>
        <w:rPr>
          <w:sz w:val="20"/>
          <w:szCs w:val="20"/>
          <w:color w:val="auto"/>
        </w:rPr>
      </w:pPr>
    </w:p>
    <w:p>
      <w:pPr>
        <w:jc w:val="both"/>
        <w:ind w:left="660" w:right="20"/>
        <w:spacing w:after="0" w:line="285" w:lineRule="auto"/>
        <w:rPr>
          <w:sz w:val="20"/>
          <w:szCs w:val="20"/>
          <w:color w:val="auto"/>
        </w:rPr>
      </w:pPr>
      <w:r>
        <w:rPr>
          <w:rFonts w:ascii="Arial" w:cs="Arial" w:eastAsia="Arial" w:hAnsi="Arial"/>
          <w:sz w:val="16"/>
          <w:szCs w:val="16"/>
          <w:color w:val="auto"/>
        </w:rPr>
        <w:t>On July 23, 2021 (the “Closing Date”), our predecessor company, Atieva, Inc. (“Atieva” or “Legacy Lucid”) consummated a merger (the “Merger”) with Churchill Capital Corp IV (“Churchill”), a special-purpose acquisition company, pursuant to a Merger Agreement by and among Churchill, Legacy Lucid and Air Merger Sub, Inc. (“Merger Sub”) (the “Merger Agreement”). Pursuant to the Merger Agreement, Merger Sub merged with and into Legacy Lucid, with Legacy Lucid the surviving company in the Merger. At the closing of the Merger (the “Closing”), Churchill changed its name to Lucid Group, Inc.</w:t>
      </w:r>
    </w:p>
    <w:p>
      <w:pPr>
        <w:spacing w:after="0" w:line="204" w:lineRule="exact"/>
        <w:rPr>
          <w:sz w:val="20"/>
          <w:szCs w:val="20"/>
          <w:color w:val="auto"/>
        </w:rPr>
      </w:pPr>
    </w:p>
    <w:p>
      <w:pPr>
        <w:ind w:left="660" w:right="140"/>
        <w:spacing w:after="0" w:line="283" w:lineRule="auto"/>
        <w:rPr>
          <w:sz w:val="20"/>
          <w:szCs w:val="20"/>
          <w:color w:val="auto"/>
        </w:rPr>
      </w:pPr>
      <w:r>
        <w:rPr>
          <w:rFonts w:ascii="Arial" w:cs="Arial" w:eastAsia="Arial" w:hAnsi="Arial"/>
          <w:sz w:val="16"/>
          <w:szCs w:val="16"/>
          <w:color w:val="auto"/>
        </w:rPr>
        <w:t>At the Closing, all shares of Legacy Lucid capital stock then issued and outstanding were automatically cancelled in exchange for 1,193,226,511 shares of Lucid’s Common Stock, par value $0.0001 per share (the “Common Stock”). In addition, at the Closing, Lucid issued 166,666,667 shares of Common Stock to certain investors (the “PIPE Investors”), including Ayar Third Investment Company (“Ayar”), Legacy Lucid’s majority shareholder, for a purchase price of $15.00 per share, pursuant to common stock subscription agreements entered into between Churchill and the PIPE Investors in February 2021. Ayar purchased 13,333,333 of these shares. As of the Closing, former Churchill’s public stockholders owned approximately 12.8% of the outstanding shares of our Common Stock, Legacy Lucid’s former shareholders owned approximately 73.7% of the outstanding shares of our Common Stock (with Ayar owning approximately 62.7% of the outstanding shares of our Common Stock), Churchill Sponsor IV LLC, a Delaware limited liability company (“Churchill Sponsor” or the “Sponsor”) owned approximately 3.2% of the outstanding shares of our Common Stock, and the PIPE Investors owned approximately 10.3% of the outstanding shares of our Common Stock.</w:t>
      </w:r>
    </w:p>
    <w:p>
      <w:pPr>
        <w:sectPr>
          <w:pgSz w:w="11900" w:h="16838" w:orient="portrait"/>
          <w:cols w:equalWidth="0" w:num="1">
            <w:col w:w="10040"/>
          </w:cols>
          <w:pgMar w:left="580" w:top="131"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tabs>
          <w:tab w:leader="none" w:pos="9960" w:val="left"/>
        </w:tabs>
        <w:rPr>
          <w:sz w:val="20"/>
          <w:szCs w:val="20"/>
          <w:color w:val="auto"/>
        </w:rPr>
      </w:pPr>
      <w:r>
        <w:rPr>
          <w:rFonts w:ascii="Arial" w:cs="Arial" w:eastAsia="Arial" w:hAnsi="Arial"/>
          <w:sz w:val="13"/>
          <w:szCs w:val="13"/>
          <w:color w:val="auto"/>
        </w:rPr>
        <w:t>2022 Proxy Statement</w:t>
      </w:r>
      <w:r>
        <w:rPr>
          <w:sz w:val="20"/>
          <w:szCs w:val="20"/>
          <w:color w:val="auto"/>
        </w:rPr>
        <w:tab/>
      </w:r>
      <w:r>
        <w:rPr>
          <w:rFonts w:ascii="Arial" w:cs="Arial" w:eastAsia="Arial" w:hAnsi="Arial"/>
          <w:sz w:val="10"/>
          <w:szCs w:val="10"/>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1" w:right="1279"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right="500"/>
        <w:spacing w:after="0" w:line="259" w:lineRule="auto"/>
        <w:rPr>
          <w:sz w:val="20"/>
          <w:szCs w:val="20"/>
          <w:color w:val="auto"/>
        </w:rPr>
      </w:pPr>
      <w:r>
        <w:rPr>
          <w:rFonts w:ascii="Arial" w:cs="Arial" w:eastAsia="Arial" w:hAnsi="Arial"/>
          <w:sz w:val="36"/>
          <w:szCs w:val="36"/>
          <w:b w:val="1"/>
          <w:bCs w:val="1"/>
          <w:color w:val="auto"/>
        </w:rPr>
        <w:t>Questions and Answers About These Proxy Materials and Voting</w:t>
      </w:r>
    </w:p>
    <w:p>
      <w:pPr>
        <w:spacing w:after="0" w:line="293" w:lineRule="exact"/>
        <w:rPr>
          <w:sz w:val="20"/>
          <w:szCs w:val="20"/>
          <w:color w:val="auto"/>
        </w:rPr>
      </w:pPr>
    </w:p>
    <w:p>
      <w:pPr>
        <w:ind w:left="660" w:right="660"/>
        <w:spacing w:after="0" w:line="305" w:lineRule="auto"/>
        <w:rPr>
          <w:sz w:val="20"/>
          <w:szCs w:val="20"/>
          <w:color w:val="auto"/>
        </w:rPr>
      </w:pPr>
      <w:r>
        <w:rPr>
          <w:rFonts w:ascii="Arial" w:cs="Arial" w:eastAsia="Arial" w:hAnsi="Arial"/>
          <w:sz w:val="14"/>
          <w:szCs w:val="14"/>
          <w:b w:val="1"/>
          <w:bCs w:val="1"/>
          <w:color w:val="886B25"/>
        </w:rPr>
        <w:t>Why did I receive a one-page notice in the mail regarding the internet availability of proxy materials instead of a full set of proxy materials?</w:t>
      </w:r>
    </w:p>
    <w:p>
      <w:pPr>
        <w:spacing w:after="0" w:line="119" w:lineRule="exact"/>
        <w:rPr>
          <w:sz w:val="20"/>
          <w:szCs w:val="20"/>
          <w:color w:val="auto"/>
        </w:rPr>
      </w:pPr>
    </w:p>
    <w:p>
      <w:pPr>
        <w:ind w:left="660" w:right="60"/>
        <w:spacing w:after="0" w:line="266" w:lineRule="auto"/>
        <w:rPr>
          <w:sz w:val="20"/>
          <w:szCs w:val="20"/>
          <w:color w:val="auto"/>
        </w:rPr>
      </w:pPr>
      <w:r>
        <w:rPr>
          <w:rFonts w:ascii="Arial" w:cs="Arial" w:eastAsia="Arial" w:hAnsi="Arial"/>
          <w:sz w:val="16"/>
          <w:szCs w:val="16"/>
          <w:color w:val="auto"/>
        </w:rPr>
        <w:t>Pursuant to “Notice and Access” rules adopted by the Securities and Exchange Commission (the “SEC”), we have elected to provide access to our proxy materials over the internet. Accordingly, we are sending an Important Notice Regarding the Availability of Proxy Materials (the “Proxy Availability Notice”) to our stockholders of record. All stockholders will have the ability to access the proxy materials on the website referred to in the Proxy Availability Notice free of charge or request to receive a printed set of the proxy materials for the Annual Meeting. Instructions on how to access the proxy materials over the internet or to request a printed copy may be found in the Proxy Availability Notice. We encourage stockholders to take advantage of the availability of the proxy materials online to help reduce the environmental impact of our annual meetings and reduce our printing and mailing costs.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expect that this Proxy Statement and the other proxy materials will be available to stockholders on or about April 28, 2022.</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Why are you having a virtual annual meeting?</w:t>
      </w:r>
    </w:p>
    <w:p>
      <w:pPr>
        <w:spacing w:after="0" w:line="192" w:lineRule="exact"/>
        <w:rPr>
          <w:sz w:val="20"/>
          <w:szCs w:val="20"/>
          <w:color w:val="auto"/>
        </w:rPr>
      </w:pPr>
    </w:p>
    <w:p>
      <w:pPr>
        <w:ind w:left="660" w:right="240"/>
        <w:spacing w:after="0" w:line="268" w:lineRule="auto"/>
        <w:rPr>
          <w:sz w:val="20"/>
          <w:szCs w:val="20"/>
          <w:color w:val="auto"/>
        </w:rPr>
      </w:pPr>
      <w:r>
        <w:rPr>
          <w:rFonts w:ascii="Arial" w:cs="Arial" w:eastAsia="Arial" w:hAnsi="Arial"/>
          <w:sz w:val="16"/>
          <w:szCs w:val="16"/>
          <w:color w:val="auto"/>
        </w:rPr>
        <w:t>The Annual Meeting will be held in a virtual-only meeting format, via live webcast that will provide stockholders with the ability to participate in the Annual Meeting, vote their shares and ask questions. We believe that a virtual meeting will enable expanded access and increased stockholder attendance and participation in light of the public health and travel concerns related to the ongoing COVID-19 pandemic and the resultant recommendations issued by federal, state and local governments.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How can I attend a virtual annual meeting?</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Annual Meeting will be held on June 9, 2022 at 9:00 a.m. (Pacific Time) via live webcast.</w:t>
      </w:r>
    </w:p>
    <w:p>
      <w:pPr>
        <w:spacing w:after="0" w:line="235" w:lineRule="exact"/>
        <w:rPr>
          <w:sz w:val="20"/>
          <w:szCs w:val="20"/>
          <w:color w:val="auto"/>
        </w:rPr>
      </w:pPr>
    </w:p>
    <w:p>
      <w:pPr>
        <w:jc w:val="both"/>
        <w:ind w:left="660" w:right="220"/>
        <w:spacing w:after="0" w:line="271" w:lineRule="auto"/>
        <w:rPr>
          <w:sz w:val="20"/>
          <w:szCs w:val="20"/>
          <w:color w:val="auto"/>
        </w:rPr>
      </w:pPr>
      <w:r>
        <w:rPr>
          <w:rFonts w:ascii="Arial" w:cs="Arial" w:eastAsia="Arial" w:hAnsi="Arial"/>
          <w:sz w:val="16"/>
          <w:szCs w:val="16"/>
          <w:color w:val="auto"/>
        </w:rPr>
        <w:t>Only stockholders of record and beneficial owners of shares of our Common Stock as of the close of business on April 12, 2022, the record date, may participate in the Annual Meeting, including voting and asking questions during the virtual Annual Meeting. You will not be able to attend the Annual Meeting physically in person.</w:t>
      </w:r>
    </w:p>
    <w:p>
      <w:pPr>
        <w:spacing w:after="0" w:line="200" w:lineRule="exact"/>
        <w:rPr>
          <w:sz w:val="20"/>
          <w:szCs w:val="20"/>
          <w:color w:val="auto"/>
        </w:rPr>
      </w:pPr>
    </w:p>
    <w:p>
      <w:pPr>
        <w:ind w:left="660" w:right="120"/>
        <w:spacing w:after="0" w:line="271" w:lineRule="auto"/>
        <w:rPr>
          <w:sz w:val="20"/>
          <w:szCs w:val="20"/>
          <w:color w:val="auto"/>
        </w:rPr>
      </w:pPr>
      <w:r>
        <w:rPr>
          <w:rFonts w:ascii="Arial" w:cs="Arial" w:eastAsia="Arial" w:hAnsi="Arial"/>
          <w:sz w:val="16"/>
          <w:szCs w:val="16"/>
          <w:color w:val="auto"/>
        </w:rPr>
        <w:t>In order to attend the Annual Meeting, you must register at www.proxydocs.com/LCID. Upon completing your registration, you will receive further instructions via email, including a unique link that will allow you access to the Annual Meeting and to vote and submit questions during the Annual Meeting.</w:t>
      </w:r>
    </w:p>
    <w:p>
      <w:pPr>
        <w:spacing w:after="0" w:line="200" w:lineRule="exact"/>
        <w:rPr>
          <w:sz w:val="20"/>
          <w:szCs w:val="20"/>
          <w:color w:val="auto"/>
        </w:rPr>
      </w:pPr>
    </w:p>
    <w:p>
      <w:pPr>
        <w:ind w:left="660"/>
        <w:spacing w:after="0" w:line="267" w:lineRule="auto"/>
        <w:rPr>
          <w:sz w:val="20"/>
          <w:szCs w:val="20"/>
          <w:color w:val="auto"/>
        </w:rPr>
      </w:pPr>
      <w:r>
        <w:rPr>
          <w:rFonts w:ascii="Arial" w:cs="Arial" w:eastAsia="Arial" w:hAnsi="Arial"/>
          <w:sz w:val="16"/>
          <w:szCs w:val="16"/>
          <w:color w:val="auto"/>
        </w:rPr>
        <w:t>As part of the registration process, you must enter the control number located on your proxy card, voting instruction form, or Proxy Availability Notice. If you are a beneficial owner of shares registered in the name of a broker, bank or other nominee, you will also need to provide the registered name on your account and the name of your broker, bank or other nominee as part of the registration process. If you are having trouble registering online, please use the link “Having trouble registering” at the bottom of the registration page to access the FAQ or email DSMSupport@mediantonline.com.</w:t>
      </w:r>
    </w:p>
    <w:p>
      <w:pPr>
        <w:spacing w:after="0" w:line="205" w:lineRule="exact"/>
        <w:rPr>
          <w:sz w:val="20"/>
          <w:szCs w:val="20"/>
          <w:color w:val="auto"/>
        </w:rPr>
      </w:pPr>
    </w:p>
    <w:p>
      <w:pPr>
        <w:ind w:left="660" w:right="280"/>
        <w:spacing w:after="0" w:line="278" w:lineRule="auto"/>
        <w:rPr>
          <w:sz w:val="20"/>
          <w:szCs w:val="20"/>
          <w:color w:val="auto"/>
        </w:rPr>
      </w:pPr>
      <w:r>
        <w:rPr>
          <w:rFonts w:ascii="Arial" w:cs="Arial" w:eastAsia="Arial" w:hAnsi="Arial"/>
          <w:sz w:val="16"/>
          <w:szCs w:val="16"/>
          <w:color w:val="auto"/>
        </w:rPr>
        <w:t>Whether or not you plan to attend the Annual Meeting, we urge you to vote and submit your proxy in advance of the meeting by one of the methods described in these proxy materials.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Can I ask questions at the virtual Annual Meeting?</w:t>
      </w:r>
    </w:p>
    <w:p>
      <w:pPr>
        <w:spacing w:after="0" w:line="192" w:lineRule="exact"/>
        <w:rPr>
          <w:sz w:val="20"/>
          <w:szCs w:val="20"/>
          <w:color w:val="auto"/>
        </w:rPr>
      </w:pPr>
    </w:p>
    <w:p>
      <w:pPr>
        <w:ind w:left="660" w:right="120"/>
        <w:spacing w:after="0" w:line="268" w:lineRule="auto"/>
        <w:rPr>
          <w:sz w:val="20"/>
          <w:szCs w:val="20"/>
          <w:color w:val="auto"/>
        </w:rPr>
      </w:pPr>
      <w:r>
        <w:rPr>
          <w:rFonts w:ascii="Arial" w:cs="Arial" w:eastAsia="Arial" w:hAnsi="Arial"/>
          <w:sz w:val="16"/>
          <w:szCs w:val="16"/>
          <w:color w:val="auto"/>
        </w:rPr>
        <w:t>Stockholders as of our Record Date who attend and participate in our virtual Annual Meeting will have an opportunity to submit questions live via the internet during a designated portion of the meeting. These stockholders may also submit a question in advance of the Annual Meeting by registering at www.proxydocs.com/LCID. In both cases, stockholders must have available their control number provided on their proxy card, voting instruction form, or Proxy Availability Notice.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What does it mean if I receive more than one Proxy Availability Notice?</w:t>
      </w:r>
    </w:p>
    <w:p>
      <w:pPr>
        <w:spacing w:after="0" w:line="192" w:lineRule="exact"/>
        <w:rPr>
          <w:sz w:val="20"/>
          <w:szCs w:val="20"/>
          <w:color w:val="auto"/>
        </w:rPr>
      </w:pPr>
    </w:p>
    <w:p>
      <w:pPr>
        <w:jc w:val="both"/>
        <w:ind w:left="660" w:right="580"/>
        <w:spacing w:after="0" w:line="278" w:lineRule="auto"/>
        <w:rPr>
          <w:sz w:val="20"/>
          <w:szCs w:val="20"/>
          <w:color w:val="auto"/>
        </w:rPr>
      </w:pPr>
      <w:r>
        <w:rPr>
          <w:rFonts w:ascii="Arial" w:cs="Arial" w:eastAsia="Arial" w:hAnsi="Arial"/>
          <w:sz w:val="16"/>
          <w:szCs w:val="16"/>
          <w:color w:val="auto"/>
        </w:rPr>
        <w:t>If you receive more than one Proxy Availability Notice, your shares may be registered in more than one name or in different accounts. Please follow the voting instructions on each Proxy Availability Notice to ensure that all of your shares are voted.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Will I receive any other proxy materials by mail?</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may send you a proxy card, along with a second Proxy Availability Notice, by mail on or after April 28, 2022.</w:t>
      </w:r>
    </w:p>
    <w:p>
      <w:pPr>
        <w:sectPr>
          <w:pgSz w:w="11900" w:h="16838" w:orient="portrait"/>
          <w:cols w:equalWidth="0" w:num="1">
            <w:col w:w="10040"/>
          </w:cols>
          <w:pgMar w:left="580" w:top="132" w:right="127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2"/>
          <w:szCs w:val="12"/>
          <w:b w:val="1"/>
          <w:bCs w:val="1"/>
          <w:color w:val="auto"/>
        </w:rPr>
        <w:t>2</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110490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Who can vote at the Annual Meeting?</w:t>
      </w:r>
    </w:p>
    <w:p>
      <w:pPr>
        <w:spacing w:after="0" w:line="192" w:lineRule="exact"/>
        <w:rPr>
          <w:sz w:val="20"/>
          <w:szCs w:val="20"/>
          <w:color w:val="auto"/>
        </w:rPr>
      </w:pPr>
    </w:p>
    <w:p>
      <w:pPr>
        <w:jc w:val="both"/>
        <w:ind w:left="660" w:right="400"/>
        <w:spacing w:after="0" w:line="278" w:lineRule="auto"/>
        <w:rPr>
          <w:sz w:val="20"/>
          <w:szCs w:val="20"/>
          <w:color w:val="auto"/>
        </w:rPr>
      </w:pPr>
      <w:r>
        <w:rPr>
          <w:rFonts w:ascii="Arial" w:cs="Arial" w:eastAsia="Arial" w:hAnsi="Arial"/>
          <w:sz w:val="16"/>
          <w:szCs w:val="16"/>
          <w:color w:val="auto"/>
        </w:rPr>
        <w:t>Only stockholders of record at the close of business on the Record Date of April 12, 2022 will be entitled to vote at the Annual Meeting. On the Record Date, there were 1,667,235,197 shares of Common Stock outstanding and entitled to vote.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Stockholder of Record: Shares Registered in Your Name</w:t>
      </w:r>
    </w:p>
    <w:p>
      <w:pPr>
        <w:spacing w:after="0" w:line="192" w:lineRule="exact"/>
        <w:rPr>
          <w:sz w:val="20"/>
          <w:szCs w:val="20"/>
          <w:color w:val="auto"/>
        </w:rPr>
      </w:pPr>
    </w:p>
    <w:p>
      <w:pPr>
        <w:ind w:left="660" w:right="220"/>
        <w:spacing w:after="0" w:line="278" w:lineRule="auto"/>
        <w:rPr>
          <w:sz w:val="20"/>
          <w:szCs w:val="20"/>
          <w:color w:val="auto"/>
        </w:rPr>
      </w:pPr>
      <w:r>
        <w:rPr>
          <w:rFonts w:ascii="Arial" w:cs="Arial" w:eastAsia="Arial" w:hAnsi="Arial"/>
          <w:sz w:val="16"/>
          <w:szCs w:val="16"/>
          <w:color w:val="auto"/>
        </w:rPr>
        <w:t>If, on April 12, 2022, your shares were registered directly in your name with our transfer agent, Equiniti Trust Company, then you are a stockholder of record. As a stockholder of record, you may vote at the Annual Meeting or vote by proxy.</w:t>
      </w:r>
    </w:p>
    <w:p>
      <w:pPr>
        <w:spacing w:after="0" w:line="195" w:lineRule="exact"/>
        <w:rPr>
          <w:sz w:val="20"/>
          <w:szCs w:val="20"/>
          <w:color w:val="auto"/>
        </w:rPr>
      </w:pPr>
    </w:p>
    <w:p>
      <w:pPr>
        <w:jc w:val="both"/>
        <w:ind w:left="660" w:right="420"/>
        <w:spacing w:after="0" w:line="271" w:lineRule="auto"/>
        <w:rPr>
          <w:sz w:val="20"/>
          <w:szCs w:val="20"/>
          <w:color w:val="auto"/>
        </w:rPr>
      </w:pPr>
      <w:r>
        <w:rPr>
          <w:rFonts w:ascii="Arial" w:cs="Arial" w:eastAsia="Arial" w:hAnsi="Arial"/>
          <w:sz w:val="16"/>
          <w:szCs w:val="16"/>
          <w:color w:val="auto"/>
        </w:rPr>
        <w:t>Whether or not you plan to attend the Annual Meeting, we urge you to vote by proxy over the telephone or on the internet as instructed below (see “How do I vote?”) or complete, date, sign and return the proxy card mailed to you to ensure your vote is counted.</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Beneficial Owner: Shares Registered in the Name of a Broker, Bank or Other Nominee</w:t>
      </w:r>
    </w:p>
    <w:p>
      <w:pPr>
        <w:spacing w:after="0" w:line="192" w:lineRule="exact"/>
        <w:rPr>
          <w:sz w:val="20"/>
          <w:szCs w:val="20"/>
          <w:color w:val="auto"/>
        </w:rPr>
      </w:pPr>
    </w:p>
    <w:p>
      <w:pPr>
        <w:ind w:left="660" w:right="120"/>
        <w:spacing w:after="0" w:line="266" w:lineRule="auto"/>
        <w:rPr>
          <w:sz w:val="20"/>
          <w:szCs w:val="20"/>
          <w:color w:val="auto"/>
        </w:rPr>
      </w:pPr>
      <w:r>
        <w:rPr>
          <w:rFonts w:ascii="Arial" w:cs="Arial" w:eastAsia="Arial" w:hAnsi="Arial"/>
          <w:sz w:val="16"/>
          <w:szCs w:val="16"/>
          <w:color w:val="auto"/>
        </w:rPr>
        <w:t>If, on April 12, 2022, your shares were held, not in your name, but rather in an account at a brokerage firm, bank, dealer or other similar organization, then you are the beneficial owner of shares held in “street name” and the Proxy Availability Notice is being forwarded to you by the organization that holds your account. The organization holding your account is considered to be the stockholder of record for purposes of voting at the Annual Meeting. As a beneficial owner, you have the right to direct your broker, bank or other nominee regarding how to vote the shares in your account. You are also invited to attend the Annual Meeting. You may attend and vote at the Annual Meeting by registering as instructed above (see “How can I attend a virtual annual meeting?).</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What am I voting on?</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are five matters scheduled for a vote:</w:t>
      </w:r>
    </w:p>
    <w:p>
      <w:pPr>
        <w:spacing w:after="0" w:line="154" w:lineRule="exact"/>
        <w:rPr>
          <w:sz w:val="20"/>
          <w:szCs w:val="20"/>
          <w:color w:val="auto"/>
        </w:rPr>
      </w:pPr>
    </w:p>
    <w:p>
      <w:pPr>
        <w:ind w:left="820" w:hanging="166"/>
        <w:spacing w:after="0"/>
        <w:tabs>
          <w:tab w:leader="none" w:pos="820" w:val="left"/>
        </w:tabs>
        <w:numPr>
          <w:ilvl w:val="0"/>
          <w:numId w:val="10"/>
        </w:numPr>
        <w:rPr>
          <w:rFonts w:ascii="Arial" w:cs="Arial" w:eastAsia="Arial" w:hAnsi="Arial"/>
          <w:sz w:val="16"/>
          <w:szCs w:val="16"/>
          <w:color w:val="886B25"/>
        </w:rPr>
      </w:pPr>
      <w:r>
        <w:rPr>
          <w:rFonts w:ascii="Arial" w:cs="Arial" w:eastAsia="Arial" w:hAnsi="Arial"/>
          <w:sz w:val="16"/>
          <w:szCs w:val="16"/>
          <w:color w:val="auto"/>
        </w:rPr>
        <w:t>Election of directors;</w:t>
      </w:r>
    </w:p>
    <w:p>
      <w:pPr>
        <w:spacing w:after="0" w:line="140" w:lineRule="exact"/>
        <w:rPr>
          <w:rFonts w:ascii="Arial" w:cs="Arial" w:eastAsia="Arial" w:hAnsi="Arial"/>
          <w:sz w:val="16"/>
          <w:szCs w:val="16"/>
          <w:color w:val="886B25"/>
        </w:rPr>
      </w:pPr>
    </w:p>
    <w:p>
      <w:pPr>
        <w:ind w:left="820" w:right="60" w:hanging="166"/>
        <w:spacing w:after="0" w:line="295" w:lineRule="auto"/>
        <w:tabs>
          <w:tab w:leader="none" w:pos="820" w:val="left"/>
        </w:tabs>
        <w:numPr>
          <w:ilvl w:val="0"/>
          <w:numId w:val="10"/>
        </w:numPr>
        <w:rPr>
          <w:rFonts w:ascii="Arial" w:cs="Arial" w:eastAsia="Arial" w:hAnsi="Arial"/>
          <w:sz w:val="16"/>
          <w:szCs w:val="16"/>
          <w:color w:val="886B25"/>
        </w:rPr>
      </w:pPr>
      <w:r>
        <w:rPr>
          <w:rFonts w:ascii="Arial" w:cs="Arial" w:eastAsia="Arial" w:hAnsi="Arial"/>
          <w:sz w:val="16"/>
          <w:szCs w:val="16"/>
          <w:color w:val="auto"/>
        </w:rPr>
        <w:t>Ratification of the selection of Grant Thornton LLP (“GT”) as our independent registered public accounting firm for the fiscal year ending December 31, 2022;</w:t>
      </w:r>
    </w:p>
    <w:p>
      <w:pPr>
        <w:spacing w:after="0" w:line="87" w:lineRule="exact"/>
        <w:rPr>
          <w:rFonts w:ascii="Arial" w:cs="Arial" w:eastAsia="Arial" w:hAnsi="Arial"/>
          <w:sz w:val="16"/>
          <w:szCs w:val="16"/>
          <w:color w:val="886B25"/>
        </w:rPr>
      </w:pPr>
    </w:p>
    <w:p>
      <w:pPr>
        <w:ind w:left="820" w:hanging="166"/>
        <w:spacing w:after="0"/>
        <w:tabs>
          <w:tab w:leader="none" w:pos="820" w:val="left"/>
        </w:tabs>
        <w:numPr>
          <w:ilvl w:val="0"/>
          <w:numId w:val="10"/>
        </w:numPr>
        <w:rPr>
          <w:rFonts w:ascii="Arial" w:cs="Arial" w:eastAsia="Arial" w:hAnsi="Arial"/>
          <w:sz w:val="16"/>
          <w:szCs w:val="16"/>
          <w:color w:val="886B25"/>
        </w:rPr>
      </w:pPr>
      <w:r>
        <w:rPr>
          <w:rFonts w:ascii="Arial" w:cs="Arial" w:eastAsia="Arial" w:hAnsi="Arial"/>
          <w:sz w:val="16"/>
          <w:szCs w:val="16"/>
          <w:color w:val="auto"/>
        </w:rPr>
        <w:t>Approval, on an advisory basis, of the compensation of our named executive officers;</w:t>
      </w:r>
    </w:p>
    <w:p>
      <w:pPr>
        <w:spacing w:after="0" w:line="126" w:lineRule="exact"/>
        <w:rPr>
          <w:rFonts w:ascii="Arial" w:cs="Arial" w:eastAsia="Arial" w:hAnsi="Arial"/>
          <w:sz w:val="16"/>
          <w:szCs w:val="16"/>
          <w:color w:val="886B25"/>
        </w:rPr>
      </w:pPr>
    </w:p>
    <w:p>
      <w:pPr>
        <w:ind w:left="820" w:right="620" w:hanging="166"/>
        <w:spacing w:after="0" w:line="295" w:lineRule="auto"/>
        <w:tabs>
          <w:tab w:leader="none" w:pos="820" w:val="left"/>
        </w:tabs>
        <w:numPr>
          <w:ilvl w:val="0"/>
          <w:numId w:val="10"/>
        </w:numPr>
        <w:rPr>
          <w:rFonts w:ascii="Arial" w:cs="Arial" w:eastAsia="Arial" w:hAnsi="Arial"/>
          <w:sz w:val="16"/>
          <w:szCs w:val="16"/>
          <w:color w:val="886B25"/>
        </w:rPr>
      </w:pPr>
      <w:r>
        <w:rPr>
          <w:rFonts w:ascii="Arial" w:cs="Arial" w:eastAsia="Arial" w:hAnsi="Arial"/>
          <w:sz w:val="16"/>
          <w:szCs w:val="16"/>
          <w:color w:val="auto"/>
        </w:rPr>
        <w:t>Approval, on an advisory basis, of the frequency of future stockholder advisory votes on the compensation of our named executive officers; and</w:t>
      </w:r>
    </w:p>
    <w:p>
      <w:pPr>
        <w:spacing w:after="0" w:line="87" w:lineRule="exact"/>
        <w:rPr>
          <w:rFonts w:ascii="Arial" w:cs="Arial" w:eastAsia="Arial" w:hAnsi="Arial"/>
          <w:sz w:val="16"/>
          <w:szCs w:val="16"/>
          <w:color w:val="886B25"/>
        </w:rPr>
      </w:pPr>
    </w:p>
    <w:p>
      <w:pPr>
        <w:ind w:left="820" w:hanging="166"/>
        <w:spacing w:after="0"/>
        <w:tabs>
          <w:tab w:leader="none" w:pos="820" w:val="left"/>
        </w:tabs>
        <w:numPr>
          <w:ilvl w:val="0"/>
          <w:numId w:val="10"/>
        </w:numPr>
        <w:rPr>
          <w:rFonts w:ascii="Arial" w:cs="Arial" w:eastAsia="Arial" w:hAnsi="Arial"/>
          <w:sz w:val="16"/>
          <w:szCs w:val="16"/>
          <w:color w:val="886B25"/>
        </w:rPr>
      </w:pPr>
      <w:r>
        <w:rPr>
          <w:rFonts w:ascii="Arial" w:cs="Arial" w:eastAsia="Arial" w:hAnsi="Arial"/>
          <w:sz w:val="16"/>
          <w:szCs w:val="16"/>
          <w:color w:val="auto"/>
        </w:rPr>
        <w:t>Approval of the amendment of the Lucid Group, Inc. 2021 Stock Incentive Plan.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What if another matter is properly brought before the Annual Meeting?</w:t>
      </w:r>
    </w:p>
    <w:p>
      <w:pPr>
        <w:spacing w:after="0" w:line="192" w:lineRule="exact"/>
        <w:rPr>
          <w:sz w:val="20"/>
          <w:szCs w:val="20"/>
          <w:color w:val="auto"/>
        </w:rPr>
      </w:pPr>
    </w:p>
    <w:p>
      <w:pPr>
        <w:ind w:left="660" w:right="160"/>
        <w:spacing w:after="0" w:line="271" w:lineRule="auto"/>
        <w:rPr>
          <w:sz w:val="20"/>
          <w:szCs w:val="20"/>
          <w:color w:val="auto"/>
        </w:rPr>
      </w:pPr>
      <w:r>
        <w:rPr>
          <w:rFonts w:ascii="Arial" w:cs="Arial" w:eastAsia="Arial" w:hAnsi="Arial"/>
          <w:sz w:val="16"/>
          <w:szCs w:val="16"/>
          <w:color w:val="auto"/>
        </w:rPr>
        <w:t>Our Board of Directors (the “Board” or the “Board of Directors”) knows of no other matters that will be presented for consideration at the Annual Meeting. If any other matters are properly brought before the Annual Meeting, the persons named in the accompanying proxy will vote the shares for which you grant your proxy on those matters in accordance with their best judgment.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What is the Board’s voting recommendation?</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Board recommends that you vote your shares:</w:t>
      </w:r>
    </w:p>
    <w:p>
      <w:pPr>
        <w:spacing w:after="0" w:line="147" w:lineRule="exact"/>
        <w:rPr>
          <w:sz w:val="20"/>
          <w:szCs w:val="20"/>
          <w:color w:val="auto"/>
        </w:rPr>
      </w:pPr>
    </w:p>
    <w:p>
      <w:pPr>
        <w:ind w:left="820" w:hanging="166"/>
        <w:spacing w:after="0"/>
        <w:tabs>
          <w:tab w:leader="none" w:pos="820" w:val="left"/>
        </w:tabs>
        <w:numPr>
          <w:ilvl w:val="0"/>
          <w:numId w:val="11"/>
        </w:numPr>
        <w:rPr>
          <w:rFonts w:ascii="Arial" w:cs="Arial" w:eastAsia="Arial" w:hAnsi="Arial"/>
          <w:sz w:val="16"/>
          <w:szCs w:val="16"/>
          <w:color w:val="886B25"/>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the election of each of the nominees for director;</w:t>
      </w:r>
    </w:p>
    <w:p>
      <w:pPr>
        <w:spacing w:after="0" w:line="126" w:lineRule="exact"/>
        <w:rPr>
          <w:rFonts w:ascii="Arial" w:cs="Arial" w:eastAsia="Arial" w:hAnsi="Arial"/>
          <w:sz w:val="16"/>
          <w:szCs w:val="16"/>
          <w:color w:val="886B25"/>
        </w:rPr>
      </w:pPr>
    </w:p>
    <w:p>
      <w:pPr>
        <w:ind w:left="820" w:hanging="166"/>
        <w:spacing w:after="0"/>
        <w:tabs>
          <w:tab w:leader="none" w:pos="820" w:val="left"/>
        </w:tabs>
        <w:numPr>
          <w:ilvl w:val="0"/>
          <w:numId w:val="11"/>
        </w:numPr>
        <w:rPr>
          <w:rFonts w:ascii="Arial" w:cs="Arial" w:eastAsia="Arial" w:hAnsi="Arial"/>
          <w:sz w:val="16"/>
          <w:szCs w:val="16"/>
          <w:color w:val="886B25"/>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the ratification of GT as our independent registered public accounting firm for the fiscal year ending December 31, 2022;</w:t>
      </w:r>
    </w:p>
    <w:p>
      <w:pPr>
        <w:spacing w:after="0" w:line="140" w:lineRule="exact"/>
        <w:rPr>
          <w:rFonts w:ascii="Arial" w:cs="Arial" w:eastAsia="Arial" w:hAnsi="Arial"/>
          <w:sz w:val="16"/>
          <w:szCs w:val="16"/>
          <w:color w:val="886B25"/>
        </w:rPr>
      </w:pPr>
    </w:p>
    <w:p>
      <w:pPr>
        <w:ind w:left="820" w:hanging="166"/>
        <w:spacing w:after="0"/>
        <w:tabs>
          <w:tab w:leader="none" w:pos="820" w:val="left"/>
        </w:tabs>
        <w:numPr>
          <w:ilvl w:val="0"/>
          <w:numId w:val="11"/>
        </w:numPr>
        <w:rPr>
          <w:rFonts w:ascii="Arial" w:cs="Arial" w:eastAsia="Arial" w:hAnsi="Arial"/>
          <w:sz w:val="16"/>
          <w:szCs w:val="16"/>
          <w:color w:val="886B25"/>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the approval, on an advisory basis, of the compensation of our named executive officers;</w:t>
      </w:r>
    </w:p>
    <w:p>
      <w:pPr>
        <w:spacing w:after="0" w:line="140" w:lineRule="exact"/>
        <w:rPr>
          <w:rFonts w:ascii="Arial" w:cs="Arial" w:eastAsia="Arial" w:hAnsi="Arial"/>
          <w:sz w:val="16"/>
          <w:szCs w:val="16"/>
          <w:color w:val="886B25"/>
        </w:rPr>
      </w:pPr>
    </w:p>
    <w:p>
      <w:pPr>
        <w:ind w:left="820" w:right="1040" w:hanging="166"/>
        <w:spacing w:after="0" w:line="321" w:lineRule="auto"/>
        <w:tabs>
          <w:tab w:leader="none" w:pos="820" w:val="left"/>
        </w:tabs>
        <w:numPr>
          <w:ilvl w:val="0"/>
          <w:numId w:val="11"/>
        </w:numPr>
        <w:rPr>
          <w:rFonts w:ascii="Arial" w:cs="Arial" w:eastAsia="Arial" w:hAnsi="Arial"/>
          <w:sz w:val="16"/>
          <w:szCs w:val="16"/>
          <w:color w:val="886B25"/>
        </w:rPr>
      </w:pPr>
      <w:r>
        <w:rPr>
          <w:rFonts w:ascii="Arial" w:cs="Arial" w:eastAsia="Arial" w:hAnsi="Arial"/>
          <w:sz w:val="16"/>
          <w:szCs w:val="16"/>
          <w:color w:val="auto"/>
        </w:rPr>
        <w:t>For the approval, on an advisory basis, of “</w:t>
      </w:r>
      <w:r>
        <w:rPr>
          <w:rFonts w:ascii="Arial" w:cs="Arial" w:eastAsia="Arial" w:hAnsi="Arial"/>
          <w:sz w:val="16"/>
          <w:szCs w:val="16"/>
          <w:b w:val="1"/>
          <w:bCs w:val="1"/>
          <w:color w:val="auto"/>
        </w:rPr>
        <w:t>One Year</w:t>
      </w:r>
      <w:r>
        <w:rPr>
          <w:rFonts w:ascii="Arial" w:cs="Arial" w:eastAsia="Arial" w:hAnsi="Arial"/>
          <w:sz w:val="16"/>
          <w:szCs w:val="16"/>
          <w:color w:val="auto"/>
        </w:rPr>
        <w:t>” as the frequency of future stockholder advisory votes on the compensation of our named executive officers; and</w:t>
      </w:r>
    </w:p>
    <w:p>
      <w:pPr>
        <w:spacing w:after="0" w:line="34" w:lineRule="exact"/>
        <w:rPr>
          <w:rFonts w:ascii="Arial" w:cs="Arial" w:eastAsia="Arial" w:hAnsi="Arial"/>
          <w:sz w:val="16"/>
          <w:szCs w:val="16"/>
          <w:color w:val="886B25"/>
        </w:rPr>
      </w:pPr>
    </w:p>
    <w:p>
      <w:pPr>
        <w:ind w:left="820" w:hanging="166"/>
        <w:spacing w:after="0"/>
        <w:tabs>
          <w:tab w:leader="none" w:pos="820" w:val="left"/>
        </w:tabs>
        <w:numPr>
          <w:ilvl w:val="0"/>
          <w:numId w:val="11"/>
        </w:numPr>
        <w:rPr>
          <w:rFonts w:ascii="Arial" w:cs="Arial" w:eastAsia="Arial" w:hAnsi="Arial"/>
          <w:sz w:val="16"/>
          <w:szCs w:val="16"/>
          <w:color w:val="886B25"/>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the approval of the amendment of the Lucid Group, Inc. 2021 Stock Incentive Plan.</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How do I vote?</w:t>
      </w:r>
    </w:p>
    <w:p>
      <w:pPr>
        <w:spacing w:after="0" w:line="192" w:lineRule="exact"/>
        <w:rPr>
          <w:sz w:val="20"/>
          <w:szCs w:val="20"/>
          <w:color w:val="auto"/>
        </w:rPr>
      </w:pPr>
    </w:p>
    <w:p>
      <w:pPr>
        <w:ind w:left="660" w:right="200"/>
        <w:spacing w:after="0" w:line="278" w:lineRule="auto"/>
        <w:rPr>
          <w:sz w:val="20"/>
          <w:szCs w:val="20"/>
          <w:color w:val="auto"/>
        </w:rPr>
      </w:pPr>
      <w:r>
        <w:rPr>
          <w:rFonts w:ascii="Arial" w:cs="Arial" w:eastAsia="Arial" w:hAnsi="Arial"/>
          <w:sz w:val="16"/>
          <w:szCs w:val="16"/>
          <w:color w:val="auto"/>
        </w:rPr>
        <w:t>Regarding the election of directors, you may either vote “For” the nominees to the Board or you may “Withhold” your vote for any nominee you specify. Regarding the approval, on an advisory basis, of the frequency of future stockholder advisory votes on</w:t>
      </w:r>
    </w:p>
    <w:p>
      <w:pPr>
        <w:sectPr>
          <w:pgSz w:w="11900" w:h="16838" w:orient="portrait"/>
          <w:cols w:equalWidth="0" w:num="1">
            <w:col w:w="10040"/>
          </w:cols>
          <w:pgMar w:left="580" w:top="132" w:right="1279" w:bottom="1440" w:gutter="0" w:footer="0" w:header="0"/>
        </w:sectPr>
      </w:pPr>
    </w:p>
    <w:p>
      <w:pPr>
        <w:spacing w:after="0" w:line="360" w:lineRule="exact"/>
        <w:rPr>
          <w:sz w:val="20"/>
          <w:szCs w:val="20"/>
          <w:color w:val="auto"/>
        </w:rPr>
      </w:pPr>
    </w:p>
    <w:p>
      <w:pPr>
        <w:ind w:left="660"/>
        <w:spacing w:after="0"/>
        <w:tabs>
          <w:tab w:leader="none" w:pos="9960" w:val="left"/>
        </w:tabs>
        <w:rPr>
          <w:sz w:val="20"/>
          <w:szCs w:val="20"/>
          <w:color w:val="auto"/>
        </w:rPr>
      </w:pPr>
      <w:r>
        <w:rPr>
          <w:rFonts w:ascii="Arial" w:cs="Arial" w:eastAsia="Arial" w:hAnsi="Arial"/>
          <w:sz w:val="13"/>
          <w:szCs w:val="13"/>
          <w:color w:val="auto"/>
        </w:rPr>
        <w:t>2022 Proxy Statement</w:t>
      </w:r>
      <w:r>
        <w:rPr>
          <w:sz w:val="20"/>
          <w:szCs w:val="20"/>
          <w:color w:val="auto"/>
        </w:rPr>
        <w:tab/>
      </w:r>
      <w:r>
        <w:rPr>
          <w:rFonts w:ascii="Arial" w:cs="Arial" w:eastAsia="Arial" w:hAnsi="Arial"/>
          <w:sz w:val="10"/>
          <w:szCs w:val="10"/>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60" w:right="340"/>
        <w:spacing w:after="0" w:line="278" w:lineRule="auto"/>
        <w:rPr>
          <w:sz w:val="20"/>
          <w:szCs w:val="20"/>
          <w:color w:val="auto"/>
        </w:rPr>
      </w:pPr>
      <w:r>
        <w:rPr>
          <w:rFonts w:ascii="Arial" w:cs="Arial" w:eastAsia="Arial" w:hAnsi="Arial"/>
          <w:sz w:val="16"/>
          <w:szCs w:val="16"/>
          <w:color w:val="auto"/>
        </w:rPr>
        <w:t>the compensation of our named executive officers, you may vote “One Year,” “Two Years,” “Three Years,” or “Abstain.” For any other matters to be voted on, you may vote “For” or “Against,” or abstain from voting.</w:t>
      </w:r>
    </w:p>
    <w:p>
      <w:pPr>
        <w:spacing w:after="0" w:line="195" w:lineRule="exact"/>
        <w:rPr>
          <w:sz w:val="20"/>
          <w:szCs w:val="20"/>
          <w:color w:val="auto"/>
        </w:rPr>
      </w:pPr>
    </w:p>
    <w:p>
      <w:pPr>
        <w:ind w:left="660" w:right="480"/>
        <w:spacing w:after="0" w:line="278" w:lineRule="auto"/>
        <w:rPr>
          <w:sz w:val="20"/>
          <w:szCs w:val="20"/>
          <w:color w:val="auto"/>
        </w:rPr>
      </w:pPr>
      <w:r>
        <w:rPr>
          <w:rFonts w:ascii="Arial" w:cs="Arial" w:eastAsia="Arial" w:hAnsi="Arial"/>
          <w:sz w:val="16"/>
          <w:szCs w:val="16"/>
          <w:color w:val="auto"/>
        </w:rPr>
        <w:t>The procedures for voting depend on whether your shares are registered in your name or are held by a bank, broker or other nominee: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Stockholder of Record: Shares Registered in Your Name</w:t>
      </w:r>
    </w:p>
    <w:p>
      <w:pPr>
        <w:spacing w:after="0" w:line="192" w:lineRule="exact"/>
        <w:rPr>
          <w:sz w:val="20"/>
          <w:szCs w:val="20"/>
          <w:color w:val="auto"/>
        </w:rPr>
      </w:pPr>
    </w:p>
    <w:p>
      <w:pPr>
        <w:ind w:left="660" w:right="20"/>
        <w:spacing w:after="0" w:line="267" w:lineRule="auto"/>
        <w:rPr>
          <w:sz w:val="20"/>
          <w:szCs w:val="20"/>
          <w:color w:val="auto"/>
        </w:rPr>
      </w:pPr>
      <w:r>
        <w:rPr>
          <w:rFonts w:ascii="Arial" w:cs="Arial" w:eastAsia="Arial" w:hAnsi="Arial"/>
          <w:sz w:val="16"/>
          <w:szCs w:val="16"/>
          <w:color w:val="auto"/>
        </w:rPr>
        <w:t>If you are a stockholder of record, you may vote at the Annual Meeting, or vote in advance of the Annual Meeting by proxy over the telephone, by proxy through the internet, or by proxy using a proxy card that you may request or that we may elect to deliver at a later time. Whether or not you plan to attend the Annual Meeting, we urge you to vote in advance by proxy to ensure your vote is counted. You may still attend the Annual Meeting and vote even if you have already voted by proxy. Voting at the Annual Meeting will have the effect of revoking your previously submitted proxy (see “Can I change my vote after submitting my proxy?” below).</w:t>
      </w:r>
    </w:p>
    <w:p>
      <w:pPr>
        <w:spacing w:after="0" w:line="253" w:lineRule="exact"/>
        <w:rPr>
          <w:sz w:val="20"/>
          <w:szCs w:val="20"/>
          <w:color w:val="auto"/>
        </w:rPr>
      </w:pPr>
    </w:p>
    <w:p>
      <w:pPr>
        <w:ind w:left="660"/>
        <w:spacing w:after="0"/>
        <w:tabs>
          <w:tab w:leader="none" w:pos="2520" w:val="left"/>
        </w:tabs>
        <w:rPr>
          <w:sz w:val="20"/>
          <w:szCs w:val="20"/>
          <w:color w:val="auto"/>
        </w:rPr>
      </w:pPr>
      <w:r>
        <w:rPr>
          <w:rFonts w:ascii="Arial" w:cs="Arial" w:eastAsia="Arial" w:hAnsi="Arial"/>
          <w:sz w:val="16"/>
          <w:szCs w:val="16"/>
          <w:b w:val="1"/>
          <w:bCs w:val="1"/>
          <w:color w:val="auto"/>
        </w:rPr>
        <w:t>By Internet</w:t>
      </w:r>
      <w:r>
        <w:rPr>
          <w:sz w:val="20"/>
          <w:szCs w:val="20"/>
          <w:color w:val="auto"/>
        </w:rPr>
        <w:tab/>
      </w:r>
      <w:r>
        <w:rPr>
          <w:rFonts w:ascii="Arial" w:cs="Arial" w:eastAsia="Arial" w:hAnsi="Arial"/>
          <w:sz w:val="16"/>
          <w:szCs w:val="16"/>
          <w:color w:val="auto"/>
        </w:rPr>
        <w:t>Go to www.proxypush.com/LCID, which is available 24 hours a day, 7 days a week until 11:59 p.m.</w:t>
      </w:r>
    </w:p>
    <w:p>
      <w:pPr>
        <w:spacing w:after="0" w:line="52" w:lineRule="exact"/>
        <w:rPr>
          <w:sz w:val="20"/>
          <w:szCs w:val="20"/>
          <w:color w:val="auto"/>
        </w:rPr>
      </w:pPr>
    </w:p>
    <w:p>
      <w:pPr>
        <w:ind w:left="2540" w:right="80"/>
        <w:spacing w:after="0" w:line="295" w:lineRule="auto"/>
        <w:rPr>
          <w:sz w:val="20"/>
          <w:szCs w:val="20"/>
          <w:color w:val="auto"/>
        </w:rPr>
      </w:pPr>
      <w:r>
        <w:rPr>
          <w:rFonts w:ascii="Arial" w:cs="Arial" w:eastAsia="Arial" w:hAnsi="Arial"/>
          <w:sz w:val="16"/>
          <w:szCs w:val="16"/>
          <w:color w:val="auto"/>
        </w:rPr>
        <w:t>(Eastern Time) on June 8, 2022, and follow the instructions on the proxy card or in the Proxy Availability Notice. If you vote via the internet, you do not need to return a proxy card by mail.</w:t>
      </w:r>
    </w:p>
    <w:p>
      <w:pPr>
        <w:spacing w:after="0" w:line="122" w:lineRule="exact"/>
        <w:rPr>
          <w:sz w:val="20"/>
          <w:szCs w:val="20"/>
          <w:color w:val="auto"/>
        </w:rPr>
      </w:pPr>
    </w:p>
    <w:p>
      <w:pPr>
        <w:ind w:left="660"/>
        <w:spacing w:after="0"/>
        <w:tabs>
          <w:tab w:leader="none" w:pos="2520" w:val="left"/>
        </w:tabs>
        <w:rPr>
          <w:sz w:val="20"/>
          <w:szCs w:val="20"/>
          <w:color w:val="auto"/>
        </w:rPr>
      </w:pPr>
      <w:r>
        <w:rPr>
          <w:rFonts w:ascii="Arial" w:cs="Arial" w:eastAsia="Arial" w:hAnsi="Arial"/>
          <w:sz w:val="16"/>
          <w:szCs w:val="16"/>
          <w:b w:val="1"/>
          <w:bCs w:val="1"/>
          <w:color w:val="auto"/>
        </w:rPr>
        <w:t>By Telephone</w:t>
      </w:r>
      <w:r>
        <w:rPr>
          <w:sz w:val="20"/>
          <w:szCs w:val="20"/>
          <w:color w:val="auto"/>
        </w:rPr>
        <w:tab/>
      </w:r>
      <w:r>
        <w:rPr>
          <w:rFonts w:ascii="Arial" w:cs="Arial" w:eastAsia="Arial" w:hAnsi="Arial"/>
          <w:sz w:val="16"/>
          <w:szCs w:val="16"/>
          <w:color w:val="auto"/>
        </w:rPr>
        <w:t>On a touch-tone telephone, dial toll-free 1-866-883-3382, which is available 24 hours a day, 7 days a</w:t>
      </w:r>
    </w:p>
    <w:p>
      <w:pPr>
        <w:spacing w:after="0" w:line="52" w:lineRule="exact"/>
        <w:rPr>
          <w:sz w:val="20"/>
          <w:szCs w:val="20"/>
          <w:color w:val="auto"/>
        </w:rPr>
      </w:pPr>
    </w:p>
    <w:p>
      <w:pPr>
        <w:ind w:left="2540" w:right="60"/>
        <w:spacing w:after="0" w:line="295" w:lineRule="auto"/>
        <w:rPr>
          <w:sz w:val="20"/>
          <w:szCs w:val="20"/>
          <w:color w:val="auto"/>
        </w:rPr>
      </w:pPr>
      <w:r>
        <w:rPr>
          <w:rFonts w:ascii="Arial" w:cs="Arial" w:eastAsia="Arial" w:hAnsi="Arial"/>
          <w:sz w:val="16"/>
          <w:szCs w:val="16"/>
          <w:color w:val="auto"/>
        </w:rPr>
        <w:t>week until 11:59 p.m. (Eastern Time) on June 8, 2022, and follow the instructions on the proxy card or in the Proxy Availability Notice. If you vote by telephone, you do not need to return a proxy card by mail.</w:t>
      </w:r>
    </w:p>
    <w:p>
      <w:pPr>
        <w:spacing w:after="0" w:line="162" w:lineRule="exact"/>
        <w:rPr>
          <w:sz w:val="20"/>
          <w:szCs w:val="20"/>
          <w:color w:val="auto"/>
        </w:rPr>
      </w:pPr>
    </w:p>
    <w:p>
      <w:pPr>
        <w:ind w:left="660"/>
        <w:spacing w:after="0"/>
        <w:tabs>
          <w:tab w:leader="none" w:pos="2520" w:val="left"/>
        </w:tabs>
        <w:rPr>
          <w:sz w:val="20"/>
          <w:szCs w:val="20"/>
          <w:color w:val="auto"/>
        </w:rPr>
      </w:pPr>
      <w:r>
        <w:rPr>
          <w:rFonts w:ascii="Arial" w:cs="Arial" w:eastAsia="Arial" w:hAnsi="Arial"/>
          <w:sz w:val="16"/>
          <w:szCs w:val="16"/>
          <w:b w:val="1"/>
          <w:bCs w:val="1"/>
          <w:color w:val="auto"/>
        </w:rPr>
        <w:t>By Mail</w:t>
      </w:r>
      <w:r>
        <w:rPr>
          <w:sz w:val="20"/>
          <w:szCs w:val="20"/>
          <w:color w:val="auto"/>
        </w:rPr>
        <w:tab/>
      </w:r>
      <w:r>
        <w:rPr>
          <w:rFonts w:ascii="Arial" w:cs="Arial" w:eastAsia="Arial" w:hAnsi="Arial"/>
          <w:sz w:val="16"/>
          <w:szCs w:val="16"/>
          <w:color w:val="auto"/>
        </w:rPr>
        <w:t>Complete, sign, date, and mail your proxy card in the enclosed, postage-prepaid envelope. If mailed,</w:t>
      </w:r>
    </w:p>
    <w:p>
      <w:pPr>
        <w:spacing w:after="0" w:line="52"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your completed and signed proxy card must be received by June 8, 2022.</w:t>
      </w:r>
    </w:p>
    <w:p>
      <w:pPr>
        <w:spacing w:after="0" w:line="215" w:lineRule="exact"/>
        <w:rPr>
          <w:sz w:val="20"/>
          <w:szCs w:val="20"/>
          <w:color w:val="auto"/>
        </w:rPr>
      </w:pPr>
    </w:p>
    <w:p>
      <w:pPr>
        <w:ind w:left="2540" w:right="80" w:hanging="1875"/>
        <w:spacing w:after="0" w:line="284" w:lineRule="auto"/>
        <w:tabs>
          <w:tab w:leader="none" w:pos="2520" w:val="left"/>
        </w:tabs>
        <w:rPr>
          <w:sz w:val="20"/>
          <w:szCs w:val="20"/>
          <w:color w:val="auto"/>
        </w:rPr>
      </w:pPr>
      <w:r>
        <w:rPr>
          <w:rFonts w:ascii="Arial" w:cs="Arial" w:eastAsia="Arial" w:hAnsi="Arial"/>
          <w:sz w:val="16"/>
          <w:szCs w:val="16"/>
          <w:b w:val="1"/>
          <w:bCs w:val="1"/>
          <w:color w:val="auto"/>
        </w:rPr>
        <w:t>At the Virtual Meeting</w:t>
      </w:r>
      <w:r>
        <w:rPr>
          <w:sz w:val="20"/>
          <w:szCs w:val="20"/>
          <w:color w:val="auto"/>
        </w:rPr>
        <w:tab/>
      </w:r>
      <w:r>
        <w:rPr>
          <w:rFonts w:ascii="Arial" w:cs="Arial" w:eastAsia="Arial" w:hAnsi="Arial"/>
          <w:sz w:val="16"/>
          <w:szCs w:val="16"/>
          <w:color w:val="auto"/>
        </w:rPr>
        <w:t>You may also vote by attending the meeting virtually through www.proxydocs.com/LCID. To attend the Annual Meeting and vote your shares, you must register for the Annual Meeting and provide the control number located on your proxy card, voting instruction form, or Proxy Availability Notice. Even if you plan to attend and participate in our virtual Annual Meeting, we encourage you to vote over the internet or by telephone as described above, or by returning a proxy card following your request of paper copies. This will ensure that your vote will be counted if you are unable to, or later decide not to, participate in the virtual Annual Meeting.</w:t>
      </w:r>
    </w:p>
    <w:p>
      <w:pPr>
        <w:spacing w:after="0" w:line="200" w:lineRule="exact"/>
        <w:rPr>
          <w:sz w:val="20"/>
          <w:szCs w:val="20"/>
          <w:color w:val="auto"/>
        </w:rPr>
      </w:pPr>
    </w:p>
    <w:p>
      <w:pPr>
        <w:spacing w:after="0" w:line="2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Beneficial Owner: Shares Registered in the Name of Broker, Bank or Other Nominee</w:t>
      </w:r>
    </w:p>
    <w:p>
      <w:pPr>
        <w:spacing w:after="0" w:line="192" w:lineRule="exact"/>
        <w:rPr>
          <w:sz w:val="20"/>
          <w:szCs w:val="20"/>
          <w:color w:val="auto"/>
        </w:rPr>
      </w:pPr>
    </w:p>
    <w:p>
      <w:pPr>
        <w:ind w:left="660" w:right="180"/>
        <w:spacing w:after="0" w:line="271" w:lineRule="auto"/>
        <w:rPr>
          <w:sz w:val="20"/>
          <w:szCs w:val="20"/>
          <w:color w:val="auto"/>
        </w:rPr>
      </w:pPr>
      <w:r>
        <w:rPr>
          <w:rFonts w:ascii="Arial" w:cs="Arial" w:eastAsia="Arial" w:hAnsi="Arial"/>
          <w:sz w:val="16"/>
          <w:szCs w:val="16"/>
          <w:color w:val="auto"/>
        </w:rPr>
        <w:t>If you are a beneficial owner of shares registered in the name of your broker, bank or other nominee, you should have received a Proxy Availability Notice containing voting instructions from that organization rather than from us. Simply follow the voting instructions in the Proxy Availability Notice to ensure that your vote is counted.</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How many votes do I have?</w:t>
      </w:r>
    </w:p>
    <w:p>
      <w:pPr>
        <w:spacing w:after="0" w:line="192" w:lineRule="exact"/>
        <w:rPr>
          <w:sz w:val="20"/>
          <w:szCs w:val="20"/>
          <w:color w:val="auto"/>
        </w:rPr>
      </w:pPr>
    </w:p>
    <w:p>
      <w:pPr>
        <w:ind w:left="660" w:right="220"/>
        <w:spacing w:after="0" w:line="278" w:lineRule="auto"/>
        <w:rPr>
          <w:sz w:val="20"/>
          <w:szCs w:val="20"/>
          <w:color w:val="auto"/>
        </w:rPr>
      </w:pPr>
      <w:r>
        <w:rPr>
          <w:rFonts w:ascii="Arial" w:cs="Arial" w:eastAsia="Arial" w:hAnsi="Arial"/>
          <w:sz w:val="16"/>
          <w:szCs w:val="16"/>
          <w:color w:val="auto"/>
        </w:rPr>
        <w:t>On each matter to be voted upon, you have one vote for each share of Common Stock you own as of April 12, 2022, the Record Date.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What if I return a proxy card or otherwise vote but do not make specific choices?</w:t>
      </w:r>
    </w:p>
    <w:p>
      <w:pPr>
        <w:spacing w:after="0" w:line="192" w:lineRule="exact"/>
        <w:rPr>
          <w:sz w:val="20"/>
          <w:szCs w:val="20"/>
          <w:color w:val="auto"/>
        </w:rPr>
      </w:pPr>
    </w:p>
    <w:p>
      <w:pPr>
        <w:ind w:left="660"/>
        <w:spacing w:after="0" w:line="266" w:lineRule="auto"/>
        <w:rPr>
          <w:sz w:val="20"/>
          <w:szCs w:val="20"/>
          <w:color w:val="auto"/>
        </w:rPr>
      </w:pPr>
      <w:r>
        <w:rPr>
          <w:rFonts w:ascii="Arial" w:cs="Arial" w:eastAsia="Arial" w:hAnsi="Arial"/>
          <w:sz w:val="16"/>
          <w:szCs w:val="16"/>
          <w:color w:val="auto"/>
        </w:rPr>
        <w:t>If you return a signed and dated proxy card or otherwise vote without marking voting selections, your shares will be voted, as applicable, “</w:t>
      </w:r>
      <w:r>
        <w:rPr>
          <w:rFonts w:ascii="Arial" w:cs="Arial" w:eastAsia="Arial" w:hAnsi="Arial"/>
          <w:sz w:val="16"/>
          <w:szCs w:val="16"/>
          <w:b w:val="1"/>
          <w:bCs w:val="1"/>
          <w:color w:val="auto"/>
        </w:rPr>
        <w:t>For</w:t>
      </w:r>
      <w:r>
        <w:rPr>
          <w:rFonts w:ascii="Arial" w:cs="Arial" w:eastAsia="Arial" w:hAnsi="Arial"/>
          <w:sz w:val="16"/>
          <w:szCs w:val="16"/>
          <w:color w:val="auto"/>
        </w:rPr>
        <w:t>” the election of each of the nominees for director, “</w:t>
      </w:r>
      <w:r>
        <w:rPr>
          <w:rFonts w:ascii="Arial" w:cs="Arial" w:eastAsia="Arial" w:hAnsi="Arial"/>
          <w:sz w:val="16"/>
          <w:szCs w:val="16"/>
          <w:b w:val="1"/>
          <w:bCs w:val="1"/>
          <w:color w:val="auto"/>
        </w:rPr>
        <w:t>For</w:t>
      </w:r>
      <w:r>
        <w:rPr>
          <w:rFonts w:ascii="Arial" w:cs="Arial" w:eastAsia="Arial" w:hAnsi="Arial"/>
          <w:sz w:val="16"/>
          <w:szCs w:val="16"/>
          <w:color w:val="auto"/>
        </w:rPr>
        <w:t>” the ratification of GT as our independent registered public accounting firm; “</w:t>
      </w:r>
      <w:r>
        <w:rPr>
          <w:rFonts w:ascii="Arial" w:cs="Arial" w:eastAsia="Arial" w:hAnsi="Arial"/>
          <w:sz w:val="16"/>
          <w:szCs w:val="16"/>
          <w:b w:val="1"/>
          <w:bCs w:val="1"/>
          <w:color w:val="auto"/>
        </w:rPr>
        <w:t>For</w:t>
      </w:r>
      <w:r>
        <w:rPr>
          <w:rFonts w:ascii="Arial" w:cs="Arial" w:eastAsia="Arial" w:hAnsi="Arial"/>
          <w:sz w:val="16"/>
          <w:szCs w:val="16"/>
          <w:color w:val="auto"/>
        </w:rPr>
        <w:t>” the approval, on an advisory basis, of the compensation of our named executive officers, for the approval, on an advisory basis, of “</w:t>
      </w:r>
      <w:r>
        <w:rPr>
          <w:rFonts w:ascii="Arial" w:cs="Arial" w:eastAsia="Arial" w:hAnsi="Arial"/>
          <w:sz w:val="16"/>
          <w:szCs w:val="16"/>
          <w:b w:val="1"/>
          <w:bCs w:val="1"/>
          <w:color w:val="auto"/>
        </w:rPr>
        <w:t>One Year</w:t>
      </w:r>
      <w:r>
        <w:rPr>
          <w:rFonts w:ascii="Arial" w:cs="Arial" w:eastAsia="Arial" w:hAnsi="Arial"/>
          <w:sz w:val="16"/>
          <w:szCs w:val="16"/>
          <w:color w:val="auto"/>
        </w:rPr>
        <w:t>” as the frequency of future stockholder advisory votes on the compensation of our named executive officers, and “</w:t>
      </w:r>
      <w:r>
        <w:rPr>
          <w:rFonts w:ascii="Arial" w:cs="Arial" w:eastAsia="Arial" w:hAnsi="Arial"/>
          <w:sz w:val="16"/>
          <w:szCs w:val="16"/>
          <w:b w:val="1"/>
          <w:bCs w:val="1"/>
          <w:color w:val="auto"/>
        </w:rPr>
        <w:t>For</w:t>
      </w:r>
      <w:r>
        <w:rPr>
          <w:rFonts w:ascii="Arial" w:cs="Arial" w:eastAsia="Arial" w:hAnsi="Arial"/>
          <w:sz w:val="16"/>
          <w:szCs w:val="16"/>
          <w:color w:val="auto"/>
        </w:rPr>
        <w:t>” the amendment of the Lucid Group, Inc. 2021 Stock Incentive Plan. If any other matter is properly presented at the Annual Meeting, your proxy holder (one of the individuals named on your proxy card) will vote your shares using his or her best judgment.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Will my vote be kept confidential?</w:t>
      </w:r>
    </w:p>
    <w:p>
      <w:pPr>
        <w:spacing w:after="0" w:line="192" w:lineRule="exact"/>
        <w:rPr>
          <w:sz w:val="20"/>
          <w:szCs w:val="20"/>
          <w:color w:val="auto"/>
        </w:rPr>
      </w:pPr>
    </w:p>
    <w:p>
      <w:pPr>
        <w:ind w:left="660"/>
        <w:spacing w:after="0" w:line="278" w:lineRule="auto"/>
        <w:rPr>
          <w:sz w:val="20"/>
          <w:szCs w:val="20"/>
          <w:color w:val="auto"/>
        </w:rPr>
      </w:pPr>
      <w:r>
        <w:rPr>
          <w:rFonts w:ascii="Arial" w:cs="Arial" w:eastAsia="Arial" w:hAnsi="Arial"/>
          <w:sz w:val="16"/>
          <w:szCs w:val="16"/>
          <w:color w:val="auto"/>
        </w:rPr>
        <w:t>Proxies, ballots and voting tabulations are handled on a confidential basis to protect your voting privacy. This information will not be disclosed, except as required by law.</w:t>
      </w:r>
    </w:p>
    <w:p>
      <w:pPr>
        <w:sectPr>
          <w:pgSz w:w="11900" w:h="16838" w:orient="portrait"/>
          <w:cols w:equalWidth="0" w:num="1">
            <w:col w:w="10040"/>
          </w:cols>
          <w:pgMar w:left="580" w:top="132" w:right="1279" w:bottom="1440" w:gutter="0" w:footer="0" w:header="0"/>
        </w:sectPr>
      </w:pPr>
    </w:p>
    <w:p>
      <w:pPr>
        <w:spacing w:after="0" w:line="373"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2"/>
          <w:szCs w:val="12"/>
          <w:b w:val="1"/>
          <w:bCs w:val="1"/>
          <w:color w:val="auto"/>
        </w:rPr>
        <w:t>4</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110490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Who is paying for this proxy solicitation?</w:t>
      </w:r>
    </w:p>
    <w:p>
      <w:pPr>
        <w:spacing w:after="0" w:line="205" w:lineRule="exact"/>
        <w:rPr>
          <w:sz w:val="20"/>
          <w:szCs w:val="20"/>
          <w:color w:val="auto"/>
        </w:rPr>
      </w:pPr>
    </w:p>
    <w:p>
      <w:pPr>
        <w:ind w:left="660" w:right="80"/>
        <w:spacing w:after="0" w:line="285" w:lineRule="auto"/>
        <w:rPr>
          <w:sz w:val="20"/>
          <w:szCs w:val="20"/>
          <w:color w:val="auto"/>
        </w:rPr>
      </w:pPr>
      <w:r>
        <w:rPr>
          <w:rFonts w:ascii="Arial" w:cs="Arial" w:eastAsia="Arial" w:hAnsi="Arial"/>
          <w:sz w:val="16"/>
          <w:szCs w:val="16"/>
          <w:color w:val="auto"/>
        </w:rPr>
        <w:t>The accompanying proxy is solicited on behalf of the Board for use at the Annual Meeting. Accordingly, we will pay for the entire cost of soliciting proxies. In addition to these proxy materials, our directors and employees may also solicit proxies in person, by telephone or by other means of communication. Our directors and employees will not be paid any additional compensation for soliciting proxies. We may also reimburse brokerage firms, banks and other nominees for the cost of forwarding proxy materials to beneficial owners.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Can I change my vote after submitting my proxy?</w:t>
      </w:r>
    </w:p>
    <w:p>
      <w:pPr>
        <w:spacing w:after="0" w:line="205" w:lineRule="exact"/>
        <w:rPr>
          <w:sz w:val="20"/>
          <w:szCs w:val="20"/>
          <w:color w:val="auto"/>
        </w:rPr>
      </w:pPr>
    </w:p>
    <w:p>
      <w:pPr>
        <w:ind w:left="660" w:right="40"/>
        <w:spacing w:after="0" w:line="295" w:lineRule="auto"/>
        <w:rPr>
          <w:sz w:val="20"/>
          <w:szCs w:val="20"/>
          <w:color w:val="auto"/>
        </w:rPr>
      </w:pPr>
      <w:r>
        <w:rPr>
          <w:rFonts w:ascii="Arial" w:cs="Arial" w:eastAsia="Arial" w:hAnsi="Arial"/>
          <w:sz w:val="16"/>
          <w:szCs w:val="16"/>
          <w:color w:val="auto"/>
        </w:rPr>
        <w:t>Yes. You can revoke your proxy at any time before the final vote at the Annual Meeting. If you are the record holder of your shares, you may revoke your proxy in any one of the following ways:</w:t>
      </w:r>
    </w:p>
    <w:p>
      <w:pPr>
        <w:spacing w:after="0" w:line="128" w:lineRule="exact"/>
        <w:rPr>
          <w:sz w:val="20"/>
          <w:szCs w:val="20"/>
          <w:color w:val="auto"/>
        </w:rPr>
      </w:pPr>
    </w:p>
    <w:p>
      <w:pPr>
        <w:ind w:left="820" w:hanging="166"/>
        <w:spacing w:after="0"/>
        <w:tabs>
          <w:tab w:leader="none" w:pos="820" w:val="left"/>
        </w:tabs>
        <w:numPr>
          <w:ilvl w:val="0"/>
          <w:numId w:val="12"/>
        </w:numPr>
        <w:rPr>
          <w:rFonts w:ascii="Arial" w:cs="Arial" w:eastAsia="Arial" w:hAnsi="Arial"/>
          <w:sz w:val="16"/>
          <w:szCs w:val="16"/>
          <w:color w:val="886B25"/>
        </w:rPr>
      </w:pPr>
      <w:r>
        <w:rPr>
          <w:rFonts w:ascii="Arial" w:cs="Arial" w:eastAsia="Arial" w:hAnsi="Arial"/>
          <w:sz w:val="16"/>
          <w:szCs w:val="16"/>
          <w:color w:val="auto"/>
        </w:rPr>
        <w:t>You may grant a subsequent proxy via the internet or telephone.</w:t>
      </w:r>
    </w:p>
    <w:p>
      <w:pPr>
        <w:spacing w:after="0" w:line="167" w:lineRule="exact"/>
        <w:rPr>
          <w:rFonts w:ascii="Arial" w:cs="Arial" w:eastAsia="Arial" w:hAnsi="Arial"/>
          <w:sz w:val="16"/>
          <w:szCs w:val="16"/>
          <w:color w:val="886B25"/>
        </w:rPr>
      </w:pPr>
    </w:p>
    <w:p>
      <w:pPr>
        <w:ind w:left="820" w:hanging="166"/>
        <w:spacing w:after="0"/>
        <w:tabs>
          <w:tab w:leader="none" w:pos="820" w:val="left"/>
        </w:tabs>
        <w:numPr>
          <w:ilvl w:val="0"/>
          <w:numId w:val="12"/>
        </w:numPr>
        <w:rPr>
          <w:rFonts w:ascii="Arial" w:cs="Arial" w:eastAsia="Arial" w:hAnsi="Arial"/>
          <w:sz w:val="16"/>
          <w:szCs w:val="16"/>
          <w:color w:val="886B25"/>
        </w:rPr>
      </w:pPr>
      <w:r>
        <w:rPr>
          <w:rFonts w:ascii="Arial" w:cs="Arial" w:eastAsia="Arial" w:hAnsi="Arial"/>
          <w:sz w:val="16"/>
          <w:szCs w:val="16"/>
          <w:color w:val="auto"/>
        </w:rPr>
        <w:t>You may submit another properly completed proxy card with a later date.</w:t>
      </w:r>
    </w:p>
    <w:p>
      <w:pPr>
        <w:spacing w:after="0" w:line="167" w:lineRule="exact"/>
        <w:rPr>
          <w:rFonts w:ascii="Arial" w:cs="Arial" w:eastAsia="Arial" w:hAnsi="Arial"/>
          <w:sz w:val="16"/>
          <w:szCs w:val="16"/>
          <w:color w:val="886B25"/>
        </w:rPr>
      </w:pPr>
    </w:p>
    <w:p>
      <w:pPr>
        <w:ind w:left="820" w:right="40" w:hanging="166"/>
        <w:spacing w:after="0" w:line="295" w:lineRule="auto"/>
        <w:tabs>
          <w:tab w:leader="none" w:pos="820" w:val="left"/>
        </w:tabs>
        <w:numPr>
          <w:ilvl w:val="0"/>
          <w:numId w:val="12"/>
        </w:numPr>
        <w:rPr>
          <w:rFonts w:ascii="Arial" w:cs="Arial" w:eastAsia="Arial" w:hAnsi="Arial"/>
          <w:sz w:val="16"/>
          <w:szCs w:val="16"/>
          <w:color w:val="886B25"/>
        </w:rPr>
      </w:pPr>
      <w:r>
        <w:rPr>
          <w:rFonts w:ascii="Arial" w:cs="Arial" w:eastAsia="Arial" w:hAnsi="Arial"/>
          <w:sz w:val="16"/>
          <w:szCs w:val="16"/>
          <w:color w:val="auto"/>
        </w:rPr>
        <w:t>You may send a timely written notice that you are revoking your proxy to our Secretary at 7373 Gateway Boulevard, Newark, CA 94560, which must be received by June 8, 2022.</w:t>
      </w:r>
    </w:p>
    <w:p>
      <w:pPr>
        <w:spacing w:after="0" w:line="114" w:lineRule="exact"/>
        <w:rPr>
          <w:rFonts w:ascii="Arial" w:cs="Arial" w:eastAsia="Arial" w:hAnsi="Arial"/>
          <w:sz w:val="16"/>
          <w:szCs w:val="16"/>
          <w:color w:val="886B25"/>
        </w:rPr>
      </w:pPr>
    </w:p>
    <w:p>
      <w:pPr>
        <w:ind w:left="820" w:hanging="166"/>
        <w:spacing w:after="0"/>
        <w:tabs>
          <w:tab w:leader="none" w:pos="820" w:val="left"/>
        </w:tabs>
        <w:numPr>
          <w:ilvl w:val="0"/>
          <w:numId w:val="12"/>
        </w:numPr>
        <w:rPr>
          <w:rFonts w:ascii="Arial" w:cs="Arial" w:eastAsia="Arial" w:hAnsi="Arial"/>
          <w:sz w:val="16"/>
          <w:szCs w:val="16"/>
          <w:color w:val="886B25"/>
        </w:rPr>
      </w:pPr>
      <w:r>
        <w:rPr>
          <w:rFonts w:ascii="Arial" w:cs="Arial" w:eastAsia="Arial" w:hAnsi="Arial"/>
          <w:sz w:val="16"/>
          <w:szCs w:val="16"/>
          <w:color w:val="auto"/>
        </w:rPr>
        <w:t>You may attend and vote at the Annual Meeting. Simply attending the Annual Meeting will not, by itself, revoke your proxy.</w:t>
      </w:r>
    </w:p>
    <w:p>
      <w:pPr>
        <w:spacing w:after="0" w:line="248" w:lineRule="exact"/>
        <w:rPr>
          <w:sz w:val="20"/>
          <w:szCs w:val="20"/>
          <w:color w:val="auto"/>
        </w:rPr>
      </w:pPr>
    </w:p>
    <w:p>
      <w:pPr>
        <w:ind w:left="660" w:right="20"/>
        <w:spacing w:after="0" w:line="288" w:lineRule="auto"/>
        <w:rPr>
          <w:sz w:val="20"/>
          <w:szCs w:val="20"/>
          <w:color w:val="auto"/>
        </w:rPr>
      </w:pPr>
      <w:r>
        <w:rPr>
          <w:rFonts w:ascii="Arial" w:cs="Arial" w:eastAsia="Arial" w:hAnsi="Arial"/>
          <w:sz w:val="16"/>
          <w:szCs w:val="16"/>
          <w:color w:val="auto"/>
        </w:rPr>
        <w:t>Your most current proxy card or telephone or internet proxy is the one that is counted, so long as it is provided within the applicable deadline. If your shares are held by your broker, banker or other nominee, you should follow the instructions provided by your broker, bank or other nominee to change your vote or revoke your proxy or you may attend and vote at the Annual Meeting.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When are stockholder proposals for inclusion in our Proxy Statement for next year’s annual meeting due?</w:t>
      </w:r>
    </w:p>
    <w:p>
      <w:pPr>
        <w:spacing w:after="0" w:line="205" w:lineRule="exact"/>
        <w:rPr>
          <w:sz w:val="20"/>
          <w:szCs w:val="20"/>
          <w:color w:val="auto"/>
        </w:rPr>
      </w:pPr>
    </w:p>
    <w:p>
      <w:pPr>
        <w:ind w:left="660" w:right="200"/>
        <w:spacing w:after="0" w:line="286" w:lineRule="auto"/>
        <w:rPr>
          <w:sz w:val="20"/>
          <w:szCs w:val="20"/>
          <w:color w:val="auto"/>
        </w:rPr>
      </w:pPr>
      <w:r>
        <w:rPr>
          <w:rFonts w:ascii="Arial" w:cs="Arial" w:eastAsia="Arial" w:hAnsi="Arial"/>
          <w:sz w:val="16"/>
          <w:szCs w:val="16"/>
          <w:color w:val="auto"/>
        </w:rPr>
        <w:t>Stockholders wishing to present proposals for inclusion in our Proxy Statement for the 2023 annual meeting of stockholders (the “2023 Annual Meeting”) pursuant to Rule 14a-8 of the Securities Exchange Act of 1934, as amended (the “Exchange Act”), must submit their proposals so that they are received by us at our principal executive offices no later than December 30, 2022. Proposals should be sent to our Secretary at 7373 Gateway Boulevard, Newark, CA 94560.</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When are other proposals and stockholder nominations for the 2023 Annual Meeting due?</w:t>
      </w:r>
    </w:p>
    <w:p>
      <w:pPr>
        <w:spacing w:after="0" w:line="205" w:lineRule="exact"/>
        <w:rPr>
          <w:sz w:val="20"/>
          <w:szCs w:val="20"/>
          <w:color w:val="auto"/>
        </w:rPr>
      </w:pPr>
    </w:p>
    <w:p>
      <w:pPr>
        <w:ind w:left="660" w:right="80"/>
        <w:spacing w:after="0" w:line="285" w:lineRule="auto"/>
        <w:rPr>
          <w:sz w:val="20"/>
          <w:szCs w:val="20"/>
          <w:color w:val="auto"/>
        </w:rPr>
      </w:pPr>
      <w:r>
        <w:rPr>
          <w:rFonts w:ascii="Arial" w:cs="Arial" w:eastAsia="Arial" w:hAnsi="Arial"/>
          <w:sz w:val="16"/>
          <w:szCs w:val="16"/>
          <w:color w:val="auto"/>
        </w:rPr>
        <w:t>With respect to proposals and nominations not to be included in our Proxy Statement pursuant to Rule 14a-8 of the Exchange Act, our amended and restated bylaws (our “Bylaws”) provide that stockholders who wish to nominate a director or propose other business to be brought before the stockholders at an annual meeting of stockholders must notify our Secretary by a written notice, which notice must be received at our principal executive offices not less than 90 days nor more than 120 days prior to the first anniversary date of the immediately preceding year’s annual meeting of stockholders.</w:t>
      </w:r>
    </w:p>
    <w:p>
      <w:pPr>
        <w:spacing w:after="0" w:line="204" w:lineRule="exact"/>
        <w:rPr>
          <w:sz w:val="20"/>
          <w:szCs w:val="20"/>
          <w:color w:val="auto"/>
        </w:rPr>
      </w:pPr>
    </w:p>
    <w:p>
      <w:pPr>
        <w:ind w:left="660" w:right="20"/>
        <w:spacing w:after="0" w:line="284" w:lineRule="auto"/>
        <w:rPr>
          <w:sz w:val="20"/>
          <w:szCs w:val="20"/>
          <w:color w:val="auto"/>
        </w:rPr>
      </w:pPr>
      <w:r>
        <w:rPr>
          <w:rFonts w:ascii="Arial" w:cs="Arial" w:eastAsia="Arial" w:hAnsi="Arial"/>
          <w:sz w:val="16"/>
          <w:szCs w:val="16"/>
          <w:color w:val="auto"/>
        </w:rPr>
        <w:t>Stockholders wishing to present nominations for director or proposals for consideration at the 2023 Annual Meeting under these provisions of our Bylaws must submit their nominations or proposals so that they are received at our principal executive offices not later than March 11, 2023 and not earlier than February 9, 2023 in order to be considered. In the event that the date of the 2023 Annual Meeting is advanced more than 30 days prior to such anniversary date or delayed more than 70 days after such anniversary date then to be timely such notice must be received by the Company no earlier than 120 days prior to the 2023 Annual Meeting and no later than the later of 70 days prior to the date of the 2023 Annual Meeting or the 10th day following the day on which public announcement of the date of the 2023 Annual Meeting was first made by the Company.</w:t>
      </w:r>
    </w:p>
    <w:p>
      <w:pPr>
        <w:spacing w:after="0" w:line="204" w:lineRule="exact"/>
        <w:rPr>
          <w:sz w:val="20"/>
          <w:szCs w:val="20"/>
          <w:color w:val="auto"/>
        </w:rPr>
      </w:pPr>
    </w:p>
    <w:p>
      <w:pPr>
        <w:ind w:left="660" w:right="80"/>
        <w:spacing w:after="0" w:line="286" w:lineRule="auto"/>
        <w:rPr>
          <w:sz w:val="20"/>
          <w:szCs w:val="20"/>
          <w:color w:val="auto"/>
        </w:rPr>
      </w:pPr>
      <w:r>
        <w:rPr>
          <w:rFonts w:ascii="Arial" w:cs="Arial" w:eastAsia="Arial" w:hAnsi="Arial"/>
          <w:sz w:val="16"/>
          <w:szCs w:val="16"/>
          <w:color w:val="auto"/>
        </w:rPr>
        <w:t>Nominations or proposals should be sent in writing to our Secretary at 7373 Gateway Boulevard, Newark, CA 94560. A stockholder’s notice to nominate a director or bring any other business before the Annual Meeting or the 2023 Annual Meeting must set forth certain information, which is specified in our Bylaws. A complete copy of our Bylaws is included as Exhibit 3.2 to our Annual Report on Form 10-K for the fiscal year ended December 31, 2021.</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How are votes counted?</w:t>
      </w:r>
    </w:p>
    <w:p>
      <w:pPr>
        <w:spacing w:after="0" w:line="205" w:lineRule="exact"/>
        <w:rPr>
          <w:sz w:val="20"/>
          <w:szCs w:val="20"/>
          <w:color w:val="auto"/>
        </w:rPr>
      </w:pPr>
    </w:p>
    <w:p>
      <w:pPr>
        <w:ind w:left="660" w:right="100"/>
        <w:spacing w:after="0" w:line="288" w:lineRule="auto"/>
        <w:rPr>
          <w:sz w:val="20"/>
          <w:szCs w:val="20"/>
          <w:color w:val="auto"/>
        </w:rPr>
      </w:pPr>
      <w:r>
        <w:rPr>
          <w:rFonts w:ascii="Arial" w:cs="Arial" w:eastAsia="Arial" w:hAnsi="Arial"/>
          <w:sz w:val="16"/>
          <w:szCs w:val="16"/>
          <w:color w:val="auto"/>
        </w:rPr>
        <w:t>Votes will be counted by the inspector of election appointed for the Annual Meeting, who will separately count votes “For,” votes to “Withhold” and broker non-votes for the proposal to elect directors. The inspector of election will separately count votes for “One Year,” “Two Years,” “Three Years,” or “Abstain” and broker non-votes for the proposal to approve, on an advisory basis, the</w:t>
      </w:r>
    </w:p>
    <w:p>
      <w:pPr>
        <w:sectPr>
          <w:pgSz w:w="11900" w:h="16838" w:orient="portrait"/>
          <w:cols w:equalWidth="0" w:num="1">
            <w:col w:w="10040"/>
          </w:cols>
          <w:pgMar w:left="580" w:top="132" w:right="1279" w:bottom="1440" w:gutter="0" w:footer="0" w:header="0"/>
        </w:sectPr>
      </w:pPr>
    </w:p>
    <w:p>
      <w:pPr>
        <w:spacing w:after="0" w:line="367" w:lineRule="exact"/>
        <w:rPr>
          <w:sz w:val="20"/>
          <w:szCs w:val="20"/>
          <w:color w:val="auto"/>
        </w:rPr>
      </w:pPr>
    </w:p>
    <w:p>
      <w:pPr>
        <w:ind w:left="660"/>
        <w:spacing w:after="0"/>
        <w:tabs>
          <w:tab w:leader="none" w:pos="9960" w:val="left"/>
        </w:tabs>
        <w:rPr>
          <w:sz w:val="20"/>
          <w:szCs w:val="20"/>
          <w:color w:val="auto"/>
        </w:rPr>
      </w:pPr>
      <w:r>
        <w:rPr>
          <w:rFonts w:ascii="Arial" w:cs="Arial" w:eastAsia="Arial" w:hAnsi="Arial"/>
          <w:sz w:val="13"/>
          <w:szCs w:val="13"/>
          <w:color w:val="auto"/>
        </w:rPr>
        <w:t>2022 Proxy Statement</w:t>
      </w:r>
      <w:r>
        <w:rPr>
          <w:sz w:val="20"/>
          <w:szCs w:val="20"/>
          <w:color w:val="auto"/>
        </w:rPr>
        <w:tab/>
      </w:r>
      <w:r>
        <w:rPr>
          <w:rFonts w:ascii="Arial" w:cs="Arial" w:eastAsia="Arial" w:hAnsi="Arial"/>
          <w:sz w:val="10"/>
          <w:szCs w:val="10"/>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60" w:right="280"/>
        <w:spacing w:after="0" w:line="288" w:lineRule="auto"/>
        <w:rPr>
          <w:sz w:val="20"/>
          <w:szCs w:val="20"/>
          <w:color w:val="auto"/>
        </w:rPr>
      </w:pPr>
      <w:r>
        <w:rPr>
          <w:rFonts w:ascii="Arial" w:cs="Arial" w:eastAsia="Arial" w:hAnsi="Arial"/>
          <w:sz w:val="16"/>
          <w:szCs w:val="16"/>
          <w:color w:val="auto"/>
        </w:rPr>
        <w:t>frequency of future stockholder advisory votes on the compensation of our named executive officers. With respect to other proposals, the inspector of election will separately count votes “For,” votes “Against,” votes to “Abstain” and broker non-votes (if applicable).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What are “broker non-votes”?</w:t>
      </w:r>
    </w:p>
    <w:p>
      <w:pPr>
        <w:spacing w:after="0" w:line="205" w:lineRule="exact"/>
        <w:rPr>
          <w:sz w:val="20"/>
          <w:szCs w:val="20"/>
          <w:color w:val="auto"/>
        </w:rPr>
      </w:pPr>
    </w:p>
    <w:p>
      <w:pPr>
        <w:ind w:left="660"/>
        <w:spacing w:after="0" w:line="283" w:lineRule="auto"/>
        <w:rPr>
          <w:sz w:val="20"/>
          <w:szCs w:val="20"/>
          <w:color w:val="auto"/>
        </w:rPr>
      </w:pPr>
      <w:r>
        <w:rPr>
          <w:rFonts w:ascii="Arial" w:cs="Arial" w:eastAsia="Arial" w:hAnsi="Arial"/>
          <w:sz w:val="16"/>
          <w:szCs w:val="16"/>
          <w:color w:val="auto"/>
        </w:rPr>
        <w:t>Broker non-votes occur when a beneficial owner of shares held in “street name” does not give instructions to the broker, bank or other nominee holding the shares as to how to vote. Generally, if shares are held in street name, the beneficial owner of the shares is entitled to give voting instructions to the broker, bank or other nominee holding the shares. If the beneficial owner does not provide voting instructions, the broker, bank or other nominee can still vote the shares with respect to matters that are considered to be “routine,” but cannot vote the shares with respect to “non-routine” matters. Under the rules and interpretations of The Nasdaq Stock Market LLC (“Nasdaq”), which generally apply to all brokers, banks or other nominees, on voting matters characterized by Nasdaq as “routine,” Nasdaq member firms have the discretionary authority to vote shares for which their customers do not provide voting instructions. On non-routine proposals, such “uninstructed shares” may not be voted by member firms. Only the proposal to ratify the selection of our independent registered public accounting firm is considered a “routine” matter for this purpose and brokers, banks or other nominees generally have discretionary voting power with respect to such proposal. Broker non-votes will be counted for the purpose of determining whether a quorum is present at the Annual Meeting.</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What is the effect of abstentions, votes to withhold and broker non-votes?</w:t>
      </w:r>
    </w:p>
    <w:p>
      <w:pPr>
        <w:spacing w:after="0" w:line="185" w:lineRule="exact"/>
        <w:rPr>
          <w:sz w:val="20"/>
          <w:szCs w:val="20"/>
          <w:color w:val="auto"/>
        </w:rPr>
      </w:pPr>
    </w:p>
    <w:p>
      <w:pPr>
        <w:ind w:left="660" w:right="40"/>
        <w:spacing w:after="0" w:line="287" w:lineRule="auto"/>
        <w:rPr>
          <w:sz w:val="20"/>
          <w:szCs w:val="20"/>
          <w:color w:val="auto"/>
        </w:rPr>
      </w:pPr>
      <w:r>
        <w:rPr>
          <w:rFonts w:ascii="Arial" w:cs="Arial" w:eastAsia="Arial" w:hAnsi="Arial"/>
          <w:sz w:val="16"/>
          <w:szCs w:val="16"/>
          <w:b w:val="1"/>
          <w:bCs w:val="1"/>
          <w:i w:val="1"/>
          <w:iCs w:val="1"/>
          <w:color w:val="auto"/>
        </w:rPr>
        <w:t>Abstentions</w:t>
      </w:r>
      <w:r>
        <w:rPr>
          <w:rFonts w:ascii="Arial" w:cs="Arial" w:eastAsia="Arial" w:hAnsi="Arial"/>
          <w:sz w:val="16"/>
          <w:szCs w:val="16"/>
          <w:color w:val="auto"/>
        </w:rPr>
        <w:t>: Under Delaware law (under which we are incorporated), abstentions are counted as shares present and entitled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vote at the Annual Meeting, but they are not counted as shares cast. Our Bylaws provide that a stockholder action (other than the election of directors) shall be decided by the vote of the holders of a majority of the total number of votes of the Company’s capital stock cast on the matter. Therefore, abstentions will have no effect on Proposal No. 2: Ratification of the Selection of the Independent Registered Public Accounting Firm, Proposal No. 3: The approval, on an advisory basis, of the compensation of our named executive officers, Proposal No. 4: The approval, on an advisory basis, of the frequency of future stockholder advisory votes on the compensation of our named executive officers or Proposal No. 5: The approval of the amendment of the Lucid Group, Inc. 2021 Stock Incentive Plan.</w:t>
      </w:r>
    </w:p>
    <w:p>
      <w:pPr>
        <w:spacing w:after="0" w:line="184" w:lineRule="exact"/>
        <w:rPr>
          <w:sz w:val="20"/>
          <w:szCs w:val="20"/>
          <w:color w:val="auto"/>
        </w:rPr>
      </w:pPr>
    </w:p>
    <w:p>
      <w:pPr>
        <w:ind w:left="660" w:right="40"/>
        <w:spacing w:after="0" w:line="291" w:lineRule="auto"/>
        <w:rPr>
          <w:sz w:val="20"/>
          <w:szCs w:val="20"/>
          <w:color w:val="auto"/>
        </w:rPr>
      </w:pPr>
      <w:r>
        <w:rPr>
          <w:rFonts w:ascii="Arial" w:cs="Arial" w:eastAsia="Arial" w:hAnsi="Arial"/>
          <w:sz w:val="16"/>
          <w:szCs w:val="16"/>
          <w:b w:val="1"/>
          <w:bCs w:val="1"/>
          <w:i w:val="1"/>
          <w:iCs w:val="1"/>
          <w:color w:val="auto"/>
        </w:rPr>
        <w:t>Votes to Withhold</w:t>
      </w:r>
      <w:r>
        <w:rPr>
          <w:rFonts w:ascii="Arial" w:cs="Arial" w:eastAsia="Arial" w:hAnsi="Arial"/>
          <w:sz w:val="16"/>
          <w:szCs w:val="16"/>
          <w:color w:val="auto"/>
        </w:rPr>
        <w:t>: For Proposal No. 1: Election of Directors, you may vote “For” all or some of the nominees or you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“Withhold” your vote with respect to one or more of the nominees. The nine nominees who receive the most “For” votes cast by the holders of shares either present at the Annual Meeting or represented by proxy will be elected to our Board. Broker non-votes will have no effect on Proposal No. 1: Election of Directors. In an uncontested election, “Withhold” votes will not prevent a candidate from getting elected.</w:t>
      </w:r>
    </w:p>
    <w:p>
      <w:pPr>
        <w:spacing w:after="0" w:line="181" w:lineRule="exact"/>
        <w:rPr>
          <w:sz w:val="20"/>
          <w:szCs w:val="20"/>
          <w:color w:val="auto"/>
        </w:rPr>
      </w:pPr>
    </w:p>
    <w:p>
      <w:pPr>
        <w:ind w:left="660" w:right="40"/>
        <w:spacing w:after="0" w:line="288" w:lineRule="auto"/>
        <w:rPr>
          <w:sz w:val="20"/>
          <w:szCs w:val="20"/>
          <w:color w:val="auto"/>
        </w:rPr>
      </w:pPr>
      <w:r>
        <w:rPr>
          <w:rFonts w:ascii="Arial" w:cs="Arial" w:eastAsia="Arial" w:hAnsi="Arial"/>
          <w:sz w:val="16"/>
          <w:szCs w:val="16"/>
          <w:b w:val="1"/>
          <w:bCs w:val="1"/>
          <w:i w:val="1"/>
          <w:iCs w:val="1"/>
          <w:color w:val="auto"/>
        </w:rPr>
        <w:t>Broker Non-Votes</w:t>
      </w:r>
      <w:r>
        <w:rPr>
          <w:rFonts w:ascii="Arial" w:cs="Arial" w:eastAsia="Arial" w:hAnsi="Arial"/>
          <w:sz w:val="16"/>
          <w:szCs w:val="16"/>
          <w:color w:val="auto"/>
        </w:rPr>
        <w:t>: A “broker non-vote” occurs when a broker, bank or other nominee holding your shares in street name does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vote on a particular matter because you did not provide the broker, bank or other nominee voting instructions and the broker, bank or other nominee lacks discretionary voting authority to vote the shares because the matter is considered “non-routine” under Nasdaq rules. The “non-routine” matters on the agenda for the Annual Meeting are Proposal No. 1: Election of Directors, Proposal No. 3: The approval, on an advisory basis, of the compensation of our named executive officers, Proposal No. 4: The approval, on an advisory basis, of the frequency of future stockholder advisory votes on the compensation of our named executive officers and Proposal No. 5: The approval of the amendment of the Lucid Group, Inc. 2021 Stock Incentive Plan.</w:t>
      </w:r>
    </w:p>
    <w:p>
      <w:pPr>
        <w:spacing w:after="0" w:line="203" w:lineRule="exact"/>
        <w:rPr>
          <w:sz w:val="20"/>
          <w:szCs w:val="20"/>
          <w:color w:val="auto"/>
        </w:rPr>
      </w:pPr>
    </w:p>
    <w:p>
      <w:pPr>
        <w:ind w:left="660" w:right="100"/>
        <w:spacing w:after="0" w:line="281" w:lineRule="auto"/>
        <w:rPr>
          <w:sz w:val="20"/>
          <w:szCs w:val="20"/>
          <w:color w:val="auto"/>
        </w:rPr>
      </w:pPr>
      <w:r>
        <w:rPr>
          <w:rFonts w:ascii="Arial" w:cs="Arial" w:eastAsia="Arial" w:hAnsi="Arial"/>
          <w:sz w:val="16"/>
          <w:szCs w:val="16"/>
          <w:color w:val="auto"/>
        </w:rPr>
        <w:t>Broker non-votes will be counted for the purpose of determining whether a quorum is present at the Annual Meeting. However, because broker non-votes are not considered under Delaware law to be entitled to vote at the Annual Meeting, they will have no effect on the outcome of the vote on Proposal No. 1: Election of Directors, Proposal No. 3: The approval, on an advisory basis, of the compensation of our named executive officers, Proposal No. 4: The approval, on an advisory basis, of the frequency of future stockholder advisory votes on the compensation of our named executive officers and Proposal No. 5: The approval of the amendment of the Lucid Group, Inc. 2021 Stock Incentive Plan. As a result, if you hold your shares in street name and you do not instruct your broker, bank or other nominee how to vote your shares on these proposals, no votes will be cast on your behalf on these proposals. Therefore, it is critical that you indicate your vote on this proposal if you want your vote to be counted. The proposal to ratify the selection of GT as our independent registered public accounting firm for the fiscal year ending December 31,</w:t>
      </w:r>
    </w:p>
    <w:p>
      <w:pPr>
        <w:spacing w:after="0" w:line="5" w:lineRule="exact"/>
        <w:rPr>
          <w:sz w:val="20"/>
          <w:szCs w:val="20"/>
          <w:color w:val="auto"/>
        </w:rPr>
      </w:pPr>
    </w:p>
    <w:p>
      <w:pPr>
        <w:jc w:val="both"/>
        <w:ind w:left="660"/>
        <w:spacing w:after="0" w:line="288" w:lineRule="auto"/>
        <w:rPr>
          <w:sz w:val="20"/>
          <w:szCs w:val="20"/>
          <w:color w:val="auto"/>
        </w:rPr>
      </w:pPr>
      <w:r>
        <w:rPr>
          <w:rFonts w:ascii="Arial" w:cs="Arial" w:eastAsia="Arial" w:hAnsi="Arial"/>
          <w:sz w:val="16"/>
          <w:szCs w:val="16"/>
          <w:color w:val="auto"/>
        </w:rPr>
        <w:t>2022 should be considered a “routine” matter. Therefore, your broker, bank or other nominee will be able to vote on Proposal No. 2: Ratification of the Selection of the Independent Registered Public Accounting Firm even if it does not receive instructions from you, so long as it holds your shares in its name.</w:t>
      </w:r>
    </w:p>
    <w:p>
      <w:pPr>
        <w:spacing w:after="0" w:line="367"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2"/>
          <w:szCs w:val="12"/>
          <w:b w:val="1"/>
          <w:bCs w:val="1"/>
          <w:color w:val="auto"/>
        </w:rPr>
        <w:t>6</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110490</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sectPr>
      </w:pPr>
    </w:p>
    <w:bookmarkStart w:id="15" w:name="page16"/>
    <w:bookmarkEnd w:id="15"/>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How many votes are needed to approve each proposal?</w:t>
      </w:r>
    </w:p>
    <w:p>
      <w:pPr>
        <w:spacing w:after="0" w:line="230" w:lineRule="exact"/>
        <w:rPr>
          <w:sz w:val="20"/>
          <w:szCs w:val="20"/>
          <w:color w:val="auto"/>
        </w:rPr>
      </w:pPr>
    </w:p>
    <w:tbl>
      <w:tblPr>
        <w:tblLayout w:type="fixed"/>
        <w:tblInd w:w="660" w:type="dxa"/>
        <w:tblCellMar>
          <w:top w:w="0" w:type="dxa"/>
          <w:left w:w="0" w:type="dxa"/>
          <w:bottom w:w="0" w:type="dxa"/>
          <w:right w:w="0" w:type="dxa"/>
        </w:tblCellMar>
      </w:tblPr>
      <w:tr>
        <w:trPr>
          <w:trHeight w:val="248"/>
        </w:trPr>
        <w:tc>
          <w:tcPr>
            <w:tcW w:w="6820" w:type="dxa"/>
            <w:vAlign w:val="bottom"/>
            <w:gridSpan w:val="2"/>
            <w:shd w:val="clear" w:color="auto" w:fill="000000"/>
          </w:tcPr>
          <w:p>
            <w:pPr>
              <w:ind w:left="140"/>
              <w:spacing w:after="0"/>
              <w:rPr>
                <w:sz w:val="20"/>
                <w:szCs w:val="20"/>
                <w:color w:val="auto"/>
              </w:rPr>
            </w:pPr>
            <w:r>
              <w:rPr>
                <w:rFonts w:ascii="Arial" w:cs="Arial" w:eastAsia="Arial" w:hAnsi="Arial"/>
                <w:sz w:val="13"/>
                <w:szCs w:val="13"/>
                <w:b w:val="1"/>
                <w:bCs w:val="1"/>
                <w:color w:val="FEFEFE"/>
              </w:rPr>
              <w:t>Proposal</w:t>
            </w:r>
          </w:p>
        </w:tc>
        <w:tc>
          <w:tcPr>
            <w:tcW w:w="1260" w:type="dxa"/>
            <w:vAlign w:val="bottom"/>
            <w:shd w:val="clear" w:color="auto" w:fill="000000"/>
          </w:tcPr>
          <w:p>
            <w:pPr>
              <w:jc w:val="center"/>
              <w:ind w:left="130"/>
              <w:spacing w:after="0"/>
              <w:rPr>
                <w:sz w:val="20"/>
                <w:szCs w:val="20"/>
                <w:color w:val="auto"/>
              </w:rPr>
            </w:pPr>
            <w:r>
              <w:rPr>
                <w:rFonts w:ascii="Arial" w:cs="Arial" w:eastAsia="Arial" w:hAnsi="Arial"/>
                <w:sz w:val="13"/>
                <w:szCs w:val="13"/>
                <w:b w:val="1"/>
                <w:bCs w:val="1"/>
                <w:color w:val="FEFEFE"/>
                <w:w w:val="97"/>
              </w:rPr>
              <w:t>Vote Required</w:t>
            </w:r>
          </w:p>
        </w:tc>
        <w:tc>
          <w:tcPr>
            <w:tcW w:w="1300" w:type="dxa"/>
            <w:vAlign w:val="bottom"/>
            <w:shd w:val="clear" w:color="auto" w:fill="000000"/>
          </w:tcPr>
          <w:p>
            <w:pPr>
              <w:jc w:val="center"/>
              <w:ind w:right="31"/>
              <w:spacing w:after="0"/>
              <w:rPr>
                <w:sz w:val="20"/>
                <w:szCs w:val="20"/>
                <w:color w:val="auto"/>
              </w:rPr>
            </w:pPr>
            <w:r>
              <w:rPr>
                <w:rFonts w:ascii="Arial" w:cs="Arial" w:eastAsia="Arial" w:hAnsi="Arial"/>
                <w:sz w:val="13"/>
                <w:szCs w:val="13"/>
                <w:b w:val="1"/>
                <w:bCs w:val="1"/>
                <w:color w:val="FEFEFE"/>
                <w:w w:val="96"/>
              </w:rPr>
              <w:t>Discretionary</w:t>
            </w:r>
          </w:p>
        </w:tc>
        <w:tc>
          <w:tcPr>
            <w:tcW w:w="0" w:type="dxa"/>
            <w:vAlign w:val="bottom"/>
          </w:tcPr>
          <w:p>
            <w:pPr>
              <w:spacing w:after="0"/>
              <w:rPr>
                <w:sz w:val="1"/>
                <w:szCs w:val="1"/>
                <w:color w:val="auto"/>
              </w:rPr>
            </w:pPr>
          </w:p>
        </w:tc>
      </w:tr>
      <w:tr>
        <w:trPr>
          <w:trHeight w:val="168"/>
        </w:trPr>
        <w:tc>
          <w:tcPr>
            <w:tcW w:w="340" w:type="dxa"/>
            <w:vAlign w:val="bottom"/>
            <w:shd w:val="clear" w:color="auto" w:fill="000000"/>
          </w:tcPr>
          <w:p>
            <w:pPr>
              <w:spacing w:after="0"/>
              <w:rPr>
                <w:sz w:val="14"/>
                <w:szCs w:val="14"/>
                <w:color w:val="auto"/>
              </w:rPr>
            </w:pPr>
          </w:p>
        </w:tc>
        <w:tc>
          <w:tcPr>
            <w:tcW w:w="6480" w:type="dxa"/>
            <w:vAlign w:val="bottom"/>
            <w:shd w:val="clear" w:color="auto" w:fill="000000"/>
          </w:tcPr>
          <w:p>
            <w:pPr>
              <w:spacing w:after="0"/>
              <w:rPr>
                <w:sz w:val="14"/>
                <w:szCs w:val="14"/>
                <w:color w:val="auto"/>
              </w:rPr>
            </w:pPr>
          </w:p>
        </w:tc>
        <w:tc>
          <w:tcPr>
            <w:tcW w:w="1260" w:type="dxa"/>
            <w:vAlign w:val="bottom"/>
            <w:shd w:val="clear" w:color="auto" w:fill="000000"/>
          </w:tcPr>
          <w:p>
            <w:pPr>
              <w:spacing w:after="0"/>
              <w:rPr>
                <w:sz w:val="14"/>
                <w:szCs w:val="14"/>
                <w:color w:val="auto"/>
              </w:rPr>
            </w:pPr>
          </w:p>
        </w:tc>
        <w:tc>
          <w:tcPr>
            <w:tcW w:w="1300" w:type="dxa"/>
            <w:vAlign w:val="bottom"/>
            <w:shd w:val="clear" w:color="auto" w:fill="000000"/>
          </w:tcPr>
          <w:p>
            <w:pPr>
              <w:jc w:val="center"/>
              <w:ind w:right="11"/>
              <w:spacing w:after="0"/>
              <w:rPr>
                <w:sz w:val="20"/>
                <w:szCs w:val="20"/>
                <w:color w:val="auto"/>
              </w:rPr>
            </w:pPr>
            <w:r>
              <w:rPr>
                <w:rFonts w:ascii="Arial" w:cs="Arial" w:eastAsia="Arial" w:hAnsi="Arial"/>
                <w:sz w:val="13"/>
                <w:szCs w:val="13"/>
                <w:b w:val="1"/>
                <w:bCs w:val="1"/>
                <w:color w:val="FEFEFE"/>
                <w:w w:val="96"/>
              </w:rPr>
              <w:t>Voting Allowed?</w:t>
            </w:r>
          </w:p>
        </w:tc>
        <w:tc>
          <w:tcPr>
            <w:tcW w:w="0" w:type="dxa"/>
            <w:vAlign w:val="bottom"/>
          </w:tcPr>
          <w:p>
            <w:pPr>
              <w:spacing w:after="0"/>
              <w:rPr>
                <w:sz w:val="1"/>
                <w:szCs w:val="1"/>
                <w:color w:val="auto"/>
              </w:rPr>
            </w:pPr>
          </w:p>
        </w:tc>
      </w:tr>
      <w:tr>
        <w:trPr>
          <w:trHeight w:val="124"/>
        </w:trPr>
        <w:tc>
          <w:tcPr>
            <w:tcW w:w="340" w:type="dxa"/>
            <w:vAlign w:val="bottom"/>
            <w:shd w:val="clear" w:color="auto" w:fill="000000"/>
          </w:tcPr>
          <w:p>
            <w:pPr>
              <w:spacing w:after="0"/>
              <w:rPr>
                <w:sz w:val="10"/>
                <w:szCs w:val="10"/>
                <w:color w:val="auto"/>
              </w:rPr>
            </w:pPr>
          </w:p>
        </w:tc>
        <w:tc>
          <w:tcPr>
            <w:tcW w:w="6480" w:type="dxa"/>
            <w:vAlign w:val="bottom"/>
            <w:shd w:val="clear" w:color="auto" w:fill="000000"/>
          </w:tcPr>
          <w:p>
            <w:pPr>
              <w:spacing w:after="0"/>
              <w:rPr>
                <w:sz w:val="10"/>
                <w:szCs w:val="10"/>
                <w:color w:val="auto"/>
              </w:rPr>
            </w:pPr>
          </w:p>
        </w:tc>
        <w:tc>
          <w:tcPr>
            <w:tcW w:w="1260" w:type="dxa"/>
            <w:vAlign w:val="bottom"/>
            <w:shd w:val="clear" w:color="auto" w:fill="000000"/>
          </w:tcPr>
          <w:p>
            <w:pPr>
              <w:spacing w:after="0"/>
              <w:rPr>
                <w:sz w:val="10"/>
                <w:szCs w:val="10"/>
                <w:color w:val="auto"/>
              </w:rPr>
            </w:pPr>
          </w:p>
        </w:tc>
        <w:tc>
          <w:tcPr>
            <w:tcW w:w="130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369"/>
        </w:trPr>
        <w:tc>
          <w:tcPr>
            <w:tcW w:w="340" w:type="dxa"/>
            <w:vAlign w:val="bottom"/>
          </w:tcPr>
          <w:p>
            <w:pPr>
              <w:ind w:left="140"/>
              <w:spacing w:after="0"/>
              <w:rPr>
                <w:sz w:val="20"/>
                <w:szCs w:val="20"/>
                <w:color w:val="auto"/>
              </w:rPr>
            </w:pPr>
            <w:r>
              <w:rPr>
                <w:rFonts w:ascii="Arial" w:cs="Arial" w:eastAsia="Arial" w:hAnsi="Arial"/>
                <w:sz w:val="20"/>
                <w:szCs w:val="20"/>
                <w:b w:val="1"/>
                <w:bCs w:val="1"/>
                <w:color w:val="auto"/>
              </w:rPr>
              <w:t>1</w:t>
            </w:r>
          </w:p>
        </w:tc>
        <w:tc>
          <w:tcPr>
            <w:tcW w:w="6480" w:type="dxa"/>
            <w:vAlign w:val="bottom"/>
          </w:tcPr>
          <w:p>
            <w:pPr>
              <w:ind w:left="80"/>
              <w:spacing w:after="0"/>
              <w:rPr>
                <w:sz w:val="20"/>
                <w:szCs w:val="20"/>
                <w:color w:val="auto"/>
              </w:rPr>
            </w:pPr>
            <w:r>
              <w:rPr>
                <w:rFonts w:ascii="Arial" w:cs="Arial" w:eastAsia="Arial" w:hAnsi="Arial"/>
                <w:sz w:val="14"/>
                <w:szCs w:val="14"/>
                <w:color w:val="auto"/>
              </w:rPr>
              <w:t>Election of Directors</w:t>
            </w:r>
          </w:p>
        </w:tc>
        <w:tc>
          <w:tcPr>
            <w:tcW w:w="1260" w:type="dxa"/>
            <w:vAlign w:val="bottom"/>
          </w:tcPr>
          <w:p>
            <w:pPr>
              <w:jc w:val="center"/>
              <w:ind w:left="130"/>
              <w:spacing w:after="0"/>
              <w:rPr>
                <w:sz w:val="20"/>
                <w:szCs w:val="20"/>
                <w:color w:val="auto"/>
              </w:rPr>
            </w:pPr>
            <w:r>
              <w:rPr>
                <w:rFonts w:ascii="Arial" w:cs="Arial" w:eastAsia="Arial" w:hAnsi="Arial"/>
                <w:sz w:val="14"/>
                <w:szCs w:val="14"/>
                <w:color w:val="auto"/>
              </w:rPr>
              <w:t>Plurality</w:t>
            </w:r>
          </w:p>
        </w:tc>
        <w:tc>
          <w:tcPr>
            <w:tcW w:w="1300" w:type="dxa"/>
            <w:vAlign w:val="bottom"/>
          </w:tcPr>
          <w:p>
            <w:pPr>
              <w:jc w:val="center"/>
              <w:ind w:right="31"/>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90"/>
        </w:trPr>
        <w:tc>
          <w:tcPr>
            <w:tcW w:w="340" w:type="dxa"/>
            <w:vAlign w:val="bottom"/>
            <w:tcBorders>
              <w:bottom w:val="single" w:sz="8" w:color="auto"/>
            </w:tcBorders>
          </w:tcPr>
          <w:p>
            <w:pPr>
              <w:spacing w:after="0"/>
              <w:rPr>
                <w:sz w:val="7"/>
                <w:szCs w:val="7"/>
                <w:color w:val="auto"/>
              </w:rPr>
            </w:pPr>
          </w:p>
        </w:tc>
        <w:tc>
          <w:tcPr>
            <w:tcW w:w="64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8"/>
        </w:trPr>
        <w:tc>
          <w:tcPr>
            <w:tcW w:w="340" w:type="dxa"/>
            <w:vAlign w:val="bottom"/>
            <w:shd w:val="clear" w:color="auto" w:fill="F7F7F7"/>
          </w:tcPr>
          <w:p>
            <w:pPr>
              <w:ind w:left="140"/>
              <w:spacing w:after="0"/>
              <w:rPr>
                <w:sz w:val="20"/>
                <w:szCs w:val="20"/>
                <w:color w:val="auto"/>
              </w:rPr>
            </w:pPr>
            <w:r>
              <w:rPr>
                <w:rFonts w:ascii="Arial" w:cs="Arial" w:eastAsia="Arial" w:hAnsi="Arial"/>
                <w:sz w:val="20"/>
                <w:szCs w:val="20"/>
                <w:b w:val="1"/>
                <w:bCs w:val="1"/>
                <w:color w:val="auto"/>
              </w:rPr>
              <w:t>2</w:t>
            </w:r>
          </w:p>
        </w:tc>
        <w:tc>
          <w:tcPr>
            <w:tcW w:w="6480" w:type="dxa"/>
            <w:vAlign w:val="bottom"/>
            <w:shd w:val="clear" w:color="auto" w:fill="F7F7F7"/>
          </w:tcPr>
          <w:p>
            <w:pPr>
              <w:ind w:left="80"/>
              <w:spacing w:after="0"/>
              <w:rPr>
                <w:sz w:val="20"/>
                <w:szCs w:val="20"/>
                <w:color w:val="auto"/>
              </w:rPr>
            </w:pPr>
            <w:r>
              <w:rPr>
                <w:rFonts w:ascii="Arial" w:cs="Arial" w:eastAsia="Arial" w:hAnsi="Arial"/>
                <w:sz w:val="14"/>
                <w:szCs w:val="14"/>
                <w:color w:val="auto"/>
              </w:rPr>
              <w:t>Ratification of the Selection of the Independent Registered Public Accounting Firm</w:t>
            </w:r>
          </w:p>
        </w:tc>
        <w:tc>
          <w:tcPr>
            <w:tcW w:w="1260" w:type="dxa"/>
            <w:vAlign w:val="bottom"/>
            <w:shd w:val="clear" w:color="auto" w:fill="F7F7F7"/>
          </w:tcPr>
          <w:p>
            <w:pPr>
              <w:jc w:val="center"/>
              <w:ind w:left="110"/>
              <w:spacing w:after="0"/>
              <w:rPr>
                <w:sz w:val="20"/>
                <w:szCs w:val="20"/>
                <w:color w:val="auto"/>
              </w:rPr>
            </w:pPr>
            <w:r>
              <w:rPr>
                <w:rFonts w:ascii="Arial" w:cs="Arial" w:eastAsia="Arial" w:hAnsi="Arial"/>
                <w:sz w:val="14"/>
                <w:szCs w:val="14"/>
                <w:color w:val="auto"/>
              </w:rPr>
              <w:t>Majority Cast</w:t>
            </w:r>
          </w:p>
        </w:tc>
        <w:tc>
          <w:tcPr>
            <w:tcW w:w="1300" w:type="dxa"/>
            <w:vAlign w:val="bottom"/>
            <w:shd w:val="clear" w:color="auto" w:fill="F7F7F7"/>
          </w:tcPr>
          <w:p>
            <w:pPr>
              <w:jc w:val="center"/>
              <w:ind w:right="31"/>
              <w:spacing w:after="0"/>
              <w:rPr>
                <w:sz w:val="20"/>
                <w:szCs w:val="20"/>
                <w:color w:val="auto"/>
              </w:rPr>
            </w:pPr>
            <w:r>
              <w:rPr>
                <w:rFonts w:ascii="Arial" w:cs="Arial" w:eastAsia="Arial" w:hAnsi="Arial"/>
                <w:sz w:val="14"/>
                <w:szCs w:val="14"/>
                <w:color w:val="auto"/>
                <w:w w:val="99"/>
              </w:rPr>
              <w:t>Yes</w:t>
            </w:r>
          </w:p>
        </w:tc>
        <w:tc>
          <w:tcPr>
            <w:tcW w:w="0" w:type="dxa"/>
            <w:vAlign w:val="bottom"/>
          </w:tcPr>
          <w:p>
            <w:pPr>
              <w:spacing w:after="0"/>
              <w:rPr>
                <w:sz w:val="1"/>
                <w:szCs w:val="1"/>
                <w:color w:val="auto"/>
              </w:rPr>
            </w:pPr>
          </w:p>
        </w:tc>
      </w:tr>
      <w:tr>
        <w:trPr>
          <w:trHeight w:val="91"/>
        </w:trPr>
        <w:tc>
          <w:tcPr>
            <w:tcW w:w="340" w:type="dxa"/>
            <w:vAlign w:val="bottom"/>
            <w:tcBorders>
              <w:bottom w:val="single" w:sz="8" w:color="auto"/>
            </w:tcBorders>
            <w:shd w:val="clear" w:color="auto" w:fill="F7F7F7"/>
          </w:tcPr>
          <w:p>
            <w:pPr>
              <w:spacing w:after="0"/>
              <w:rPr>
                <w:sz w:val="7"/>
                <w:szCs w:val="7"/>
                <w:color w:val="auto"/>
              </w:rPr>
            </w:pPr>
          </w:p>
        </w:tc>
        <w:tc>
          <w:tcPr>
            <w:tcW w:w="6480" w:type="dxa"/>
            <w:vAlign w:val="bottom"/>
            <w:tcBorders>
              <w:bottom w:val="single" w:sz="8" w:color="auto"/>
            </w:tcBorders>
            <w:shd w:val="clear" w:color="auto" w:fill="F7F7F7"/>
          </w:tcPr>
          <w:p>
            <w:pPr>
              <w:spacing w:after="0"/>
              <w:rPr>
                <w:sz w:val="7"/>
                <w:szCs w:val="7"/>
                <w:color w:val="auto"/>
              </w:rPr>
            </w:pPr>
          </w:p>
        </w:tc>
        <w:tc>
          <w:tcPr>
            <w:tcW w:w="1260" w:type="dxa"/>
            <w:vAlign w:val="bottom"/>
            <w:tcBorders>
              <w:bottom w:val="single" w:sz="8" w:color="auto"/>
            </w:tcBorders>
            <w:shd w:val="clear" w:color="auto" w:fill="F7F7F7"/>
          </w:tcPr>
          <w:p>
            <w:pPr>
              <w:spacing w:after="0"/>
              <w:rPr>
                <w:sz w:val="7"/>
                <w:szCs w:val="7"/>
                <w:color w:val="auto"/>
              </w:rPr>
            </w:pPr>
          </w:p>
        </w:tc>
        <w:tc>
          <w:tcPr>
            <w:tcW w:w="1300" w:type="dxa"/>
            <w:vAlign w:val="bottom"/>
            <w:tcBorders>
              <w:bottom w:val="single" w:sz="8" w:color="auto"/>
            </w:tcBorders>
            <w:shd w:val="clear" w:color="auto" w:fill="F7F7F7"/>
          </w:tcPr>
          <w:p>
            <w:pPr>
              <w:spacing w:after="0"/>
              <w:rPr>
                <w:sz w:val="7"/>
                <w:szCs w:val="7"/>
                <w:color w:val="auto"/>
              </w:rPr>
            </w:pPr>
          </w:p>
        </w:tc>
        <w:tc>
          <w:tcPr>
            <w:tcW w:w="0" w:type="dxa"/>
            <w:vAlign w:val="bottom"/>
          </w:tcPr>
          <w:p>
            <w:pPr>
              <w:spacing w:after="0"/>
              <w:rPr>
                <w:sz w:val="1"/>
                <w:szCs w:val="1"/>
                <w:color w:val="auto"/>
              </w:rPr>
            </w:pPr>
          </w:p>
        </w:tc>
      </w:tr>
      <w:tr>
        <w:trPr>
          <w:trHeight w:val="348"/>
        </w:trPr>
        <w:tc>
          <w:tcPr>
            <w:tcW w:w="340" w:type="dxa"/>
            <w:vAlign w:val="bottom"/>
          </w:tcPr>
          <w:p>
            <w:pPr>
              <w:ind w:left="140"/>
              <w:spacing w:after="0"/>
              <w:rPr>
                <w:sz w:val="20"/>
                <w:szCs w:val="20"/>
                <w:color w:val="auto"/>
              </w:rPr>
            </w:pPr>
            <w:r>
              <w:rPr>
                <w:rFonts w:ascii="Arial" w:cs="Arial" w:eastAsia="Arial" w:hAnsi="Arial"/>
                <w:sz w:val="20"/>
                <w:szCs w:val="20"/>
                <w:b w:val="1"/>
                <w:bCs w:val="1"/>
                <w:color w:val="auto"/>
              </w:rPr>
              <w:t>3</w:t>
            </w:r>
          </w:p>
        </w:tc>
        <w:tc>
          <w:tcPr>
            <w:tcW w:w="6480" w:type="dxa"/>
            <w:vAlign w:val="bottom"/>
          </w:tcPr>
          <w:p>
            <w:pPr>
              <w:ind w:left="80"/>
              <w:spacing w:after="0"/>
              <w:rPr>
                <w:sz w:val="20"/>
                <w:szCs w:val="20"/>
                <w:color w:val="auto"/>
              </w:rPr>
            </w:pPr>
            <w:r>
              <w:rPr>
                <w:rFonts w:ascii="Arial" w:cs="Arial" w:eastAsia="Arial" w:hAnsi="Arial"/>
                <w:sz w:val="14"/>
                <w:szCs w:val="14"/>
                <w:color w:val="auto"/>
              </w:rPr>
              <w:t>The approval, on an advisory basis, of the compensation of our named executive officers</w:t>
            </w:r>
          </w:p>
        </w:tc>
        <w:tc>
          <w:tcPr>
            <w:tcW w:w="1260" w:type="dxa"/>
            <w:vAlign w:val="bottom"/>
          </w:tcPr>
          <w:p>
            <w:pPr>
              <w:jc w:val="center"/>
              <w:ind w:left="110"/>
              <w:spacing w:after="0"/>
              <w:rPr>
                <w:sz w:val="20"/>
                <w:szCs w:val="20"/>
                <w:color w:val="auto"/>
              </w:rPr>
            </w:pPr>
            <w:r>
              <w:rPr>
                <w:rFonts w:ascii="Arial" w:cs="Arial" w:eastAsia="Arial" w:hAnsi="Arial"/>
                <w:sz w:val="14"/>
                <w:szCs w:val="14"/>
                <w:color w:val="auto"/>
              </w:rPr>
              <w:t>Majority Cast</w:t>
            </w:r>
          </w:p>
        </w:tc>
        <w:tc>
          <w:tcPr>
            <w:tcW w:w="1300" w:type="dxa"/>
            <w:vAlign w:val="bottom"/>
          </w:tcPr>
          <w:p>
            <w:pPr>
              <w:jc w:val="center"/>
              <w:ind w:right="31"/>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90"/>
        </w:trPr>
        <w:tc>
          <w:tcPr>
            <w:tcW w:w="340" w:type="dxa"/>
            <w:vAlign w:val="bottom"/>
            <w:tcBorders>
              <w:bottom w:val="single" w:sz="8" w:color="auto"/>
            </w:tcBorders>
          </w:tcPr>
          <w:p>
            <w:pPr>
              <w:spacing w:after="0"/>
              <w:rPr>
                <w:sz w:val="7"/>
                <w:szCs w:val="7"/>
                <w:color w:val="auto"/>
              </w:rPr>
            </w:pPr>
          </w:p>
        </w:tc>
        <w:tc>
          <w:tcPr>
            <w:tcW w:w="64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340" w:type="dxa"/>
            <w:vAlign w:val="bottom"/>
            <w:vMerge w:val="restart"/>
            <w:shd w:val="clear" w:color="auto" w:fill="F7F7F7"/>
          </w:tcPr>
          <w:p>
            <w:pPr>
              <w:ind w:left="140"/>
              <w:spacing w:after="0"/>
              <w:rPr>
                <w:sz w:val="20"/>
                <w:szCs w:val="20"/>
                <w:color w:val="auto"/>
              </w:rPr>
            </w:pPr>
            <w:r>
              <w:rPr>
                <w:rFonts w:ascii="Arial" w:cs="Arial" w:eastAsia="Arial" w:hAnsi="Arial"/>
                <w:sz w:val="20"/>
                <w:szCs w:val="20"/>
                <w:b w:val="1"/>
                <w:bCs w:val="1"/>
                <w:color w:val="auto"/>
              </w:rPr>
              <w:t>4</w:t>
            </w:r>
          </w:p>
        </w:tc>
        <w:tc>
          <w:tcPr>
            <w:tcW w:w="6480" w:type="dxa"/>
            <w:vAlign w:val="bottom"/>
            <w:shd w:val="clear" w:color="auto" w:fill="F7F7F7"/>
          </w:tcPr>
          <w:p>
            <w:pPr>
              <w:ind w:left="80"/>
              <w:spacing w:after="0"/>
              <w:rPr>
                <w:sz w:val="20"/>
                <w:szCs w:val="20"/>
                <w:color w:val="auto"/>
              </w:rPr>
            </w:pPr>
            <w:r>
              <w:rPr>
                <w:rFonts w:ascii="Arial" w:cs="Arial" w:eastAsia="Arial" w:hAnsi="Arial"/>
                <w:sz w:val="14"/>
                <w:szCs w:val="14"/>
                <w:color w:val="auto"/>
              </w:rPr>
              <w:t>The approval, on an advisory basis, of the frequency of future stockholder advisory votes on the</w:t>
            </w:r>
          </w:p>
        </w:tc>
        <w:tc>
          <w:tcPr>
            <w:tcW w:w="1260" w:type="dxa"/>
            <w:vAlign w:val="bottom"/>
            <w:shd w:val="clear" w:color="auto" w:fill="F7F7F7"/>
          </w:tcPr>
          <w:p>
            <w:pPr>
              <w:jc w:val="center"/>
              <w:ind w:left="130"/>
              <w:spacing w:after="0"/>
              <w:rPr>
                <w:sz w:val="20"/>
                <w:szCs w:val="20"/>
                <w:color w:val="auto"/>
              </w:rPr>
            </w:pPr>
            <w:r>
              <w:rPr>
                <w:rFonts w:ascii="Arial" w:cs="Arial" w:eastAsia="Arial" w:hAnsi="Arial"/>
                <w:sz w:val="14"/>
                <w:szCs w:val="14"/>
                <w:color w:val="auto"/>
              </w:rPr>
              <w:t>Plurality</w:t>
            </w:r>
          </w:p>
        </w:tc>
        <w:tc>
          <w:tcPr>
            <w:tcW w:w="1300" w:type="dxa"/>
            <w:vAlign w:val="bottom"/>
            <w:shd w:val="clear" w:color="auto" w:fill="F7F7F7"/>
          </w:tcPr>
          <w:p>
            <w:pPr>
              <w:jc w:val="center"/>
              <w:ind w:right="31"/>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172"/>
        </w:trPr>
        <w:tc>
          <w:tcPr>
            <w:tcW w:w="340" w:type="dxa"/>
            <w:vAlign w:val="bottom"/>
            <w:vMerge w:val="continue"/>
            <w:shd w:val="clear" w:color="auto" w:fill="F7F7F7"/>
          </w:tcPr>
          <w:p>
            <w:pPr>
              <w:spacing w:after="0"/>
              <w:rPr>
                <w:sz w:val="14"/>
                <w:szCs w:val="14"/>
                <w:color w:val="auto"/>
              </w:rPr>
            </w:pPr>
          </w:p>
        </w:tc>
        <w:tc>
          <w:tcPr>
            <w:tcW w:w="6480" w:type="dxa"/>
            <w:vAlign w:val="bottom"/>
            <w:shd w:val="clear" w:color="auto" w:fill="F7F7F7"/>
          </w:tcPr>
          <w:p>
            <w:pPr>
              <w:ind w:left="80"/>
              <w:spacing w:after="0"/>
              <w:rPr>
                <w:sz w:val="20"/>
                <w:szCs w:val="20"/>
                <w:color w:val="auto"/>
              </w:rPr>
            </w:pPr>
            <w:r>
              <w:rPr>
                <w:rFonts w:ascii="Arial" w:cs="Arial" w:eastAsia="Arial" w:hAnsi="Arial"/>
                <w:sz w:val="14"/>
                <w:szCs w:val="14"/>
                <w:color w:val="auto"/>
              </w:rPr>
              <w:t>compensation of our named executive officers</w:t>
            </w:r>
          </w:p>
        </w:tc>
        <w:tc>
          <w:tcPr>
            <w:tcW w:w="1260" w:type="dxa"/>
            <w:vAlign w:val="bottom"/>
            <w:shd w:val="clear" w:color="auto" w:fill="F7F7F7"/>
          </w:tcPr>
          <w:p>
            <w:pPr>
              <w:spacing w:after="0"/>
              <w:rPr>
                <w:sz w:val="14"/>
                <w:szCs w:val="14"/>
                <w:color w:val="auto"/>
              </w:rPr>
            </w:pPr>
          </w:p>
        </w:tc>
        <w:tc>
          <w:tcPr>
            <w:tcW w:w="1300" w:type="dxa"/>
            <w:vAlign w:val="bottom"/>
            <w:shd w:val="clear" w:color="auto" w:fill="F7F7F7"/>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340" w:type="dxa"/>
            <w:vAlign w:val="bottom"/>
            <w:tcBorders>
              <w:bottom w:val="single" w:sz="8" w:color="auto"/>
            </w:tcBorders>
            <w:shd w:val="clear" w:color="auto" w:fill="F7F7F7"/>
          </w:tcPr>
          <w:p>
            <w:pPr>
              <w:spacing w:after="0"/>
              <w:rPr>
                <w:sz w:val="5"/>
                <w:szCs w:val="5"/>
                <w:color w:val="auto"/>
              </w:rPr>
            </w:pPr>
          </w:p>
        </w:tc>
        <w:tc>
          <w:tcPr>
            <w:tcW w:w="6480" w:type="dxa"/>
            <w:vAlign w:val="bottom"/>
            <w:tcBorders>
              <w:bottom w:val="single" w:sz="8" w:color="auto"/>
            </w:tcBorders>
            <w:shd w:val="clear" w:color="auto" w:fill="F7F7F7"/>
          </w:tcPr>
          <w:p>
            <w:pPr>
              <w:spacing w:after="0"/>
              <w:rPr>
                <w:sz w:val="5"/>
                <w:szCs w:val="5"/>
                <w:color w:val="auto"/>
              </w:rPr>
            </w:pPr>
          </w:p>
        </w:tc>
        <w:tc>
          <w:tcPr>
            <w:tcW w:w="1260" w:type="dxa"/>
            <w:vAlign w:val="bottom"/>
            <w:tcBorders>
              <w:bottom w:val="single" w:sz="8" w:color="auto"/>
            </w:tcBorders>
            <w:shd w:val="clear" w:color="auto" w:fill="F7F7F7"/>
          </w:tcPr>
          <w:p>
            <w:pPr>
              <w:spacing w:after="0"/>
              <w:rPr>
                <w:sz w:val="5"/>
                <w:szCs w:val="5"/>
                <w:color w:val="auto"/>
              </w:rPr>
            </w:pPr>
          </w:p>
        </w:tc>
        <w:tc>
          <w:tcPr>
            <w:tcW w:w="1300" w:type="dxa"/>
            <w:vAlign w:val="bottom"/>
            <w:tcBorders>
              <w:bottom w:val="single" w:sz="8" w:color="auto"/>
            </w:tcBorders>
            <w:shd w:val="clear" w:color="auto" w:fill="F7F7F7"/>
          </w:tcPr>
          <w:p>
            <w:pPr>
              <w:spacing w:after="0"/>
              <w:rPr>
                <w:sz w:val="5"/>
                <w:szCs w:val="5"/>
                <w:color w:val="auto"/>
              </w:rPr>
            </w:pPr>
          </w:p>
        </w:tc>
        <w:tc>
          <w:tcPr>
            <w:tcW w:w="0" w:type="dxa"/>
            <w:vAlign w:val="bottom"/>
          </w:tcPr>
          <w:p>
            <w:pPr>
              <w:spacing w:after="0"/>
              <w:rPr>
                <w:sz w:val="1"/>
                <w:szCs w:val="1"/>
                <w:color w:val="auto"/>
              </w:rPr>
            </w:pPr>
          </w:p>
        </w:tc>
      </w:tr>
      <w:tr>
        <w:trPr>
          <w:trHeight w:val="349"/>
        </w:trPr>
        <w:tc>
          <w:tcPr>
            <w:tcW w:w="340" w:type="dxa"/>
            <w:vAlign w:val="bottom"/>
          </w:tcPr>
          <w:p>
            <w:pPr>
              <w:ind w:left="140"/>
              <w:spacing w:after="0"/>
              <w:rPr>
                <w:sz w:val="20"/>
                <w:szCs w:val="20"/>
                <w:color w:val="auto"/>
              </w:rPr>
            </w:pPr>
            <w:r>
              <w:rPr>
                <w:rFonts w:ascii="Arial" w:cs="Arial" w:eastAsia="Arial" w:hAnsi="Arial"/>
                <w:sz w:val="20"/>
                <w:szCs w:val="20"/>
                <w:b w:val="1"/>
                <w:bCs w:val="1"/>
                <w:color w:val="auto"/>
              </w:rPr>
              <w:t>5</w:t>
            </w:r>
          </w:p>
        </w:tc>
        <w:tc>
          <w:tcPr>
            <w:tcW w:w="6480" w:type="dxa"/>
            <w:vAlign w:val="bottom"/>
          </w:tcPr>
          <w:p>
            <w:pPr>
              <w:ind w:left="80"/>
              <w:spacing w:after="0"/>
              <w:rPr>
                <w:sz w:val="20"/>
                <w:szCs w:val="20"/>
                <w:color w:val="auto"/>
              </w:rPr>
            </w:pPr>
            <w:r>
              <w:rPr>
                <w:rFonts w:ascii="Arial" w:cs="Arial" w:eastAsia="Arial" w:hAnsi="Arial"/>
                <w:sz w:val="14"/>
                <w:szCs w:val="14"/>
                <w:color w:val="auto"/>
              </w:rPr>
              <w:t>The approval of the amendment of the Lucid Group, Inc. 2021 Stock Incentive Plan</w:t>
            </w:r>
          </w:p>
        </w:tc>
        <w:tc>
          <w:tcPr>
            <w:tcW w:w="1260" w:type="dxa"/>
            <w:vAlign w:val="bottom"/>
          </w:tcPr>
          <w:p>
            <w:pPr>
              <w:jc w:val="center"/>
              <w:ind w:left="110"/>
              <w:spacing w:after="0"/>
              <w:rPr>
                <w:sz w:val="20"/>
                <w:szCs w:val="20"/>
                <w:color w:val="auto"/>
              </w:rPr>
            </w:pPr>
            <w:r>
              <w:rPr>
                <w:rFonts w:ascii="Arial" w:cs="Arial" w:eastAsia="Arial" w:hAnsi="Arial"/>
                <w:sz w:val="14"/>
                <w:szCs w:val="14"/>
                <w:color w:val="auto"/>
              </w:rPr>
              <w:t>Majority Cast</w:t>
            </w:r>
          </w:p>
        </w:tc>
        <w:tc>
          <w:tcPr>
            <w:tcW w:w="1300" w:type="dxa"/>
            <w:vAlign w:val="bottom"/>
          </w:tcPr>
          <w:p>
            <w:pPr>
              <w:jc w:val="center"/>
              <w:ind w:right="31"/>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50"/>
        </w:trPr>
        <w:tc>
          <w:tcPr>
            <w:tcW w:w="340" w:type="dxa"/>
            <w:vAlign w:val="bottom"/>
            <w:tcBorders>
              <w:bottom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660" w:right="80"/>
        <w:spacing w:after="0" w:line="284" w:lineRule="auto"/>
        <w:rPr>
          <w:sz w:val="20"/>
          <w:szCs w:val="20"/>
          <w:color w:val="auto"/>
        </w:rPr>
      </w:pPr>
      <w:r>
        <w:rPr>
          <w:rFonts w:ascii="Arial" w:cs="Arial" w:eastAsia="Arial" w:hAnsi="Arial"/>
          <w:sz w:val="16"/>
          <w:szCs w:val="16"/>
          <w:color w:val="auto"/>
        </w:rPr>
        <w:t>A “Plurality,” with regard to the election of directors, means that the nine nominees who receive the most “For” votes cast by the holders of shares either present at the Annual Meeting or represented by proxy will be elected to our Board. A “Plurality,” with regard to the approval, on an advisory basis, of the frequency of future stockholder advisory votes on the compensation of our named executive officers, means that the alternative among “One Year,” “Two Years,” or “Three Years” that receives the highest number of votes cast by the holders of shares present at the Annual Meeting or represented by proxy will be deemed to be the frequency preferred by our stockholders. A “Majority Cast,” with regard to each of the other proposals means that, to be approved, a majority of the votes cast on the proposal must be voted “For” the proposal.</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Accordingly:</w:t>
      </w:r>
    </w:p>
    <w:p>
      <w:pPr>
        <w:spacing w:after="0" w:line="147" w:lineRule="exact"/>
        <w:rPr>
          <w:sz w:val="20"/>
          <w:szCs w:val="20"/>
          <w:color w:val="auto"/>
        </w:rPr>
      </w:pPr>
    </w:p>
    <w:p>
      <w:pPr>
        <w:ind w:left="820" w:right="80" w:hanging="166"/>
        <w:spacing w:after="0" w:line="295" w:lineRule="auto"/>
        <w:tabs>
          <w:tab w:leader="none" w:pos="820" w:val="left"/>
        </w:tabs>
        <w:numPr>
          <w:ilvl w:val="0"/>
          <w:numId w:val="13"/>
        </w:numPr>
        <w:rPr>
          <w:rFonts w:ascii="Arial" w:cs="Arial" w:eastAsia="Arial" w:hAnsi="Arial"/>
          <w:sz w:val="16"/>
          <w:szCs w:val="16"/>
          <w:color w:val="886B25"/>
        </w:rPr>
      </w:pPr>
      <w:r>
        <w:rPr>
          <w:rFonts w:ascii="Arial" w:cs="Arial" w:eastAsia="Arial" w:hAnsi="Arial"/>
          <w:sz w:val="16"/>
          <w:szCs w:val="16"/>
          <w:b w:val="1"/>
          <w:bCs w:val="1"/>
          <w:color w:val="886B25"/>
        </w:rPr>
        <w:t xml:space="preserve">Proposal No. 1: </w:t>
      </w:r>
      <w:r>
        <w:rPr>
          <w:rFonts w:ascii="Arial" w:cs="Arial" w:eastAsia="Arial" w:hAnsi="Arial"/>
          <w:sz w:val="16"/>
          <w:szCs w:val="16"/>
          <w:color w:val="000000"/>
        </w:rPr>
        <w:t>For the election of directors, the nines nominees receiving the most “For” votes from the holders of shares</w:t>
      </w:r>
      <w:r>
        <w:rPr>
          <w:rFonts w:ascii="Arial" w:cs="Arial" w:eastAsia="Arial" w:hAnsi="Arial"/>
          <w:sz w:val="16"/>
          <w:szCs w:val="16"/>
          <w:b w:val="1"/>
          <w:bCs w:val="1"/>
          <w:color w:val="886B25"/>
        </w:rPr>
        <w:t xml:space="preserve"> </w:t>
      </w:r>
      <w:r>
        <w:rPr>
          <w:rFonts w:ascii="Arial" w:cs="Arial" w:eastAsia="Arial" w:hAnsi="Arial"/>
          <w:sz w:val="16"/>
          <w:szCs w:val="16"/>
          <w:color w:val="000000"/>
        </w:rPr>
        <w:t>present at the Annual Meeting or represented by proxy and entitled to vote on Proposal No. 1 will be elected as directors to hold office until the 2023 annual meeting of stockholders. Only votes “For” or “Withheld” will affect the outcome. Broker non-votes will have no effect.</w:t>
      </w:r>
    </w:p>
    <w:p>
      <w:pPr>
        <w:spacing w:after="0" w:line="94" w:lineRule="exact"/>
        <w:rPr>
          <w:rFonts w:ascii="Arial" w:cs="Arial" w:eastAsia="Arial" w:hAnsi="Arial"/>
          <w:sz w:val="16"/>
          <w:szCs w:val="16"/>
          <w:color w:val="886B25"/>
        </w:rPr>
      </w:pPr>
    </w:p>
    <w:p>
      <w:pPr>
        <w:ind w:left="820" w:right="120" w:hanging="166"/>
        <w:spacing w:after="0" w:line="295" w:lineRule="auto"/>
        <w:tabs>
          <w:tab w:leader="none" w:pos="820" w:val="left"/>
        </w:tabs>
        <w:numPr>
          <w:ilvl w:val="0"/>
          <w:numId w:val="13"/>
        </w:numPr>
        <w:rPr>
          <w:rFonts w:ascii="Arial" w:cs="Arial" w:eastAsia="Arial" w:hAnsi="Arial"/>
          <w:sz w:val="16"/>
          <w:szCs w:val="16"/>
          <w:color w:val="886B25"/>
        </w:rPr>
      </w:pPr>
      <w:r>
        <w:rPr>
          <w:rFonts w:ascii="Arial" w:cs="Arial" w:eastAsia="Arial" w:hAnsi="Arial"/>
          <w:sz w:val="16"/>
          <w:szCs w:val="16"/>
          <w:b w:val="1"/>
          <w:bCs w:val="1"/>
          <w:color w:val="886B25"/>
        </w:rPr>
        <w:t xml:space="preserve">Proposal No. 2: </w:t>
      </w:r>
      <w:r>
        <w:rPr>
          <w:rFonts w:ascii="Arial" w:cs="Arial" w:eastAsia="Arial" w:hAnsi="Arial"/>
          <w:sz w:val="16"/>
          <w:szCs w:val="16"/>
          <w:color w:val="000000"/>
        </w:rPr>
        <w:t>To be approved, a majority of the total votes cast on Proposal No. 2 must be voted “For” the ratification of the</w:t>
      </w:r>
      <w:r>
        <w:rPr>
          <w:rFonts w:ascii="Arial" w:cs="Arial" w:eastAsia="Arial" w:hAnsi="Arial"/>
          <w:sz w:val="16"/>
          <w:szCs w:val="16"/>
          <w:b w:val="1"/>
          <w:bCs w:val="1"/>
          <w:color w:val="886B25"/>
        </w:rPr>
        <w:t xml:space="preserve"> </w:t>
      </w:r>
      <w:r>
        <w:rPr>
          <w:rFonts w:ascii="Arial" w:cs="Arial" w:eastAsia="Arial" w:hAnsi="Arial"/>
          <w:sz w:val="16"/>
          <w:szCs w:val="16"/>
          <w:color w:val="000000"/>
        </w:rPr>
        <w:t>selection of GT as our independent registered public accounting firm for the fiscal year ending December 31, 2022. Broker non-votes are not applicable with respect to Proposal No. 2 as brokers generally have discretion to vote uninstructed shares on this proposal. Abstentions will have no effect.</w:t>
      </w:r>
    </w:p>
    <w:p>
      <w:pPr>
        <w:spacing w:after="0" w:line="94" w:lineRule="exact"/>
        <w:rPr>
          <w:rFonts w:ascii="Arial" w:cs="Arial" w:eastAsia="Arial" w:hAnsi="Arial"/>
          <w:sz w:val="16"/>
          <w:szCs w:val="16"/>
          <w:color w:val="886B25"/>
        </w:rPr>
      </w:pPr>
    </w:p>
    <w:p>
      <w:pPr>
        <w:ind w:left="820" w:hanging="166"/>
        <w:spacing w:after="0" w:line="301" w:lineRule="auto"/>
        <w:tabs>
          <w:tab w:leader="none" w:pos="820" w:val="left"/>
        </w:tabs>
        <w:numPr>
          <w:ilvl w:val="0"/>
          <w:numId w:val="13"/>
        </w:numPr>
        <w:rPr>
          <w:rFonts w:ascii="Arial" w:cs="Arial" w:eastAsia="Arial" w:hAnsi="Arial"/>
          <w:sz w:val="16"/>
          <w:szCs w:val="16"/>
          <w:color w:val="886B25"/>
        </w:rPr>
      </w:pPr>
      <w:r>
        <w:rPr>
          <w:rFonts w:ascii="Arial" w:cs="Arial" w:eastAsia="Arial" w:hAnsi="Arial"/>
          <w:sz w:val="16"/>
          <w:szCs w:val="16"/>
          <w:b w:val="1"/>
          <w:bCs w:val="1"/>
          <w:color w:val="886B25"/>
        </w:rPr>
        <w:t xml:space="preserve">Proposal No. 3: </w:t>
      </w:r>
      <w:r>
        <w:rPr>
          <w:rFonts w:ascii="Arial" w:cs="Arial" w:eastAsia="Arial" w:hAnsi="Arial"/>
          <w:sz w:val="16"/>
          <w:szCs w:val="16"/>
          <w:color w:val="000000"/>
        </w:rPr>
        <w:t>To be approved, a majority of the total votes cast on Proposal No. 3 must be voted “For” the approval, on an</w:t>
      </w:r>
      <w:r>
        <w:rPr>
          <w:rFonts w:ascii="Arial" w:cs="Arial" w:eastAsia="Arial" w:hAnsi="Arial"/>
          <w:sz w:val="16"/>
          <w:szCs w:val="16"/>
          <w:b w:val="1"/>
          <w:bCs w:val="1"/>
          <w:color w:val="886B25"/>
        </w:rPr>
        <w:t xml:space="preserve"> </w:t>
      </w:r>
      <w:r>
        <w:rPr>
          <w:rFonts w:ascii="Arial" w:cs="Arial" w:eastAsia="Arial" w:hAnsi="Arial"/>
          <w:sz w:val="16"/>
          <w:szCs w:val="16"/>
          <w:color w:val="000000"/>
        </w:rPr>
        <w:t>advisory basis, of the compensation of our named executive officers. Only votes “For” or “Against” will affect the outcome. Broker non-votes and abstentions will have no effect.</w:t>
      </w:r>
    </w:p>
    <w:p>
      <w:pPr>
        <w:spacing w:after="0" w:line="90" w:lineRule="exact"/>
        <w:rPr>
          <w:rFonts w:ascii="Arial" w:cs="Arial" w:eastAsia="Arial" w:hAnsi="Arial"/>
          <w:sz w:val="16"/>
          <w:szCs w:val="16"/>
          <w:color w:val="886B25"/>
        </w:rPr>
      </w:pPr>
    </w:p>
    <w:p>
      <w:pPr>
        <w:ind w:left="820" w:hanging="166"/>
        <w:spacing w:after="0" w:line="321" w:lineRule="auto"/>
        <w:tabs>
          <w:tab w:leader="none" w:pos="820" w:val="left"/>
        </w:tabs>
        <w:numPr>
          <w:ilvl w:val="0"/>
          <w:numId w:val="13"/>
        </w:numPr>
        <w:rPr>
          <w:rFonts w:ascii="Arial" w:cs="Arial" w:eastAsia="Arial" w:hAnsi="Arial"/>
          <w:sz w:val="16"/>
          <w:szCs w:val="16"/>
          <w:color w:val="886B25"/>
        </w:rPr>
      </w:pPr>
      <w:r>
        <w:rPr>
          <w:rFonts w:ascii="Arial" w:cs="Arial" w:eastAsia="Arial" w:hAnsi="Arial"/>
          <w:sz w:val="16"/>
          <w:szCs w:val="16"/>
          <w:b w:val="1"/>
          <w:bCs w:val="1"/>
          <w:color w:val="886B25"/>
        </w:rPr>
        <w:t xml:space="preserve">Proposal No. 4: </w:t>
      </w:r>
      <w:r>
        <w:rPr>
          <w:rFonts w:ascii="Arial" w:cs="Arial" w:eastAsia="Arial" w:hAnsi="Arial"/>
          <w:sz w:val="16"/>
          <w:szCs w:val="16"/>
          <w:color w:val="000000"/>
        </w:rPr>
        <w:t>The alternative among “One Year,” “Two Years,” or “Three Years” that receives the highest number of votes cast</w:t>
      </w:r>
      <w:r>
        <w:rPr>
          <w:rFonts w:ascii="Arial" w:cs="Arial" w:eastAsia="Arial" w:hAnsi="Arial"/>
          <w:sz w:val="16"/>
          <w:szCs w:val="16"/>
          <w:b w:val="1"/>
          <w:bCs w:val="1"/>
          <w:color w:val="886B25"/>
        </w:rPr>
        <w:t xml:space="preserve"> </w:t>
      </w:r>
      <w:r>
        <w:rPr>
          <w:rFonts w:ascii="Arial" w:cs="Arial" w:eastAsia="Arial" w:hAnsi="Arial"/>
          <w:sz w:val="16"/>
          <w:szCs w:val="16"/>
          <w:color w:val="000000"/>
        </w:rPr>
        <w:t>will be deemed to be the frequency preferred by our stockholders. Broker non-votes and abstentions will have no effect.</w:t>
      </w:r>
    </w:p>
    <w:p>
      <w:pPr>
        <w:spacing w:after="0" w:line="74" w:lineRule="exact"/>
        <w:rPr>
          <w:rFonts w:ascii="Arial" w:cs="Arial" w:eastAsia="Arial" w:hAnsi="Arial"/>
          <w:sz w:val="16"/>
          <w:szCs w:val="16"/>
          <w:color w:val="886B25"/>
        </w:rPr>
      </w:pPr>
    </w:p>
    <w:p>
      <w:pPr>
        <w:ind w:left="820" w:hanging="166"/>
        <w:spacing w:after="0" w:line="301" w:lineRule="auto"/>
        <w:tabs>
          <w:tab w:leader="none" w:pos="820" w:val="left"/>
        </w:tabs>
        <w:numPr>
          <w:ilvl w:val="0"/>
          <w:numId w:val="13"/>
        </w:numPr>
        <w:rPr>
          <w:rFonts w:ascii="Arial" w:cs="Arial" w:eastAsia="Arial" w:hAnsi="Arial"/>
          <w:sz w:val="16"/>
          <w:szCs w:val="16"/>
          <w:color w:val="886B25"/>
        </w:rPr>
      </w:pPr>
      <w:r>
        <w:rPr>
          <w:rFonts w:ascii="Arial" w:cs="Arial" w:eastAsia="Arial" w:hAnsi="Arial"/>
          <w:sz w:val="16"/>
          <w:szCs w:val="16"/>
          <w:b w:val="1"/>
          <w:bCs w:val="1"/>
          <w:color w:val="886B25"/>
        </w:rPr>
        <w:t xml:space="preserve">Proposal No. 5: </w:t>
      </w:r>
      <w:r>
        <w:rPr>
          <w:rFonts w:ascii="Arial" w:cs="Arial" w:eastAsia="Arial" w:hAnsi="Arial"/>
          <w:sz w:val="16"/>
          <w:szCs w:val="16"/>
          <w:color w:val="000000"/>
        </w:rPr>
        <w:t>To be approved, a majority of the total votes cast on Proposal No. 5 must be voted “For” the approval of the</w:t>
      </w:r>
      <w:r>
        <w:rPr>
          <w:rFonts w:ascii="Arial" w:cs="Arial" w:eastAsia="Arial" w:hAnsi="Arial"/>
          <w:sz w:val="16"/>
          <w:szCs w:val="16"/>
          <w:b w:val="1"/>
          <w:bCs w:val="1"/>
          <w:color w:val="886B25"/>
        </w:rPr>
        <w:t xml:space="preserve"> </w:t>
      </w:r>
      <w:r>
        <w:rPr>
          <w:rFonts w:ascii="Arial" w:cs="Arial" w:eastAsia="Arial" w:hAnsi="Arial"/>
          <w:sz w:val="16"/>
          <w:szCs w:val="16"/>
          <w:color w:val="000000"/>
        </w:rPr>
        <w:t>amendment of the Lucid Group, Inc. 2021 Stock Incentive Plan. Only votes “For” or “Against” will affect the outcome. Broker non-votes and abstentions will have no effect.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 of the proposals, if approved, entitles stockholders to appraisal rights under Delaware law or our certificate of incorporation.</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What is the quorum requirement?</w:t>
      </w:r>
    </w:p>
    <w:p>
      <w:pPr>
        <w:spacing w:after="0" w:line="205" w:lineRule="exact"/>
        <w:rPr>
          <w:sz w:val="20"/>
          <w:szCs w:val="20"/>
          <w:color w:val="auto"/>
        </w:rPr>
      </w:pPr>
    </w:p>
    <w:p>
      <w:pPr>
        <w:ind w:left="660" w:right="360"/>
        <w:spacing w:after="0" w:line="286" w:lineRule="auto"/>
        <w:rPr>
          <w:sz w:val="20"/>
          <w:szCs w:val="20"/>
          <w:color w:val="auto"/>
        </w:rPr>
      </w:pPr>
      <w:r>
        <w:rPr>
          <w:rFonts w:ascii="Arial" w:cs="Arial" w:eastAsia="Arial" w:hAnsi="Arial"/>
          <w:sz w:val="16"/>
          <w:szCs w:val="16"/>
          <w:color w:val="auto"/>
        </w:rPr>
        <w:t>A quorum of stockholders is necessary to hold a valid stockholder meeting. A quorum will be present if stockholders holding at least a majority of the outstanding shares entitled to vote are present or represented by proxy at the Annual Meeting. On the Record Date, there were 1,667,235,197 shares outstanding and entitled to vote. Virtual attendance at our Annual Meeting constitutes “presence” for purposes of a quorum at the meeting.</w:t>
      </w:r>
    </w:p>
    <w:p>
      <w:pPr>
        <w:spacing w:after="0" w:line="203" w:lineRule="exact"/>
        <w:rPr>
          <w:sz w:val="20"/>
          <w:szCs w:val="20"/>
          <w:color w:val="auto"/>
        </w:rPr>
      </w:pPr>
    </w:p>
    <w:p>
      <w:pPr>
        <w:ind w:left="660" w:right="80"/>
        <w:spacing w:after="0" w:line="295" w:lineRule="auto"/>
        <w:rPr>
          <w:sz w:val="20"/>
          <w:szCs w:val="20"/>
          <w:color w:val="auto"/>
        </w:rPr>
      </w:pPr>
      <w:r>
        <w:rPr>
          <w:rFonts w:ascii="Arial" w:cs="Arial" w:eastAsia="Arial" w:hAnsi="Arial"/>
          <w:sz w:val="16"/>
          <w:szCs w:val="16"/>
          <w:color w:val="auto"/>
        </w:rPr>
        <w:t>Your shares will be counted towards the quorum only if you submit a valid proxy by mail, over the phone or through the internet (or one is submitted on your behalf by your broker, bank or other nominee) or if you vote at the Annual Meeting. Abstentions, votes</w:t>
      </w:r>
    </w:p>
    <w:p>
      <w:pPr>
        <w:sectPr>
          <w:pgSz w:w="11900" w:h="16838" w:orient="portrait"/>
          <w:cols w:equalWidth="0" w:num="1">
            <w:col w:w="10040"/>
          </w:cols>
          <w:pgMar w:left="580" w:top="132" w:right="1279" w:bottom="1440" w:gutter="0" w:footer="0" w:header="0"/>
        </w:sectPr>
      </w:pPr>
    </w:p>
    <w:p>
      <w:pPr>
        <w:spacing w:after="0" w:line="361" w:lineRule="exact"/>
        <w:rPr>
          <w:sz w:val="20"/>
          <w:szCs w:val="20"/>
          <w:color w:val="auto"/>
        </w:rPr>
      </w:pPr>
    </w:p>
    <w:p>
      <w:pPr>
        <w:ind w:left="660"/>
        <w:spacing w:after="0"/>
        <w:tabs>
          <w:tab w:leader="none" w:pos="9960" w:val="left"/>
        </w:tabs>
        <w:rPr>
          <w:sz w:val="20"/>
          <w:szCs w:val="20"/>
          <w:color w:val="auto"/>
        </w:rPr>
      </w:pPr>
      <w:r>
        <w:rPr>
          <w:rFonts w:ascii="Arial" w:cs="Arial" w:eastAsia="Arial" w:hAnsi="Arial"/>
          <w:sz w:val="13"/>
          <w:szCs w:val="13"/>
          <w:color w:val="auto"/>
        </w:rPr>
        <w:t>2022 Proxy Statement</w:t>
      </w:r>
      <w:r>
        <w:rPr>
          <w:sz w:val="20"/>
          <w:szCs w:val="20"/>
          <w:color w:val="auto"/>
        </w:rPr>
        <w:tab/>
      </w:r>
      <w:r>
        <w:rPr>
          <w:rFonts w:ascii="Arial" w:cs="Arial" w:eastAsia="Arial" w:hAnsi="Arial"/>
          <w:sz w:val="10"/>
          <w:szCs w:val="10"/>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60" w:right="80"/>
        <w:spacing w:after="0" w:line="284" w:lineRule="auto"/>
        <w:rPr>
          <w:sz w:val="20"/>
          <w:szCs w:val="20"/>
          <w:color w:val="auto"/>
        </w:rPr>
      </w:pPr>
      <w:r>
        <w:rPr>
          <w:rFonts w:ascii="Arial" w:cs="Arial" w:eastAsia="Arial" w:hAnsi="Arial"/>
          <w:sz w:val="16"/>
          <w:szCs w:val="16"/>
          <w:color w:val="auto"/>
        </w:rPr>
        <w:t>to “Withhold” and broker non-votes will be counted towards the quorum requirement. If there is no quorum, then either the chair of the Annual Meeting or the holders of a majority of shares present at the Annual Meeting or represented by proxy may adjourn the meeting to another date. At any adjourned Annual Meeting at which a quorum is present, any business may be transacted that might have been transacted at the Annual Meeting as originally notified. If the adjournment is for more than 30 days, or if after that adjournment a new record date is fixed for the adjourned Annual Meeting, a notice of the adjourned Annual Meeting shall be given to each stockholder of record entitled to vote at the adjourned Annual Meeting.</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How can I find out the results of the voting at the Annual Meeting?</w:t>
      </w:r>
    </w:p>
    <w:p>
      <w:pPr>
        <w:spacing w:after="0" w:line="205" w:lineRule="exact"/>
        <w:rPr>
          <w:sz w:val="20"/>
          <w:szCs w:val="20"/>
          <w:color w:val="auto"/>
        </w:rPr>
      </w:pPr>
    </w:p>
    <w:p>
      <w:pPr>
        <w:ind w:left="660"/>
        <w:spacing w:after="0" w:line="285" w:lineRule="auto"/>
        <w:rPr>
          <w:sz w:val="20"/>
          <w:szCs w:val="20"/>
          <w:color w:val="auto"/>
        </w:rPr>
      </w:pPr>
      <w:r>
        <w:rPr>
          <w:rFonts w:ascii="Arial" w:cs="Arial" w:eastAsia="Arial" w:hAnsi="Arial"/>
          <w:sz w:val="16"/>
          <w:szCs w:val="16"/>
          <w:color w:val="auto"/>
        </w:rPr>
        <w:t>Preliminary voting results will be announced at the Annual Meeting. In addition, final voting results will be published in a Current Report on Form 8-K that we expect to file with the SEC within four business days after the Annual Meeting. If final voting results are not available to us in time to file a Form 8-K with the SEC within four business days after the Annual Meeting, we intend to file a Form 8-K to publish the preliminary results within four business days after the Annual Meeting and file an additional Form 8-K to publish the final results within four business days after the final results are known to us.</w:t>
      </w:r>
    </w:p>
    <w:p>
      <w:pPr>
        <w:spacing w:after="0" w:line="184" w:lineRule="exact"/>
        <w:rPr>
          <w:sz w:val="20"/>
          <w:szCs w:val="20"/>
          <w:color w:val="auto"/>
        </w:rPr>
      </w:pPr>
    </w:p>
    <w:p>
      <w:pPr>
        <w:ind w:left="660" w:right="880"/>
        <w:spacing w:after="0" w:line="321" w:lineRule="auto"/>
        <w:rPr>
          <w:sz w:val="20"/>
          <w:szCs w:val="20"/>
          <w:color w:val="auto"/>
        </w:rPr>
      </w:pPr>
      <w:r>
        <w:rPr>
          <w:rFonts w:ascii="Arial" w:cs="Arial" w:eastAsia="Arial" w:hAnsi="Arial"/>
          <w:sz w:val="16"/>
          <w:szCs w:val="16"/>
          <w:b w:val="1"/>
          <w:bCs w:val="1"/>
          <w:color w:val="auto"/>
        </w:rPr>
        <w:t>If you have any questions or need assistance in voting your shares, please write to Lucid Investor Relations at investor@lucidmotors.com.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Arial" w:cs="Arial" w:eastAsia="Arial" w:hAnsi="Arial"/>
          <w:sz w:val="35"/>
          <w:szCs w:val="35"/>
          <w:b w:val="1"/>
          <w:bCs w:val="1"/>
          <w:color w:val="auto"/>
        </w:rPr>
        <w:t>Interest of Certain Persons in Matters to Be Acted Upon</w:t>
      </w:r>
    </w:p>
    <w:p>
      <w:pPr>
        <w:spacing w:after="0" w:line="200" w:lineRule="exact"/>
        <w:rPr>
          <w:sz w:val="20"/>
          <w:szCs w:val="20"/>
          <w:color w:val="auto"/>
        </w:rPr>
      </w:pPr>
    </w:p>
    <w:p>
      <w:pPr>
        <w:spacing w:after="0" w:line="221" w:lineRule="exact"/>
        <w:rPr>
          <w:sz w:val="20"/>
          <w:szCs w:val="20"/>
          <w:color w:val="auto"/>
        </w:rPr>
      </w:pPr>
    </w:p>
    <w:p>
      <w:pPr>
        <w:ind w:left="660" w:right="20"/>
        <w:spacing w:after="0" w:line="285" w:lineRule="auto"/>
        <w:rPr>
          <w:sz w:val="20"/>
          <w:szCs w:val="20"/>
          <w:color w:val="auto"/>
        </w:rPr>
      </w:pPr>
      <w:r>
        <w:rPr>
          <w:rFonts w:ascii="Arial" w:cs="Arial" w:eastAsia="Arial" w:hAnsi="Arial"/>
          <w:sz w:val="16"/>
          <w:szCs w:val="16"/>
          <w:color w:val="auto"/>
        </w:rPr>
        <w:t>Employees and non-employee directors will be eligible to receive awards under the Amended and Restated Lucid Group, Inc. 2021 Stock Incentive Plan. Accordingly, members of our Board (including as director nominees) and our executive officers have a substantial interest in the approval of the amendment of the Lucid Group, Inc. 2021 Stock Incentive Plan. The tables below under “Outstanding Equity Awards at Fiscal Year-End” provide information concerning all outstanding awards made to a named executive officer as of December 31, 2021, including, but not limited to, awards made under the Lucid Group, Inc. 2021 Stock Incentive Plan.</w:t>
      </w:r>
    </w:p>
    <w:p>
      <w:pPr>
        <w:spacing w:after="0" w:line="204" w:lineRule="exact"/>
        <w:rPr>
          <w:sz w:val="20"/>
          <w:szCs w:val="20"/>
          <w:color w:val="auto"/>
        </w:rPr>
      </w:pPr>
    </w:p>
    <w:p>
      <w:pPr>
        <w:ind w:left="660" w:right="240"/>
        <w:spacing w:after="0" w:line="295" w:lineRule="auto"/>
        <w:rPr>
          <w:sz w:val="20"/>
          <w:szCs w:val="20"/>
          <w:color w:val="auto"/>
        </w:rPr>
      </w:pPr>
      <w:r>
        <w:rPr>
          <w:rFonts w:ascii="Arial" w:cs="Arial" w:eastAsia="Arial" w:hAnsi="Arial"/>
          <w:sz w:val="16"/>
          <w:szCs w:val="16"/>
          <w:color w:val="auto"/>
        </w:rPr>
        <w:t>Other than disclosed above, none of our director, nominee for election as director, or executive officer has any special interest in any matter to be voted upon other than election to the Board of Directors.</w:t>
      </w:r>
    </w:p>
    <w:p>
      <w:pPr>
        <w:sectPr>
          <w:pgSz w:w="11900" w:h="16838" w:orient="portrait"/>
          <w:cols w:equalWidth="0" w:num="1">
            <w:col w:w="10040"/>
          </w:cols>
          <w:pgMar w:left="580" w:top="132"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2"/>
          <w:szCs w:val="12"/>
          <w:b w:val="1"/>
          <w:bCs w:val="1"/>
          <w:color w:val="auto"/>
        </w:rPr>
        <w:t>8</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110490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-96520</wp:posOffset>
            </wp:positionV>
            <wp:extent cx="6489065" cy="254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8906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60"/>
        <w:spacing w:after="0"/>
        <w:rPr>
          <w:sz w:val="20"/>
          <w:szCs w:val="20"/>
          <w:color w:val="auto"/>
        </w:rPr>
      </w:pPr>
      <w:r>
        <w:rPr>
          <w:rFonts w:ascii="Arial" w:cs="Arial" w:eastAsia="Arial" w:hAnsi="Arial"/>
          <w:sz w:val="27"/>
          <w:szCs w:val="27"/>
          <w:b w:val="1"/>
          <w:bCs w:val="1"/>
          <w:color w:val="auto"/>
        </w:rPr>
        <w:t>Proposal No. 1</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36"/>
          <w:szCs w:val="36"/>
          <w:b w:val="1"/>
          <w:bCs w:val="1"/>
          <w:color w:val="auto"/>
        </w:rPr>
        <w:t>Election of Directors</w:t>
      </w:r>
    </w:p>
    <w:p>
      <w:pPr>
        <w:spacing w:after="0" w:line="354" w:lineRule="exact"/>
        <w:rPr>
          <w:sz w:val="20"/>
          <w:szCs w:val="20"/>
          <w:color w:val="auto"/>
        </w:rPr>
      </w:pPr>
    </w:p>
    <w:p>
      <w:pPr>
        <w:ind w:left="660" w:right="280"/>
        <w:spacing w:after="0" w:line="268" w:lineRule="auto"/>
        <w:rPr>
          <w:sz w:val="20"/>
          <w:szCs w:val="20"/>
          <w:color w:val="auto"/>
        </w:rPr>
      </w:pPr>
      <w:r>
        <w:rPr>
          <w:rFonts w:ascii="Arial" w:cs="Arial" w:eastAsia="Arial" w:hAnsi="Arial"/>
          <w:sz w:val="16"/>
          <w:szCs w:val="16"/>
          <w:color w:val="auto"/>
        </w:rPr>
        <w:t>Our Board of Directors is currently comprised of nine members. All directors are elected by the stockholders at each annual meeting to serve from the time of their election until the date of the annual meeting of stockholders next following the annual meeting at which such director was elected. The current Board of Directors is comprised of Turqi Alnowaiser, Glenn R. August, Nancy Gioia, Frank Lindenberg, Andrew Liveris, Nichelle Maynard-Elliott, Tony Posawatz, Peter Rawlinson and Janet S. Wong.</w:t>
      </w:r>
    </w:p>
    <w:p>
      <w:pPr>
        <w:spacing w:after="0" w:line="204" w:lineRule="exact"/>
        <w:rPr>
          <w:sz w:val="20"/>
          <w:szCs w:val="20"/>
          <w:color w:val="auto"/>
        </w:rPr>
      </w:pPr>
    </w:p>
    <w:p>
      <w:pPr>
        <w:ind w:left="660"/>
        <w:spacing w:after="0" w:line="264" w:lineRule="auto"/>
        <w:rPr>
          <w:sz w:val="20"/>
          <w:szCs w:val="20"/>
          <w:color w:val="auto"/>
        </w:rPr>
      </w:pPr>
      <w:r>
        <w:rPr>
          <w:rFonts w:ascii="Arial" w:cs="Arial" w:eastAsia="Arial" w:hAnsi="Arial"/>
          <w:sz w:val="16"/>
          <w:szCs w:val="16"/>
          <w:color w:val="auto"/>
        </w:rPr>
        <w:t>The Nominating and Corporate Governance Committee of the Board has recommended, and the Board has approved, the nomination of our directors, Turqi Alnowaiser, Glenn R. August, Nancy Gioia, Frank Lindenberg, Andrew Liveris, Nichelle Maynard-Elliott, Tony Posawatz, Peter Rawlinson and Janet S. Wong, for a one-year term expiring at the 2023 Annual Meeting and until their respective successors are duly elected and qualified, or, if sooner, until the director’s death, resignation or removal. Each of Mr. Alnowaiser, Mr. August, Ms. Gioia, Mr. Lindenberg, Mr. Liveris, Ms. Maynard-Elliott, Mr. Posawatz, Mr. Rawlinson and</w:t>
      </w:r>
    </w:p>
    <w:p>
      <w:pPr>
        <w:spacing w:after="0" w:line="1" w:lineRule="exact"/>
        <w:rPr>
          <w:sz w:val="20"/>
          <w:szCs w:val="20"/>
          <w:color w:val="auto"/>
        </w:rPr>
      </w:pPr>
    </w:p>
    <w:p>
      <w:pPr>
        <w:ind w:left="660"/>
        <w:spacing w:after="0" w:line="271" w:lineRule="auto"/>
        <w:rPr>
          <w:sz w:val="20"/>
          <w:szCs w:val="20"/>
          <w:color w:val="auto"/>
        </w:rPr>
      </w:pPr>
      <w:r>
        <w:rPr>
          <w:rFonts w:ascii="Arial" w:cs="Arial" w:eastAsia="Arial" w:hAnsi="Arial"/>
          <w:sz w:val="16"/>
          <w:szCs w:val="16"/>
          <w:color w:val="auto"/>
        </w:rPr>
        <w:t>Ms. Wong is currently a director of the Company. Directors are elected by a plurality of the votes of the holders of shares present or represented by proxy and entitled to vote on the election of directors. The nine nominees receiving the highest number of “For” votes will be elected.</w:t>
      </w:r>
    </w:p>
    <w:p>
      <w:pPr>
        <w:spacing w:after="0" w:line="200" w:lineRule="exact"/>
        <w:rPr>
          <w:sz w:val="20"/>
          <w:szCs w:val="20"/>
          <w:color w:val="auto"/>
        </w:rPr>
      </w:pPr>
    </w:p>
    <w:p>
      <w:pPr>
        <w:ind w:left="660" w:right="180"/>
        <w:spacing w:after="0" w:line="268" w:lineRule="auto"/>
        <w:rPr>
          <w:sz w:val="20"/>
          <w:szCs w:val="20"/>
          <w:color w:val="auto"/>
        </w:rPr>
      </w:pPr>
      <w:r>
        <w:rPr>
          <w:rFonts w:ascii="Arial" w:cs="Arial" w:eastAsia="Arial" w:hAnsi="Arial"/>
          <w:sz w:val="16"/>
          <w:szCs w:val="16"/>
          <w:color w:val="auto"/>
        </w:rPr>
        <w:t>Proxies cannot be voted for a greater number of persons than the number of nominees named in this Proxy Statement. If any nominee should become unavailable to serve for any reason, it is intended that votes will be cast for a substitute nominee designated by the Nominating and Corporate Governance Committee and approved by the Board. We have no reason to believe that any nominee named will be unable to serve if elected.</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Certain Stockholder Rights to Nominate Directors</w:t>
      </w:r>
    </w:p>
    <w:p>
      <w:pPr>
        <w:spacing w:after="0" w:line="192" w:lineRule="exact"/>
        <w:rPr>
          <w:sz w:val="20"/>
          <w:szCs w:val="20"/>
          <w:color w:val="auto"/>
        </w:rPr>
      </w:pPr>
    </w:p>
    <w:p>
      <w:pPr>
        <w:ind w:left="660" w:right="260"/>
        <w:spacing w:after="0" w:line="278" w:lineRule="auto"/>
        <w:rPr>
          <w:sz w:val="20"/>
          <w:szCs w:val="20"/>
          <w:color w:val="auto"/>
        </w:rPr>
      </w:pPr>
      <w:r>
        <w:rPr>
          <w:rFonts w:ascii="Arial" w:cs="Arial" w:eastAsia="Arial" w:hAnsi="Arial"/>
          <w:sz w:val="16"/>
          <w:szCs w:val="16"/>
          <w:color w:val="auto"/>
        </w:rPr>
        <w:t>Pursuant to the Investor Rights Agreement, dated as of February 22, 2021, by and among the Company, Ayar and certain other parties (the “Investor Rights Agreement”), Ayar has the right to nominate five directors to our Board of Directors.</w:t>
      </w:r>
    </w:p>
    <w:p>
      <w:pPr>
        <w:spacing w:after="0" w:line="195" w:lineRule="exact"/>
        <w:rPr>
          <w:sz w:val="20"/>
          <w:szCs w:val="20"/>
          <w:color w:val="auto"/>
        </w:rPr>
      </w:pPr>
    </w:p>
    <w:p>
      <w:pPr>
        <w:ind w:left="660" w:right="40"/>
        <w:spacing w:after="0" w:line="264" w:lineRule="auto"/>
        <w:rPr>
          <w:sz w:val="20"/>
          <w:szCs w:val="20"/>
          <w:color w:val="auto"/>
        </w:rPr>
      </w:pPr>
      <w:r>
        <w:rPr>
          <w:rFonts w:ascii="Arial" w:cs="Arial" w:eastAsia="Arial" w:hAnsi="Arial"/>
          <w:sz w:val="16"/>
          <w:szCs w:val="16"/>
          <w:color w:val="auto"/>
        </w:rPr>
        <w:t>Ayar’s right to nominate directors to our Board of Directors is subject to its (and its permitted transferees’) continued beneficial ownership of specified amounts of our Common Stock as compared to the Common Stock issued and outstanding as of the record date of each applicable annual or special meeting of stockholders at which directors are to be elected. If Ayar (or its permitted transferees) owns beneficially: (i) 50% or greater of the shares of our Common Stock issued and outstanding as of the record date of such annual or special meeting of stockholders, it has the right to nominate five directors; (ii) less than 50% but greater than or equal to 40% of the shares of our Common Stock issued and outstanding as of the record date of such annual or special meeting of stockholders, it has the right to nominate four directors; (iii) less than 40% but greater than or equal to 30% of the shares of our Common Stock issued and outstanding as of the record date of such annual or special meeting of stockholders, it has the right to nominate three directors; (iv) less than 30% but greater than or equal to 20% of the shares of our Common Stock issued and outstanding as of the record date of such annual or special meeting of stockholders, it has the right to nominate two directors;</w:t>
      </w:r>
    </w:p>
    <w:p>
      <w:pPr>
        <w:spacing w:after="0" w:line="1" w:lineRule="exact"/>
        <w:rPr>
          <w:sz w:val="20"/>
          <w:szCs w:val="20"/>
          <w:color w:val="auto"/>
        </w:rPr>
      </w:pPr>
    </w:p>
    <w:p>
      <w:pPr>
        <w:ind w:left="660" w:right="300" w:hanging="6"/>
        <w:spacing w:after="0" w:line="278" w:lineRule="auto"/>
        <w:tabs>
          <w:tab w:leader="none" w:pos="894" w:val="left"/>
        </w:tabs>
        <w:numPr>
          <w:ilvl w:val="0"/>
          <w:numId w:val="14"/>
        </w:numPr>
        <w:rPr>
          <w:rFonts w:ascii="Arial" w:cs="Arial" w:eastAsia="Arial" w:hAnsi="Arial"/>
          <w:sz w:val="16"/>
          <w:szCs w:val="16"/>
          <w:color w:val="auto"/>
        </w:rPr>
      </w:pPr>
      <w:r>
        <w:rPr>
          <w:rFonts w:ascii="Arial" w:cs="Arial" w:eastAsia="Arial" w:hAnsi="Arial"/>
          <w:sz w:val="16"/>
          <w:szCs w:val="16"/>
          <w:color w:val="auto"/>
        </w:rPr>
        <w:t>less than 20% but greater than or equal to 10% of the shares of our Common Stock issued and outstanding as of the record date</w:t>
      </w:r>
    </w:p>
    <w:p>
      <w:pPr>
        <w:sectPr>
          <w:pgSz w:w="11900" w:h="16838" w:orient="portrait"/>
          <w:cols w:equalWidth="0" w:num="1">
            <w:col w:w="10040"/>
          </w:cols>
          <w:pgMar w:left="580" w:top="132" w:right="1279" w:bottom="1440" w:gutter="0" w:footer="0" w:header="0"/>
        </w:sectPr>
      </w:pPr>
    </w:p>
    <w:p>
      <w:pPr>
        <w:spacing w:after="0" w:line="373" w:lineRule="exact"/>
        <w:rPr>
          <w:sz w:val="20"/>
          <w:szCs w:val="20"/>
          <w:color w:val="auto"/>
        </w:rPr>
      </w:pPr>
    </w:p>
    <w:p>
      <w:pPr>
        <w:ind w:left="660"/>
        <w:spacing w:after="0"/>
        <w:tabs>
          <w:tab w:leader="none" w:pos="9960" w:val="left"/>
        </w:tabs>
        <w:rPr>
          <w:sz w:val="20"/>
          <w:szCs w:val="20"/>
          <w:color w:val="auto"/>
        </w:rPr>
      </w:pPr>
      <w:r>
        <w:rPr>
          <w:rFonts w:ascii="Arial" w:cs="Arial" w:eastAsia="Arial" w:hAnsi="Arial"/>
          <w:sz w:val="13"/>
          <w:szCs w:val="13"/>
          <w:color w:val="auto"/>
        </w:rPr>
        <w:t>2022 Proxy Statement</w:t>
      </w:r>
      <w:r>
        <w:rPr>
          <w:sz w:val="20"/>
          <w:szCs w:val="20"/>
          <w:color w:val="auto"/>
        </w:rPr>
        <w:tab/>
      </w:r>
      <w:r>
        <w:rPr>
          <w:rFonts w:ascii="Arial" w:cs="Arial" w:eastAsia="Arial" w:hAnsi="Arial"/>
          <w:sz w:val="10"/>
          <w:szCs w:val="10"/>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60" w:right="60"/>
        <w:spacing w:after="0" w:line="285" w:lineRule="auto"/>
        <w:rPr>
          <w:sz w:val="20"/>
          <w:szCs w:val="20"/>
          <w:color w:val="auto"/>
        </w:rPr>
      </w:pPr>
      <w:r>
        <w:rPr>
          <w:rFonts w:ascii="Arial" w:cs="Arial" w:eastAsia="Arial" w:hAnsi="Arial"/>
          <w:sz w:val="16"/>
          <w:szCs w:val="16"/>
          <w:color w:val="auto"/>
        </w:rPr>
        <w:t>of such annual or special meeting of stockholders, it has the right to nominate one director; (vi) less than 10% of the shares of our Common Stock issued and outstanding as of the record date of such annual or special meeting of stockholders, it will not have the right to nominate any directors pursuant to the Investor Rights Agreement. If the size of our Board is increased or decreased, the number of directors Ayar is entitled to nominate will be increased or decreased in proportion to such increase or decrease in the size of our Board, rounded down to the nearest whole number.</w:t>
      </w:r>
    </w:p>
    <w:p>
      <w:pPr>
        <w:spacing w:after="0" w:line="204" w:lineRule="exact"/>
        <w:rPr>
          <w:sz w:val="20"/>
          <w:szCs w:val="20"/>
          <w:color w:val="auto"/>
        </w:rPr>
      </w:pPr>
    </w:p>
    <w:p>
      <w:pPr>
        <w:ind w:left="660" w:right="60"/>
        <w:spacing w:after="0" w:line="270" w:lineRule="auto"/>
        <w:rPr>
          <w:sz w:val="20"/>
          <w:szCs w:val="20"/>
          <w:color w:val="auto"/>
        </w:rPr>
      </w:pPr>
      <w:r>
        <w:rPr>
          <w:rFonts w:ascii="Arial" w:cs="Arial" w:eastAsia="Arial" w:hAnsi="Arial"/>
          <w:sz w:val="16"/>
          <w:szCs w:val="16"/>
          <w:color w:val="auto"/>
        </w:rPr>
        <w:t xml:space="preserve">Further, for so long as Ayar beneficially owns twenty percent (20%) or greater of the shares of our Common Stock issued and outstanding, it has the right to designate the chairman of our Board. In addition, for so long as Ayar beneficially owns shares of our Common Stock representing at least one-third (33 </w:t>
      </w:r>
      <w:r>
        <w:rPr>
          <w:rFonts w:ascii="Arial" w:cs="Arial" w:eastAsia="Arial" w:hAnsi="Arial"/>
          <w:sz w:val="22"/>
          <w:szCs w:val="22"/>
          <w:color w:val="auto"/>
          <w:vertAlign w:val="superscript"/>
        </w:rPr>
        <w:t>1</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of the Common Stock then issued and outstanding, Ayar has the right to have at least one Ayar director appointed to serve on each committee of the board. For additional information, please see section entitled “Certain Relationships and Related Party Transactions.” In accordance with the Investor Rights Agreement, Turqi Alnowaiser, Frank Lindenberg, Andrew Liveris, Nichelle Maynard-Elliott and Tony Posawatz were designated for nomination by Ayar to the Board of Directors and nominated by the Nominating and Corporate Governance Committee and the Board.</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Nominees for Director</w:t>
      </w:r>
    </w:p>
    <w:p>
      <w:pPr>
        <w:spacing w:after="0" w:line="205" w:lineRule="exact"/>
        <w:rPr>
          <w:sz w:val="20"/>
          <w:szCs w:val="20"/>
          <w:color w:val="auto"/>
        </w:rPr>
      </w:pPr>
    </w:p>
    <w:p>
      <w:pPr>
        <w:ind w:left="660" w:right="100"/>
        <w:spacing w:after="0" w:line="295" w:lineRule="auto"/>
        <w:rPr>
          <w:sz w:val="20"/>
          <w:szCs w:val="20"/>
          <w:color w:val="auto"/>
        </w:rPr>
      </w:pPr>
      <w:r>
        <w:rPr>
          <w:rFonts w:ascii="Arial" w:cs="Arial" w:eastAsia="Arial" w:hAnsi="Arial"/>
          <w:sz w:val="16"/>
          <w:szCs w:val="16"/>
          <w:color w:val="auto"/>
        </w:rPr>
        <w:t>The names and ages of the nominees, length of service with the Company and Board committee memberships are set forth in the table below.</w:t>
      </w:r>
    </w:p>
    <w:p>
      <w:pPr>
        <w:spacing w:after="0" w:line="234" w:lineRule="exact"/>
        <w:rPr>
          <w:sz w:val="20"/>
          <w:szCs w:val="20"/>
          <w:color w:val="auto"/>
        </w:rPr>
      </w:pPr>
    </w:p>
    <w:tbl>
      <w:tblPr>
        <w:tblLayout w:type="fixed"/>
        <w:tblInd w:w="660" w:type="dxa"/>
        <w:tblCellMar>
          <w:top w:w="0" w:type="dxa"/>
          <w:left w:w="0" w:type="dxa"/>
          <w:bottom w:w="0" w:type="dxa"/>
          <w:right w:w="0" w:type="dxa"/>
        </w:tblCellMar>
      </w:tblPr>
      <w:tr>
        <w:trPr>
          <w:trHeight w:val="248"/>
        </w:trPr>
        <w:tc>
          <w:tcPr>
            <w:tcW w:w="2220" w:type="dxa"/>
            <w:vAlign w:val="bottom"/>
            <w:shd w:val="clear" w:color="auto" w:fill="000000"/>
          </w:tcPr>
          <w:p>
            <w:pPr>
              <w:ind w:left="120"/>
              <w:spacing w:after="0"/>
              <w:rPr>
                <w:sz w:val="20"/>
                <w:szCs w:val="20"/>
                <w:color w:val="auto"/>
              </w:rPr>
            </w:pPr>
            <w:r>
              <w:rPr>
                <w:rFonts w:ascii="Arial" w:cs="Arial" w:eastAsia="Arial" w:hAnsi="Arial"/>
                <w:sz w:val="13"/>
                <w:szCs w:val="13"/>
                <w:b w:val="1"/>
                <w:bCs w:val="1"/>
                <w:color w:val="FEFEFE"/>
              </w:rPr>
              <w:t>Name</w:t>
            </w:r>
          </w:p>
        </w:tc>
        <w:tc>
          <w:tcPr>
            <w:tcW w:w="920" w:type="dxa"/>
            <w:vAlign w:val="bottom"/>
            <w:shd w:val="clear" w:color="auto" w:fill="000000"/>
          </w:tcPr>
          <w:p>
            <w:pPr>
              <w:jc w:val="center"/>
              <w:ind w:left="389"/>
              <w:spacing w:after="0"/>
              <w:rPr>
                <w:sz w:val="20"/>
                <w:szCs w:val="20"/>
                <w:color w:val="auto"/>
              </w:rPr>
            </w:pPr>
            <w:r>
              <w:rPr>
                <w:rFonts w:ascii="Arial" w:cs="Arial" w:eastAsia="Arial" w:hAnsi="Arial"/>
                <w:sz w:val="13"/>
                <w:szCs w:val="13"/>
                <w:b w:val="1"/>
                <w:bCs w:val="1"/>
                <w:color w:val="FEFEFE"/>
                <w:w w:val="89"/>
              </w:rPr>
              <w:t>Age</w:t>
            </w:r>
          </w:p>
        </w:tc>
        <w:tc>
          <w:tcPr>
            <w:tcW w:w="70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rPr>
              <w:t>Director</w:t>
            </w:r>
          </w:p>
        </w:tc>
        <w:tc>
          <w:tcPr>
            <w:tcW w:w="1640" w:type="dxa"/>
            <w:vAlign w:val="bottom"/>
            <w:shd w:val="clear" w:color="auto" w:fill="000000"/>
          </w:tcPr>
          <w:p>
            <w:pPr>
              <w:ind w:left="120"/>
              <w:spacing w:after="0"/>
              <w:rPr>
                <w:sz w:val="20"/>
                <w:szCs w:val="20"/>
                <w:color w:val="auto"/>
              </w:rPr>
            </w:pPr>
            <w:r>
              <w:rPr>
                <w:rFonts w:ascii="Arial" w:cs="Arial" w:eastAsia="Arial" w:hAnsi="Arial"/>
                <w:sz w:val="13"/>
                <w:szCs w:val="13"/>
                <w:b w:val="1"/>
                <w:bCs w:val="1"/>
                <w:color w:val="FEFEFE"/>
              </w:rPr>
              <w:t>Current   Independent</w:t>
            </w:r>
          </w:p>
        </w:tc>
        <w:tc>
          <w:tcPr>
            <w:tcW w:w="88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w w:val="96"/>
              </w:rPr>
              <w:t>Audit</w:t>
            </w:r>
          </w:p>
        </w:tc>
        <w:tc>
          <w:tcPr>
            <w:tcW w:w="110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w w:val="97"/>
              </w:rPr>
              <w:t>Compensation</w:t>
            </w:r>
          </w:p>
        </w:tc>
        <w:tc>
          <w:tcPr>
            <w:tcW w:w="94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w w:val="97"/>
              </w:rPr>
              <w:t>Nominating</w:t>
            </w:r>
          </w:p>
        </w:tc>
        <w:tc>
          <w:tcPr>
            <w:tcW w:w="980" w:type="dxa"/>
            <w:vAlign w:val="bottom"/>
            <w:shd w:val="clear" w:color="auto" w:fill="000000"/>
          </w:tcPr>
          <w:p>
            <w:pPr>
              <w:jc w:val="center"/>
              <w:ind w:right="34"/>
              <w:spacing w:after="0"/>
              <w:rPr>
                <w:sz w:val="20"/>
                <w:szCs w:val="20"/>
                <w:color w:val="auto"/>
              </w:rPr>
            </w:pPr>
            <w:r>
              <w:rPr>
                <w:rFonts w:ascii="Arial" w:cs="Arial" w:eastAsia="Arial" w:hAnsi="Arial"/>
                <w:sz w:val="13"/>
                <w:szCs w:val="13"/>
                <w:b w:val="1"/>
                <w:bCs w:val="1"/>
                <w:color w:val="FEFEFE"/>
                <w:w w:val="98"/>
              </w:rPr>
              <w:t>Executive</w:t>
            </w:r>
          </w:p>
        </w:tc>
      </w:tr>
      <w:tr>
        <w:trPr>
          <w:trHeight w:val="135"/>
        </w:trPr>
        <w:tc>
          <w:tcPr>
            <w:tcW w:w="2220" w:type="dxa"/>
            <w:vAlign w:val="bottom"/>
            <w:shd w:val="clear" w:color="auto" w:fill="000000"/>
          </w:tcPr>
          <w:p>
            <w:pPr>
              <w:spacing w:after="0"/>
              <w:rPr>
                <w:sz w:val="11"/>
                <w:szCs w:val="11"/>
                <w:color w:val="auto"/>
              </w:rPr>
            </w:pPr>
          </w:p>
        </w:tc>
        <w:tc>
          <w:tcPr>
            <w:tcW w:w="920" w:type="dxa"/>
            <w:vAlign w:val="bottom"/>
            <w:shd w:val="clear" w:color="auto" w:fill="000000"/>
          </w:tcPr>
          <w:p>
            <w:pPr>
              <w:spacing w:after="0"/>
              <w:rPr>
                <w:sz w:val="11"/>
                <w:szCs w:val="11"/>
                <w:color w:val="auto"/>
              </w:rPr>
            </w:pPr>
          </w:p>
        </w:tc>
        <w:tc>
          <w:tcPr>
            <w:tcW w:w="700" w:type="dxa"/>
            <w:vAlign w:val="bottom"/>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7"/>
              </w:rPr>
              <w:t>Since</w:t>
            </w:r>
          </w:p>
        </w:tc>
        <w:tc>
          <w:tcPr>
            <w:tcW w:w="1640" w:type="dxa"/>
            <w:vAlign w:val="bottom"/>
            <w:shd w:val="clear" w:color="auto" w:fill="000000"/>
          </w:tcPr>
          <w:p>
            <w:pPr>
              <w:jc w:val="center"/>
              <w:ind w:right="890"/>
              <w:spacing w:after="0" w:line="135" w:lineRule="exact"/>
              <w:rPr>
                <w:sz w:val="20"/>
                <w:szCs w:val="20"/>
                <w:color w:val="auto"/>
              </w:rPr>
            </w:pPr>
            <w:r>
              <w:rPr>
                <w:rFonts w:ascii="Arial" w:cs="Arial" w:eastAsia="Arial" w:hAnsi="Arial"/>
                <w:sz w:val="13"/>
                <w:szCs w:val="13"/>
                <w:b w:val="1"/>
                <w:bCs w:val="1"/>
                <w:color w:val="FEFEFE"/>
                <w:w w:val="87"/>
              </w:rPr>
              <w:t>Term</w:t>
            </w:r>
          </w:p>
        </w:tc>
        <w:tc>
          <w:tcPr>
            <w:tcW w:w="880" w:type="dxa"/>
            <w:vAlign w:val="bottom"/>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8"/>
              </w:rPr>
              <w:t>Committee</w:t>
            </w:r>
          </w:p>
        </w:tc>
        <w:tc>
          <w:tcPr>
            <w:tcW w:w="1100" w:type="dxa"/>
            <w:vAlign w:val="bottom"/>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8"/>
              </w:rPr>
              <w:t>Committee</w:t>
            </w:r>
          </w:p>
        </w:tc>
        <w:tc>
          <w:tcPr>
            <w:tcW w:w="940" w:type="dxa"/>
            <w:vAlign w:val="bottom"/>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4"/>
              </w:rPr>
              <w:t>and</w:t>
            </w:r>
          </w:p>
        </w:tc>
        <w:tc>
          <w:tcPr>
            <w:tcW w:w="980" w:type="dxa"/>
            <w:vAlign w:val="bottom"/>
            <w:shd w:val="clear" w:color="auto" w:fill="000000"/>
          </w:tcPr>
          <w:p>
            <w:pPr>
              <w:jc w:val="center"/>
              <w:ind w:right="34"/>
              <w:spacing w:after="0" w:line="135" w:lineRule="exact"/>
              <w:rPr>
                <w:sz w:val="20"/>
                <w:szCs w:val="20"/>
                <w:color w:val="auto"/>
              </w:rPr>
            </w:pPr>
            <w:r>
              <w:rPr>
                <w:rFonts w:ascii="Arial" w:cs="Arial" w:eastAsia="Arial" w:hAnsi="Arial"/>
                <w:sz w:val="13"/>
                <w:szCs w:val="13"/>
                <w:b w:val="1"/>
                <w:bCs w:val="1"/>
                <w:color w:val="FEFEFE"/>
                <w:w w:val="95"/>
              </w:rPr>
              <w:t>Committee</w:t>
            </w:r>
          </w:p>
        </w:tc>
      </w:tr>
      <w:tr>
        <w:trPr>
          <w:trHeight w:val="135"/>
        </w:trPr>
        <w:tc>
          <w:tcPr>
            <w:tcW w:w="2220" w:type="dxa"/>
            <w:vAlign w:val="bottom"/>
            <w:shd w:val="clear" w:color="auto" w:fill="000000"/>
          </w:tcPr>
          <w:p>
            <w:pPr>
              <w:spacing w:after="0"/>
              <w:rPr>
                <w:sz w:val="11"/>
                <w:szCs w:val="11"/>
                <w:color w:val="auto"/>
              </w:rPr>
            </w:pPr>
          </w:p>
        </w:tc>
        <w:tc>
          <w:tcPr>
            <w:tcW w:w="920" w:type="dxa"/>
            <w:vAlign w:val="bottom"/>
            <w:shd w:val="clear" w:color="auto" w:fill="000000"/>
          </w:tcPr>
          <w:p>
            <w:pPr>
              <w:spacing w:after="0"/>
              <w:rPr>
                <w:sz w:val="11"/>
                <w:szCs w:val="11"/>
                <w:color w:val="auto"/>
              </w:rPr>
            </w:pPr>
          </w:p>
        </w:tc>
        <w:tc>
          <w:tcPr>
            <w:tcW w:w="700" w:type="dxa"/>
            <w:vAlign w:val="bottom"/>
            <w:shd w:val="clear" w:color="auto" w:fill="000000"/>
          </w:tcPr>
          <w:p>
            <w:pPr>
              <w:spacing w:after="0"/>
              <w:rPr>
                <w:sz w:val="11"/>
                <w:szCs w:val="11"/>
                <w:color w:val="auto"/>
              </w:rPr>
            </w:pPr>
          </w:p>
        </w:tc>
        <w:tc>
          <w:tcPr>
            <w:tcW w:w="1640" w:type="dxa"/>
            <w:vAlign w:val="bottom"/>
            <w:shd w:val="clear" w:color="auto" w:fill="000000"/>
          </w:tcPr>
          <w:p>
            <w:pPr>
              <w:jc w:val="center"/>
              <w:ind w:right="890"/>
              <w:spacing w:after="0" w:line="135" w:lineRule="exact"/>
              <w:rPr>
                <w:sz w:val="20"/>
                <w:szCs w:val="20"/>
                <w:color w:val="auto"/>
              </w:rPr>
            </w:pPr>
            <w:r>
              <w:rPr>
                <w:rFonts w:ascii="Arial" w:cs="Arial" w:eastAsia="Arial" w:hAnsi="Arial"/>
                <w:sz w:val="13"/>
                <w:szCs w:val="13"/>
                <w:b w:val="1"/>
                <w:bCs w:val="1"/>
                <w:color w:val="FEFEFE"/>
                <w:w w:val="93"/>
              </w:rPr>
              <w:t>Expires</w:t>
            </w:r>
          </w:p>
        </w:tc>
        <w:tc>
          <w:tcPr>
            <w:tcW w:w="880" w:type="dxa"/>
            <w:vAlign w:val="bottom"/>
            <w:shd w:val="clear" w:color="auto" w:fill="000000"/>
          </w:tcPr>
          <w:p>
            <w:pPr>
              <w:spacing w:after="0"/>
              <w:rPr>
                <w:sz w:val="11"/>
                <w:szCs w:val="11"/>
                <w:color w:val="auto"/>
              </w:rPr>
            </w:pPr>
          </w:p>
        </w:tc>
        <w:tc>
          <w:tcPr>
            <w:tcW w:w="1100" w:type="dxa"/>
            <w:vAlign w:val="bottom"/>
            <w:shd w:val="clear" w:color="auto" w:fill="000000"/>
          </w:tcPr>
          <w:p>
            <w:pPr>
              <w:spacing w:after="0"/>
              <w:rPr>
                <w:sz w:val="11"/>
                <w:szCs w:val="11"/>
                <w:color w:val="auto"/>
              </w:rPr>
            </w:pPr>
          </w:p>
        </w:tc>
        <w:tc>
          <w:tcPr>
            <w:tcW w:w="940" w:type="dxa"/>
            <w:vAlign w:val="bottom"/>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6"/>
              </w:rPr>
              <w:t>Corporate</w:t>
            </w:r>
          </w:p>
        </w:tc>
        <w:tc>
          <w:tcPr>
            <w:tcW w:w="980" w:type="dxa"/>
            <w:vAlign w:val="bottom"/>
            <w:shd w:val="clear" w:color="auto" w:fill="000000"/>
          </w:tcPr>
          <w:p>
            <w:pPr>
              <w:spacing w:after="0"/>
              <w:rPr>
                <w:sz w:val="11"/>
                <w:szCs w:val="11"/>
                <w:color w:val="auto"/>
              </w:rPr>
            </w:pPr>
          </w:p>
        </w:tc>
      </w:tr>
      <w:tr>
        <w:trPr>
          <w:trHeight w:val="135"/>
        </w:trPr>
        <w:tc>
          <w:tcPr>
            <w:tcW w:w="2220" w:type="dxa"/>
            <w:vAlign w:val="bottom"/>
            <w:shd w:val="clear" w:color="auto" w:fill="000000"/>
          </w:tcPr>
          <w:p>
            <w:pPr>
              <w:spacing w:after="0"/>
              <w:rPr>
                <w:sz w:val="11"/>
                <w:szCs w:val="11"/>
                <w:color w:val="auto"/>
              </w:rPr>
            </w:pPr>
          </w:p>
        </w:tc>
        <w:tc>
          <w:tcPr>
            <w:tcW w:w="920" w:type="dxa"/>
            <w:vAlign w:val="bottom"/>
            <w:shd w:val="clear" w:color="auto" w:fill="000000"/>
          </w:tcPr>
          <w:p>
            <w:pPr>
              <w:spacing w:after="0"/>
              <w:rPr>
                <w:sz w:val="11"/>
                <w:szCs w:val="11"/>
                <w:color w:val="auto"/>
              </w:rPr>
            </w:pPr>
          </w:p>
        </w:tc>
        <w:tc>
          <w:tcPr>
            <w:tcW w:w="700" w:type="dxa"/>
            <w:vAlign w:val="bottom"/>
            <w:shd w:val="clear" w:color="auto" w:fill="000000"/>
          </w:tcPr>
          <w:p>
            <w:pPr>
              <w:spacing w:after="0"/>
              <w:rPr>
                <w:sz w:val="11"/>
                <w:szCs w:val="11"/>
                <w:color w:val="auto"/>
              </w:rPr>
            </w:pPr>
          </w:p>
        </w:tc>
        <w:tc>
          <w:tcPr>
            <w:tcW w:w="1640" w:type="dxa"/>
            <w:vAlign w:val="bottom"/>
            <w:shd w:val="clear" w:color="auto" w:fill="000000"/>
          </w:tcPr>
          <w:p>
            <w:pPr>
              <w:spacing w:after="0"/>
              <w:rPr>
                <w:sz w:val="11"/>
                <w:szCs w:val="11"/>
                <w:color w:val="auto"/>
              </w:rPr>
            </w:pPr>
          </w:p>
        </w:tc>
        <w:tc>
          <w:tcPr>
            <w:tcW w:w="880" w:type="dxa"/>
            <w:vAlign w:val="bottom"/>
            <w:shd w:val="clear" w:color="auto" w:fill="000000"/>
          </w:tcPr>
          <w:p>
            <w:pPr>
              <w:spacing w:after="0"/>
              <w:rPr>
                <w:sz w:val="11"/>
                <w:szCs w:val="11"/>
                <w:color w:val="auto"/>
              </w:rPr>
            </w:pPr>
          </w:p>
        </w:tc>
        <w:tc>
          <w:tcPr>
            <w:tcW w:w="1100" w:type="dxa"/>
            <w:vAlign w:val="bottom"/>
            <w:shd w:val="clear" w:color="auto" w:fill="000000"/>
          </w:tcPr>
          <w:p>
            <w:pPr>
              <w:spacing w:after="0"/>
              <w:rPr>
                <w:sz w:val="11"/>
                <w:szCs w:val="11"/>
                <w:color w:val="auto"/>
              </w:rPr>
            </w:pPr>
          </w:p>
        </w:tc>
        <w:tc>
          <w:tcPr>
            <w:tcW w:w="940" w:type="dxa"/>
            <w:vAlign w:val="bottom"/>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8"/>
              </w:rPr>
              <w:t>Governance</w:t>
            </w:r>
          </w:p>
        </w:tc>
        <w:tc>
          <w:tcPr>
            <w:tcW w:w="980" w:type="dxa"/>
            <w:vAlign w:val="bottom"/>
            <w:shd w:val="clear" w:color="auto" w:fill="000000"/>
          </w:tcPr>
          <w:p>
            <w:pPr>
              <w:spacing w:after="0"/>
              <w:rPr>
                <w:sz w:val="11"/>
                <w:szCs w:val="11"/>
                <w:color w:val="auto"/>
              </w:rPr>
            </w:pPr>
          </w:p>
        </w:tc>
      </w:tr>
      <w:tr>
        <w:trPr>
          <w:trHeight w:val="168"/>
        </w:trPr>
        <w:tc>
          <w:tcPr>
            <w:tcW w:w="2220" w:type="dxa"/>
            <w:vAlign w:val="bottom"/>
            <w:shd w:val="clear" w:color="auto" w:fill="000000"/>
          </w:tcPr>
          <w:p>
            <w:pPr>
              <w:spacing w:after="0"/>
              <w:rPr>
                <w:sz w:val="14"/>
                <w:szCs w:val="14"/>
                <w:color w:val="auto"/>
              </w:rPr>
            </w:pPr>
          </w:p>
        </w:tc>
        <w:tc>
          <w:tcPr>
            <w:tcW w:w="920" w:type="dxa"/>
            <w:vAlign w:val="bottom"/>
            <w:shd w:val="clear" w:color="auto" w:fill="000000"/>
          </w:tcPr>
          <w:p>
            <w:pPr>
              <w:spacing w:after="0"/>
              <w:rPr>
                <w:sz w:val="14"/>
                <w:szCs w:val="14"/>
                <w:color w:val="auto"/>
              </w:rPr>
            </w:pPr>
          </w:p>
        </w:tc>
        <w:tc>
          <w:tcPr>
            <w:tcW w:w="700" w:type="dxa"/>
            <w:vAlign w:val="bottom"/>
            <w:shd w:val="clear" w:color="auto" w:fill="000000"/>
          </w:tcPr>
          <w:p>
            <w:pPr>
              <w:spacing w:after="0"/>
              <w:rPr>
                <w:sz w:val="14"/>
                <w:szCs w:val="14"/>
                <w:color w:val="auto"/>
              </w:rPr>
            </w:pPr>
          </w:p>
        </w:tc>
        <w:tc>
          <w:tcPr>
            <w:tcW w:w="1640" w:type="dxa"/>
            <w:vAlign w:val="bottom"/>
            <w:shd w:val="clear" w:color="auto" w:fill="000000"/>
          </w:tcPr>
          <w:p>
            <w:pPr>
              <w:spacing w:after="0"/>
              <w:rPr>
                <w:sz w:val="14"/>
                <w:szCs w:val="14"/>
                <w:color w:val="auto"/>
              </w:rPr>
            </w:pPr>
          </w:p>
        </w:tc>
        <w:tc>
          <w:tcPr>
            <w:tcW w:w="880" w:type="dxa"/>
            <w:vAlign w:val="bottom"/>
            <w:shd w:val="clear" w:color="auto" w:fill="000000"/>
          </w:tcPr>
          <w:p>
            <w:pPr>
              <w:spacing w:after="0"/>
              <w:rPr>
                <w:sz w:val="14"/>
                <w:szCs w:val="14"/>
                <w:color w:val="auto"/>
              </w:rPr>
            </w:pPr>
          </w:p>
        </w:tc>
        <w:tc>
          <w:tcPr>
            <w:tcW w:w="1100" w:type="dxa"/>
            <w:vAlign w:val="bottom"/>
            <w:shd w:val="clear" w:color="auto" w:fill="000000"/>
          </w:tcPr>
          <w:p>
            <w:pPr>
              <w:spacing w:after="0"/>
              <w:rPr>
                <w:sz w:val="14"/>
                <w:szCs w:val="14"/>
                <w:color w:val="auto"/>
              </w:rPr>
            </w:pPr>
          </w:p>
        </w:tc>
        <w:tc>
          <w:tcPr>
            <w:tcW w:w="94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w w:val="98"/>
              </w:rPr>
              <w:t>Committee</w:t>
            </w:r>
          </w:p>
        </w:tc>
        <w:tc>
          <w:tcPr>
            <w:tcW w:w="980" w:type="dxa"/>
            <w:vAlign w:val="bottom"/>
            <w:shd w:val="clear" w:color="auto" w:fill="000000"/>
          </w:tcPr>
          <w:p>
            <w:pPr>
              <w:spacing w:after="0"/>
              <w:rPr>
                <w:sz w:val="14"/>
                <w:szCs w:val="14"/>
                <w:color w:val="auto"/>
              </w:rPr>
            </w:pPr>
          </w:p>
        </w:tc>
      </w:tr>
      <w:tr>
        <w:trPr>
          <w:trHeight w:val="124"/>
        </w:trPr>
        <w:tc>
          <w:tcPr>
            <w:tcW w:w="2220" w:type="dxa"/>
            <w:vAlign w:val="bottom"/>
            <w:shd w:val="clear" w:color="auto" w:fill="000000"/>
          </w:tcPr>
          <w:p>
            <w:pPr>
              <w:spacing w:after="0"/>
              <w:rPr>
                <w:sz w:val="10"/>
                <w:szCs w:val="10"/>
                <w:color w:val="auto"/>
              </w:rPr>
            </w:pPr>
          </w:p>
        </w:tc>
        <w:tc>
          <w:tcPr>
            <w:tcW w:w="920" w:type="dxa"/>
            <w:vAlign w:val="bottom"/>
            <w:shd w:val="clear" w:color="auto" w:fill="000000"/>
          </w:tcPr>
          <w:p>
            <w:pPr>
              <w:spacing w:after="0"/>
              <w:rPr>
                <w:sz w:val="10"/>
                <w:szCs w:val="10"/>
                <w:color w:val="auto"/>
              </w:rPr>
            </w:pPr>
          </w:p>
        </w:tc>
        <w:tc>
          <w:tcPr>
            <w:tcW w:w="700" w:type="dxa"/>
            <w:vAlign w:val="bottom"/>
            <w:shd w:val="clear" w:color="auto" w:fill="000000"/>
          </w:tcPr>
          <w:p>
            <w:pPr>
              <w:spacing w:after="0"/>
              <w:rPr>
                <w:sz w:val="10"/>
                <w:szCs w:val="10"/>
                <w:color w:val="auto"/>
              </w:rPr>
            </w:pPr>
          </w:p>
        </w:tc>
        <w:tc>
          <w:tcPr>
            <w:tcW w:w="1640" w:type="dxa"/>
            <w:vAlign w:val="bottom"/>
            <w:shd w:val="clear" w:color="auto" w:fill="000000"/>
          </w:tcPr>
          <w:p>
            <w:pPr>
              <w:spacing w:after="0"/>
              <w:rPr>
                <w:sz w:val="10"/>
                <w:szCs w:val="10"/>
                <w:color w:val="auto"/>
              </w:rPr>
            </w:pPr>
          </w:p>
        </w:tc>
        <w:tc>
          <w:tcPr>
            <w:tcW w:w="880" w:type="dxa"/>
            <w:vAlign w:val="bottom"/>
            <w:shd w:val="clear" w:color="auto" w:fill="000000"/>
          </w:tcPr>
          <w:p>
            <w:pPr>
              <w:spacing w:after="0"/>
              <w:rPr>
                <w:sz w:val="10"/>
                <w:szCs w:val="10"/>
                <w:color w:val="auto"/>
              </w:rPr>
            </w:pPr>
          </w:p>
        </w:tc>
        <w:tc>
          <w:tcPr>
            <w:tcW w:w="1100" w:type="dxa"/>
            <w:vAlign w:val="bottom"/>
            <w:shd w:val="clear" w:color="auto" w:fill="000000"/>
          </w:tcPr>
          <w:p>
            <w:pPr>
              <w:spacing w:after="0"/>
              <w:rPr>
                <w:sz w:val="10"/>
                <w:szCs w:val="10"/>
                <w:color w:val="auto"/>
              </w:rPr>
            </w:pPr>
          </w:p>
        </w:tc>
        <w:tc>
          <w:tcPr>
            <w:tcW w:w="940" w:type="dxa"/>
            <w:vAlign w:val="bottom"/>
            <w:shd w:val="clear" w:color="auto" w:fill="000000"/>
          </w:tcPr>
          <w:p>
            <w:pPr>
              <w:spacing w:after="0"/>
              <w:rPr>
                <w:sz w:val="10"/>
                <w:szCs w:val="10"/>
                <w:color w:val="auto"/>
              </w:rPr>
            </w:pPr>
          </w:p>
        </w:tc>
        <w:tc>
          <w:tcPr>
            <w:tcW w:w="980" w:type="dxa"/>
            <w:vAlign w:val="bottom"/>
            <w:shd w:val="clear" w:color="auto" w:fill="000000"/>
          </w:tcPr>
          <w:p>
            <w:pPr>
              <w:spacing w:after="0"/>
              <w:rPr>
                <w:sz w:val="10"/>
                <w:szCs w:val="10"/>
                <w:color w:val="auto"/>
              </w:rPr>
            </w:pPr>
          </w:p>
        </w:tc>
      </w:tr>
      <w:tr>
        <w:trPr>
          <w:trHeight w:val="312"/>
        </w:trPr>
        <w:tc>
          <w:tcPr>
            <w:tcW w:w="2220" w:type="dxa"/>
            <w:vAlign w:val="bottom"/>
          </w:tcPr>
          <w:p>
            <w:pPr>
              <w:ind w:left="120"/>
              <w:spacing w:after="0"/>
              <w:rPr>
                <w:sz w:val="20"/>
                <w:szCs w:val="20"/>
                <w:color w:val="auto"/>
              </w:rPr>
            </w:pPr>
            <w:r>
              <w:rPr>
                <w:rFonts w:ascii="Arial" w:cs="Arial" w:eastAsia="Arial" w:hAnsi="Arial"/>
                <w:sz w:val="14"/>
                <w:szCs w:val="14"/>
                <w:b w:val="1"/>
                <w:bCs w:val="1"/>
                <w:color w:val="auto"/>
              </w:rPr>
              <w:t>Nominees</w:t>
            </w: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07"/>
        </w:trPr>
        <w:tc>
          <w:tcPr>
            <w:tcW w:w="22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r>
      <w:tr>
        <w:trPr>
          <w:trHeight w:val="319"/>
        </w:trPr>
        <w:tc>
          <w:tcPr>
            <w:tcW w:w="2220" w:type="dxa"/>
            <w:vAlign w:val="bottom"/>
            <w:shd w:val="clear" w:color="auto" w:fill="F7F7F7"/>
          </w:tcPr>
          <w:p>
            <w:pPr>
              <w:ind w:left="120"/>
              <w:spacing w:after="0"/>
              <w:rPr>
                <w:sz w:val="20"/>
                <w:szCs w:val="20"/>
                <w:color w:val="auto"/>
              </w:rPr>
            </w:pPr>
            <w:r>
              <w:rPr>
                <w:rFonts w:ascii="Arial" w:cs="Arial" w:eastAsia="Arial" w:hAnsi="Arial"/>
                <w:sz w:val="14"/>
                <w:szCs w:val="14"/>
                <w:color w:val="auto"/>
              </w:rPr>
              <w:t>Turqi Alnowaiser</w:t>
            </w:r>
          </w:p>
        </w:tc>
        <w:tc>
          <w:tcPr>
            <w:tcW w:w="920" w:type="dxa"/>
            <w:vAlign w:val="bottom"/>
            <w:shd w:val="clear" w:color="auto" w:fill="F7F7F7"/>
          </w:tcPr>
          <w:p>
            <w:pPr>
              <w:jc w:val="center"/>
              <w:ind w:left="409"/>
              <w:spacing w:after="0"/>
              <w:rPr>
                <w:sz w:val="20"/>
                <w:szCs w:val="20"/>
                <w:color w:val="auto"/>
              </w:rPr>
            </w:pPr>
            <w:r>
              <w:rPr>
                <w:rFonts w:ascii="Arial" w:cs="Arial" w:eastAsia="Arial" w:hAnsi="Arial"/>
                <w:sz w:val="14"/>
                <w:szCs w:val="14"/>
                <w:color w:val="auto"/>
              </w:rPr>
              <w:t>45</w:t>
            </w:r>
          </w:p>
        </w:tc>
        <w:tc>
          <w:tcPr>
            <w:tcW w:w="700" w:type="dxa"/>
            <w:vAlign w:val="bottom"/>
            <w:shd w:val="clear" w:color="auto" w:fill="F7F7F7"/>
          </w:tcPr>
          <w:p>
            <w:pPr>
              <w:jc w:val="center"/>
              <w:spacing w:after="0"/>
              <w:rPr>
                <w:sz w:val="20"/>
                <w:szCs w:val="20"/>
                <w:color w:val="auto"/>
              </w:rPr>
            </w:pPr>
            <w:r>
              <w:rPr>
                <w:rFonts w:ascii="Arial" w:cs="Arial" w:eastAsia="Arial" w:hAnsi="Arial"/>
                <w:sz w:val="14"/>
                <w:szCs w:val="14"/>
                <w:color w:val="auto"/>
              </w:rPr>
              <w:t>2019</w:t>
            </w:r>
          </w:p>
        </w:tc>
        <w:tc>
          <w:tcPr>
            <w:tcW w:w="1640" w:type="dxa"/>
            <w:vAlign w:val="bottom"/>
            <w:shd w:val="clear" w:color="auto" w:fill="F7F7F7"/>
          </w:tcPr>
          <w:p>
            <w:pPr>
              <w:jc w:val="center"/>
              <w:ind w:right="890"/>
              <w:spacing w:after="0"/>
              <w:rPr>
                <w:sz w:val="20"/>
                <w:szCs w:val="20"/>
                <w:color w:val="auto"/>
              </w:rPr>
            </w:pPr>
            <w:r>
              <w:rPr>
                <w:rFonts w:ascii="Arial" w:cs="Arial" w:eastAsia="Arial" w:hAnsi="Arial"/>
                <w:sz w:val="14"/>
                <w:szCs w:val="14"/>
                <w:color w:val="auto"/>
              </w:rPr>
              <w:t>2022</w:t>
            </w:r>
          </w:p>
        </w:tc>
        <w:tc>
          <w:tcPr>
            <w:tcW w:w="880" w:type="dxa"/>
            <w:vAlign w:val="bottom"/>
            <w:shd w:val="clear" w:color="auto" w:fill="F7F7F7"/>
          </w:tcPr>
          <w:p>
            <w:pPr>
              <w:spacing w:after="0"/>
              <w:rPr>
                <w:sz w:val="24"/>
                <w:szCs w:val="24"/>
                <w:color w:val="auto"/>
              </w:rPr>
            </w:pPr>
          </w:p>
        </w:tc>
        <w:tc>
          <w:tcPr>
            <w:tcW w:w="1100" w:type="dxa"/>
            <w:vAlign w:val="bottom"/>
            <w:shd w:val="clear" w:color="auto" w:fill="F7F7F7"/>
          </w:tcPr>
          <w:p>
            <w:pPr>
              <w:spacing w:after="0"/>
              <w:rPr>
                <w:sz w:val="24"/>
                <w:szCs w:val="24"/>
                <w:color w:val="auto"/>
              </w:rPr>
            </w:pPr>
          </w:p>
        </w:tc>
        <w:tc>
          <w:tcPr>
            <w:tcW w:w="940" w:type="dxa"/>
            <w:vAlign w:val="bottom"/>
            <w:shd w:val="clear" w:color="auto" w:fill="F7F7F7"/>
          </w:tcPr>
          <w:p>
            <w:pPr>
              <w:jc w:val="center"/>
              <w:spacing w:after="0"/>
              <w:rPr>
                <w:sz w:val="20"/>
                <w:szCs w:val="20"/>
                <w:color w:val="auto"/>
              </w:rPr>
            </w:pPr>
            <w:r>
              <w:rPr>
                <w:rFonts w:ascii="Arial" w:cs="Arial" w:eastAsia="Arial" w:hAnsi="Arial"/>
                <w:sz w:val="14"/>
                <w:szCs w:val="14"/>
                <w:color w:val="auto"/>
              </w:rPr>
              <w:t>Chair</w:t>
            </w:r>
          </w:p>
        </w:tc>
        <w:tc>
          <w:tcPr>
            <w:tcW w:w="980" w:type="dxa"/>
            <w:vAlign w:val="bottom"/>
            <w:shd w:val="clear" w:color="auto" w:fill="F7F7F7"/>
          </w:tcPr>
          <w:p>
            <w:pPr>
              <w:spacing w:after="0"/>
              <w:rPr>
                <w:sz w:val="24"/>
                <w:szCs w:val="24"/>
                <w:color w:val="auto"/>
              </w:rPr>
            </w:pPr>
          </w:p>
        </w:tc>
      </w:tr>
      <w:tr>
        <w:trPr>
          <w:trHeight w:val="133"/>
        </w:trPr>
        <w:tc>
          <w:tcPr>
            <w:tcW w:w="2220" w:type="dxa"/>
            <w:vAlign w:val="bottom"/>
            <w:tcBorders>
              <w:bottom w:val="single" w:sz="8" w:color="auto"/>
            </w:tcBorders>
            <w:shd w:val="clear" w:color="auto" w:fill="F7F7F7"/>
          </w:tcPr>
          <w:p>
            <w:pPr>
              <w:spacing w:after="0"/>
              <w:rPr>
                <w:sz w:val="11"/>
                <w:szCs w:val="11"/>
                <w:color w:val="auto"/>
              </w:rPr>
            </w:pPr>
          </w:p>
        </w:tc>
        <w:tc>
          <w:tcPr>
            <w:tcW w:w="920" w:type="dxa"/>
            <w:vAlign w:val="bottom"/>
            <w:tcBorders>
              <w:bottom w:val="single" w:sz="8" w:color="auto"/>
            </w:tcBorders>
            <w:shd w:val="clear" w:color="auto" w:fill="F7F7F7"/>
          </w:tcPr>
          <w:p>
            <w:pPr>
              <w:spacing w:after="0"/>
              <w:rPr>
                <w:sz w:val="11"/>
                <w:szCs w:val="11"/>
                <w:color w:val="auto"/>
              </w:rPr>
            </w:pPr>
          </w:p>
        </w:tc>
        <w:tc>
          <w:tcPr>
            <w:tcW w:w="700" w:type="dxa"/>
            <w:vAlign w:val="bottom"/>
            <w:tcBorders>
              <w:bottom w:val="single" w:sz="8" w:color="auto"/>
            </w:tcBorders>
            <w:shd w:val="clear" w:color="auto" w:fill="F7F7F7"/>
          </w:tcPr>
          <w:p>
            <w:pPr>
              <w:spacing w:after="0"/>
              <w:rPr>
                <w:sz w:val="11"/>
                <w:szCs w:val="11"/>
                <w:color w:val="auto"/>
              </w:rPr>
            </w:pPr>
          </w:p>
        </w:tc>
        <w:tc>
          <w:tcPr>
            <w:tcW w:w="1640" w:type="dxa"/>
            <w:vAlign w:val="bottom"/>
            <w:tcBorders>
              <w:bottom w:val="single" w:sz="8" w:color="auto"/>
            </w:tcBorders>
            <w:shd w:val="clear" w:color="auto" w:fill="F7F7F7"/>
          </w:tcPr>
          <w:p>
            <w:pPr>
              <w:spacing w:after="0"/>
              <w:rPr>
                <w:sz w:val="11"/>
                <w:szCs w:val="11"/>
                <w:color w:val="auto"/>
              </w:rPr>
            </w:pPr>
          </w:p>
        </w:tc>
        <w:tc>
          <w:tcPr>
            <w:tcW w:w="880" w:type="dxa"/>
            <w:vAlign w:val="bottom"/>
            <w:tcBorders>
              <w:bottom w:val="single" w:sz="8" w:color="auto"/>
            </w:tcBorders>
            <w:shd w:val="clear" w:color="auto" w:fill="F7F7F7"/>
          </w:tcPr>
          <w:p>
            <w:pPr>
              <w:spacing w:after="0"/>
              <w:rPr>
                <w:sz w:val="11"/>
                <w:szCs w:val="11"/>
                <w:color w:val="auto"/>
              </w:rPr>
            </w:pPr>
          </w:p>
        </w:tc>
        <w:tc>
          <w:tcPr>
            <w:tcW w:w="1100" w:type="dxa"/>
            <w:vAlign w:val="bottom"/>
            <w:tcBorders>
              <w:bottom w:val="single" w:sz="8" w:color="auto"/>
            </w:tcBorders>
            <w:shd w:val="clear" w:color="auto" w:fill="F7F7F7"/>
          </w:tcPr>
          <w:p>
            <w:pPr>
              <w:spacing w:after="0"/>
              <w:rPr>
                <w:sz w:val="11"/>
                <w:szCs w:val="11"/>
                <w:color w:val="auto"/>
              </w:rPr>
            </w:pPr>
          </w:p>
        </w:tc>
        <w:tc>
          <w:tcPr>
            <w:tcW w:w="940" w:type="dxa"/>
            <w:vAlign w:val="bottom"/>
            <w:tcBorders>
              <w:bottom w:val="single" w:sz="8" w:color="auto"/>
            </w:tcBorders>
            <w:shd w:val="clear" w:color="auto" w:fill="F7F7F7"/>
          </w:tcPr>
          <w:p>
            <w:pPr>
              <w:spacing w:after="0"/>
              <w:rPr>
                <w:sz w:val="11"/>
                <w:szCs w:val="11"/>
                <w:color w:val="auto"/>
              </w:rPr>
            </w:pPr>
          </w:p>
        </w:tc>
        <w:tc>
          <w:tcPr>
            <w:tcW w:w="980" w:type="dxa"/>
            <w:vAlign w:val="bottom"/>
            <w:tcBorders>
              <w:bottom w:val="single" w:sz="8" w:color="auto"/>
            </w:tcBorders>
            <w:shd w:val="clear" w:color="auto" w:fill="F7F7F7"/>
          </w:tcPr>
          <w:p>
            <w:pPr>
              <w:spacing w:after="0"/>
              <w:rPr>
                <w:sz w:val="11"/>
                <w:szCs w:val="11"/>
                <w:color w:val="auto"/>
              </w:rPr>
            </w:pPr>
          </w:p>
        </w:tc>
      </w:tr>
      <w:tr>
        <w:trPr>
          <w:trHeight w:val="319"/>
        </w:trPr>
        <w:tc>
          <w:tcPr>
            <w:tcW w:w="2220" w:type="dxa"/>
            <w:vAlign w:val="bottom"/>
          </w:tcPr>
          <w:p>
            <w:pPr>
              <w:ind w:left="120"/>
              <w:spacing w:after="0"/>
              <w:rPr>
                <w:sz w:val="20"/>
                <w:szCs w:val="20"/>
                <w:color w:val="auto"/>
              </w:rPr>
            </w:pPr>
            <w:r>
              <w:rPr>
                <w:rFonts w:ascii="Arial" w:cs="Arial" w:eastAsia="Arial" w:hAnsi="Arial"/>
                <w:sz w:val="14"/>
                <w:szCs w:val="14"/>
                <w:color w:val="auto"/>
              </w:rPr>
              <w:t>Glenn R. August</w:t>
            </w:r>
          </w:p>
        </w:tc>
        <w:tc>
          <w:tcPr>
            <w:tcW w:w="920" w:type="dxa"/>
            <w:vAlign w:val="bottom"/>
          </w:tcPr>
          <w:p>
            <w:pPr>
              <w:jc w:val="center"/>
              <w:ind w:left="409"/>
              <w:spacing w:after="0"/>
              <w:rPr>
                <w:sz w:val="20"/>
                <w:szCs w:val="20"/>
                <w:color w:val="auto"/>
              </w:rPr>
            </w:pPr>
            <w:r>
              <w:rPr>
                <w:rFonts w:ascii="Arial" w:cs="Arial" w:eastAsia="Arial" w:hAnsi="Arial"/>
                <w:sz w:val="14"/>
                <w:szCs w:val="14"/>
                <w:color w:val="auto"/>
              </w:rPr>
              <w:t>61</w:t>
            </w:r>
          </w:p>
        </w:tc>
        <w:tc>
          <w:tcPr>
            <w:tcW w:w="700" w:type="dxa"/>
            <w:vAlign w:val="bottom"/>
          </w:tcPr>
          <w:p>
            <w:pPr>
              <w:jc w:val="center"/>
              <w:spacing w:after="0"/>
              <w:rPr>
                <w:sz w:val="20"/>
                <w:szCs w:val="20"/>
                <w:color w:val="auto"/>
              </w:rPr>
            </w:pPr>
            <w:r>
              <w:rPr>
                <w:rFonts w:ascii="Arial" w:cs="Arial" w:eastAsia="Arial" w:hAnsi="Arial"/>
                <w:sz w:val="14"/>
                <w:szCs w:val="14"/>
                <w:color w:val="auto"/>
              </w:rPr>
              <w:t>2020</w:t>
            </w:r>
          </w:p>
        </w:tc>
        <w:tc>
          <w:tcPr>
            <w:tcW w:w="1640" w:type="dxa"/>
            <w:vAlign w:val="bottom"/>
          </w:tcPr>
          <w:p>
            <w:pPr>
              <w:jc w:val="center"/>
              <w:ind w:right="890"/>
              <w:spacing w:after="0"/>
              <w:rPr>
                <w:sz w:val="20"/>
                <w:szCs w:val="20"/>
                <w:color w:val="auto"/>
              </w:rPr>
            </w:pPr>
            <w:r>
              <w:rPr>
                <w:rFonts w:ascii="Arial" w:cs="Arial" w:eastAsia="Arial" w:hAnsi="Arial"/>
                <w:sz w:val="14"/>
                <w:szCs w:val="14"/>
                <w:color w:val="auto"/>
              </w:rPr>
              <w:t>2022</w:t>
            </w: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33"/>
        </w:trPr>
        <w:tc>
          <w:tcPr>
            <w:tcW w:w="2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r>
      <w:tr>
        <w:trPr>
          <w:trHeight w:val="319"/>
        </w:trPr>
        <w:tc>
          <w:tcPr>
            <w:tcW w:w="2220" w:type="dxa"/>
            <w:vAlign w:val="bottom"/>
            <w:shd w:val="clear" w:color="auto" w:fill="F7F7F7"/>
          </w:tcPr>
          <w:p>
            <w:pPr>
              <w:ind w:left="120"/>
              <w:spacing w:after="0"/>
              <w:rPr>
                <w:sz w:val="20"/>
                <w:szCs w:val="20"/>
                <w:color w:val="auto"/>
              </w:rPr>
            </w:pPr>
            <w:r>
              <w:rPr>
                <w:rFonts w:ascii="Arial" w:cs="Arial" w:eastAsia="Arial" w:hAnsi="Arial"/>
                <w:sz w:val="14"/>
                <w:szCs w:val="14"/>
                <w:color w:val="auto"/>
              </w:rPr>
              <w:t>Nancy Gioia</w:t>
            </w:r>
          </w:p>
        </w:tc>
        <w:tc>
          <w:tcPr>
            <w:tcW w:w="920" w:type="dxa"/>
            <w:vAlign w:val="bottom"/>
            <w:shd w:val="clear" w:color="auto" w:fill="F7F7F7"/>
          </w:tcPr>
          <w:p>
            <w:pPr>
              <w:jc w:val="center"/>
              <w:ind w:left="409"/>
              <w:spacing w:after="0"/>
              <w:rPr>
                <w:sz w:val="20"/>
                <w:szCs w:val="20"/>
                <w:color w:val="auto"/>
              </w:rPr>
            </w:pPr>
            <w:r>
              <w:rPr>
                <w:rFonts w:ascii="Arial" w:cs="Arial" w:eastAsia="Arial" w:hAnsi="Arial"/>
                <w:sz w:val="14"/>
                <w:szCs w:val="14"/>
                <w:color w:val="auto"/>
              </w:rPr>
              <w:t>61</w:t>
            </w:r>
          </w:p>
        </w:tc>
        <w:tc>
          <w:tcPr>
            <w:tcW w:w="700" w:type="dxa"/>
            <w:vAlign w:val="bottom"/>
            <w:shd w:val="clear" w:color="auto" w:fill="F7F7F7"/>
          </w:tcPr>
          <w:p>
            <w:pPr>
              <w:jc w:val="center"/>
              <w:spacing w:after="0"/>
              <w:rPr>
                <w:sz w:val="20"/>
                <w:szCs w:val="20"/>
                <w:color w:val="auto"/>
              </w:rPr>
            </w:pPr>
            <w:r>
              <w:rPr>
                <w:rFonts w:ascii="Arial" w:cs="Arial" w:eastAsia="Arial" w:hAnsi="Arial"/>
                <w:sz w:val="14"/>
                <w:szCs w:val="14"/>
                <w:color w:val="auto"/>
              </w:rPr>
              <w:t>2021</w:t>
            </w:r>
          </w:p>
        </w:tc>
        <w:tc>
          <w:tcPr>
            <w:tcW w:w="1640" w:type="dxa"/>
            <w:vAlign w:val="bottom"/>
            <w:shd w:val="clear" w:color="auto" w:fill="F7F7F7"/>
          </w:tcPr>
          <w:p>
            <w:pPr>
              <w:jc w:val="center"/>
              <w:ind w:right="890"/>
              <w:spacing w:after="0"/>
              <w:rPr>
                <w:sz w:val="20"/>
                <w:szCs w:val="20"/>
                <w:color w:val="auto"/>
              </w:rPr>
            </w:pPr>
            <w:r>
              <w:rPr>
                <w:rFonts w:ascii="Arial" w:cs="Arial" w:eastAsia="Arial" w:hAnsi="Arial"/>
                <w:sz w:val="14"/>
                <w:szCs w:val="14"/>
                <w:color w:val="auto"/>
              </w:rPr>
              <w:t>2022</w:t>
            </w:r>
          </w:p>
        </w:tc>
        <w:tc>
          <w:tcPr>
            <w:tcW w:w="880" w:type="dxa"/>
            <w:vAlign w:val="bottom"/>
            <w:shd w:val="clear" w:color="auto" w:fill="F7F7F7"/>
          </w:tcPr>
          <w:p>
            <w:pPr>
              <w:spacing w:after="0"/>
              <w:rPr>
                <w:sz w:val="24"/>
                <w:szCs w:val="24"/>
                <w:color w:val="auto"/>
              </w:rPr>
            </w:pPr>
          </w:p>
        </w:tc>
        <w:tc>
          <w:tcPr>
            <w:tcW w:w="1100" w:type="dxa"/>
            <w:vAlign w:val="bottom"/>
            <w:shd w:val="clear" w:color="auto" w:fill="F7F7F7"/>
          </w:tcPr>
          <w:p>
            <w:pPr>
              <w:spacing w:after="0"/>
              <w:rPr>
                <w:sz w:val="24"/>
                <w:szCs w:val="24"/>
                <w:color w:val="auto"/>
              </w:rPr>
            </w:pPr>
          </w:p>
        </w:tc>
        <w:tc>
          <w:tcPr>
            <w:tcW w:w="940" w:type="dxa"/>
            <w:vAlign w:val="bottom"/>
            <w:shd w:val="clear" w:color="auto" w:fill="F7F7F7"/>
          </w:tcPr>
          <w:p>
            <w:pPr>
              <w:spacing w:after="0"/>
              <w:rPr>
                <w:sz w:val="24"/>
                <w:szCs w:val="24"/>
                <w:color w:val="auto"/>
              </w:rPr>
            </w:pPr>
          </w:p>
        </w:tc>
        <w:tc>
          <w:tcPr>
            <w:tcW w:w="980" w:type="dxa"/>
            <w:vAlign w:val="bottom"/>
            <w:shd w:val="clear" w:color="auto" w:fill="F7F7F7"/>
          </w:tcPr>
          <w:p>
            <w:pPr>
              <w:spacing w:after="0"/>
              <w:rPr>
                <w:sz w:val="24"/>
                <w:szCs w:val="24"/>
                <w:color w:val="auto"/>
              </w:rPr>
            </w:pPr>
          </w:p>
        </w:tc>
      </w:tr>
      <w:tr>
        <w:trPr>
          <w:trHeight w:val="133"/>
        </w:trPr>
        <w:tc>
          <w:tcPr>
            <w:tcW w:w="2220" w:type="dxa"/>
            <w:vAlign w:val="bottom"/>
            <w:tcBorders>
              <w:bottom w:val="single" w:sz="8" w:color="auto"/>
            </w:tcBorders>
            <w:shd w:val="clear" w:color="auto" w:fill="F7F7F7"/>
          </w:tcPr>
          <w:p>
            <w:pPr>
              <w:spacing w:after="0"/>
              <w:rPr>
                <w:sz w:val="11"/>
                <w:szCs w:val="11"/>
                <w:color w:val="auto"/>
              </w:rPr>
            </w:pPr>
          </w:p>
        </w:tc>
        <w:tc>
          <w:tcPr>
            <w:tcW w:w="920" w:type="dxa"/>
            <w:vAlign w:val="bottom"/>
            <w:tcBorders>
              <w:bottom w:val="single" w:sz="8" w:color="auto"/>
            </w:tcBorders>
            <w:shd w:val="clear" w:color="auto" w:fill="F7F7F7"/>
          </w:tcPr>
          <w:p>
            <w:pPr>
              <w:spacing w:after="0"/>
              <w:rPr>
                <w:sz w:val="11"/>
                <w:szCs w:val="11"/>
                <w:color w:val="auto"/>
              </w:rPr>
            </w:pPr>
          </w:p>
        </w:tc>
        <w:tc>
          <w:tcPr>
            <w:tcW w:w="700" w:type="dxa"/>
            <w:vAlign w:val="bottom"/>
            <w:tcBorders>
              <w:bottom w:val="single" w:sz="8" w:color="auto"/>
            </w:tcBorders>
            <w:shd w:val="clear" w:color="auto" w:fill="F7F7F7"/>
          </w:tcPr>
          <w:p>
            <w:pPr>
              <w:spacing w:after="0"/>
              <w:rPr>
                <w:sz w:val="11"/>
                <w:szCs w:val="11"/>
                <w:color w:val="auto"/>
              </w:rPr>
            </w:pPr>
          </w:p>
        </w:tc>
        <w:tc>
          <w:tcPr>
            <w:tcW w:w="1640" w:type="dxa"/>
            <w:vAlign w:val="bottom"/>
            <w:tcBorders>
              <w:bottom w:val="single" w:sz="8" w:color="auto"/>
            </w:tcBorders>
            <w:shd w:val="clear" w:color="auto" w:fill="F7F7F7"/>
          </w:tcPr>
          <w:p>
            <w:pPr>
              <w:spacing w:after="0"/>
              <w:rPr>
                <w:sz w:val="11"/>
                <w:szCs w:val="11"/>
                <w:color w:val="auto"/>
              </w:rPr>
            </w:pPr>
          </w:p>
        </w:tc>
        <w:tc>
          <w:tcPr>
            <w:tcW w:w="880" w:type="dxa"/>
            <w:vAlign w:val="bottom"/>
            <w:tcBorders>
              <w:bottom w:val="single" w:sz="8" w:color="auto"/>
            </w:tcBorders>
            <w:shd w:val="clear" w:color="auto" w:fill="F7F7F7"/>
          </w:tcPr>
          <w:p>
            <w:pPr>
              <w:spacing w:after="0"/>
              <w:rPr>
                <w:sz w:val="11"/>
                <w:szCs w:val="11"/>
                <w:color w:val="auto"/>
              </w:rPr>
            </w:pPr>
          </w:p>
        </w:tc>
        <w:tc>
          <w:tcPr>
            <w:tcW w:w="1100" w:type="dxa"/>
            <w:vAlign w:val="bottom"/>
            <w:tcBorders>
              <w:bottom w:val="single" w:sz="8" w:color="auto"/>
            </w:tcBorders>
            <w:shd w:val="clear" w:color="auto" w:fill="F7F7F7"/>
          </w:tcPr>
          <w:p>
            <w:pPr>
              <w:spacing w:after="0"/>
              <w:rPr>
                <w:sz w:val="11"/>
                <w:szCs w:val="11"/>
                <w:color w:val="auto"/>
              </w:rPr>
            </w:pPr>
          </w:p>
        </w:tc>
        <w:tc>
          <w:tcPr>
            <w:tcW w:w="940" w:type="dxa"/>
            <w:vAlign w:val="bottom"/>
            <w:tcBorders>
              <w:bottom w:val="single" w:sz="8" w:color="auto"/>
            </w:tcBorders>
            <w:shd w:val="clear" w:color="auto" w:fill="F7F7F7"/>
          </w:tcPr>
          <w:p>
            <w:pPr>
              <w:spacing w:after="0"/>
              <w:rPr>
                <w:sz w:val="11"/>
                <w:szCs w:val="11"/>
                <w:color w:val="auto"/>
              </w:rPr>
            </w:pPr>
          </w:p>
        </w:tc>
        <w:tc>
          <w:tcPr>
            <w:tcW w:w="980" w:type="dxa"/>
            <w:vAlign w:val="bottom"/>
            <w:tcBorders>
              <w:bottom w:val="single" w:sz="8" w:color="auto"/>
            </w:tcBorders>
            <w:shd w:val="clear" w:color="auto" w:fill="F7F7F7"/>
          </w:tcPr>
          <w:p>
            <w:pPr>
              <w:spacing w:after="0"/>
              <w:rPr>
                <w:sz w:val="11"/>
                <w:szCs w:val="11"/>
                <w:color w:val="auto"/>
              </w:rPr>
            </w:pPr>
          </w:p>
        </w:tc>
      </w:tr>
      <w:tr>
        <w:trPr>
          <w:trHeight w:val="319"/>
        </w:trPr>
        <w:tc>
          <w:tcPr>
            <w:tcW w:w="2220" w:type="dxa"/>
            <w:vAlign w:val="bottom"/>
          </w:tcPr>
          <w:p>
            <w:pPr>
              <w:ind w:left="120"/>
              <w:spacing w:after="0"/>
              <w:rPr>
                <w:sz w:val="20"/>
                <w:szCs w:val="20"/>
                <w:color w:val="auto"/>
              </w:rPr>
            </w:pPr>
            <w:r>
              <w:rPr>
                <w:rFonts w:ascii="Arial" w:cs="Arial" w:eastAsia="Arial" w:hAnsi="Arial"/>
                <w:sz w:val="14"/>
                <w:szCs w:val="14"/>
                <w:color w:val="auto"/>
              </w:rPr>
              <w:t>Frank Lindenberg</w:t>
            </w:r>
          </w:p>
        </w:tc>
        <w:tc>
          <w:tcPr>
            <w:tcW w:w="920" w:type="dxa"/>
            <w:vAlign w:val="bottom"/>
          </w:tcPr>
          <w:p>
            <w:pPr>
              <w:jc w:val="center"/>
              <w:ind w:left="409"/>
              <w:spacing w:after="0"/>
              <w:rPr>
                <w:sz w:val="20"/>
                <w:szCs w:val="20"/>
                <w:color w:val="auto"/>
              </w:rPr>
            </w:pPr>
            <w:r>
              <w:rPr>
                <w:rFonts w:ascii="Arial" w:cs="Arial" w:eastAsia="Arial" w:hAnsi="Arial"/>
                <w:sz w:val="14"/>
                <w:szCs w:val="14"/>
                <w:color w:val="auto"/>
              </w:rPr>
              <w:t>58</w:t>
            </w:r>
          </w:p>
        </w:tc>
        <w:tc>
          <w:tcPr>
            <w:tcW w:w="700" w:type="dxa"/>
            <w:vAlign w:val="bottom"/>
          </w:tcPr>
          <w:p>
            <w:pPr>
              <w:jc w:val="center"/>
              <w:spacing w:after="0"/>
              <w:rPr>
                <w:sz w:val="20"/>
                <w:szCs w:val="20"/>
                <w:color w:val="auto"/>
              </w:rPr>
            </w:pPr>
            <w:r>
              <w:rPr>
                <w:rFonts w:ascii="Arial" w:cs="Arial" w:eastAsia="Arial" w:hAnsi="Arial"/>
                <w:sz w:val="14"/>
                <w:szCs w:val="14"/>
                <w:color w:val="auto"/>
              </w:rPr>
              <w:t>2021</w:t>
            </w:r>
          </w:p>
        </w:tc>
        <w:tc>
          <w:tcPr>
            <w:tcW w:w="1640" w:type="dxa"/>
            <w:vAlign w:val="bottom"/>
          </w:tcPr>
          <w:p>
            <w:pPr>
              <w:jc w:val="center"/>
              <w:ind w:right="890"/>
              <w:spacing w:after="0"/>
              <w:rPr>
                <w:sz w:val="20"/>
                <w:szCs w:val="20"/>
                <w:color w:val="auto"/>
              </w:rPr>
            </w:pPr>
            <w:r>
              <w:rPr>
                <w:rFonts w:ascii="Arial" w:cs="Arial" w:eastAsia="Arial" w:hAnsi="Arial"/>
                <w:sz w:val="14"/>
                <w:szCs w:val="14"/>
                <w:color w:val="auto"/>
              </w:rPr>
              <w:t>2022</w:t>
            </w: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33"/>
        </w:trPr>
        <w:tc>
          <w:tcPr>
            <w:tcW w:w="2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r>
      <w:tr>
        <w:trPr>
          <w:trHeight w:val="371"/>
        </w:trPr>
        <w:tc>
          <w:tcPr>
            <w:tcW w:w="2220" w:type="dxa"/>
            <w:vAlign w:val="bottom"/>
            <w:shd w:val="clear" w:color="auto" w:fill="F7F7F7"/>
          </w:tcPr>
          <w:p>
            <w:pPr>
              <w:ind w:left="120"/>
              <w:spacing w:after="0"/>
              <w:rPr>
                <w:sz w:val="20"/>
                <w:szCs w:val="20"/>
                <w:color w:val="auto"/>
              </w:rPr>
            </w:pPr>
            <w:r>
              <w:rPr>
                <w:rFonts w:ascii="Arial" w:cs="Arial" w:eastAsia="Arial" w:hAnsi="Arial"/>
                <w:sz w:val="14"/>
                <w:szCs w:val="14"/>
                <w:color w:val="auto"/>
              </w:rPr>
              <w:t>Andrew Liveris</w:t>
            </w:r>
            <w:r>
              <w:rPr>
                <w:rFonts w:ascii="Arial" w:cs="Arial" w:eastAsia="Arial" w:hAnsi="Arial"/>
                <w:sz w:val="17"/>
                <w:szCs w:val="17"/>
                <w:color w:val="auto"/>
                <w:vertAlign w:val="superscript"/>
              </w:rPr>
              <w:t>*</w:t>
            </w:r>
          </w:p>
        </w:tc>
        <w:tc>
          <w:tcPr>
            <w:tcW w:w="920" w:type="dxa"/>
            <w:vAlign w:val="bottom"/>
            <w:shd w:val="clear" w:color="auto" w:fill="F7F7F7"/>
          </w:tcPr>
          <w:p>
            <w:pPr>
              <w:jc w:val="center"/>
              <w:ind w:left="409"/>
              <w:spacing w:after="0"/>
              <w:rPr>
                <w:sz w:val="20"/>
                <w:szCs w:val="20"/>
                <w:color w:val="auto"/>
              </w:rPr>
            </w:pPr>
            <w:r>
              <w:rPr>
                <w:rFonts w:ascii="Arial" w:cs="Arial" w:eastAsia="Arial" w:hAnsi="Arial"/>
                <w:sz w:val="14"/>
                <w:szCs w:val="14"/>
                <w:color w:val="auto"/>
              </w:rPr>
              <w:t>68</w:t>
            </w:r>
          </w:p>
        </w:tc>
        <w:tc>
          <w:tcPr>
            <w:tcW w:w="700" w:type="dxa"/>
            <w:vAlign w:val="bottom"/>
            <w:shd w:val="clear" w:color="auto" w:fill="F7F7F7"/>
          </w:tcPr>
          <w:p>
            <w:pPr>
              <w:jc w:val="center"/>
              <w:spacing w:after="0"/>
              <w:rPr>
                <w:sz w:val="20"/>
                <w:szCs w:val="20"/>
                <w:color w:val="auto"/>
              </w:rPr>
            </w:pPr>
            <w:r>
              <w:rPr>
                <w:rFonts w:ascii="Arial" w:cs="Arial" w:eastAsia="Arial" w:hAnsi="Arial"/>
                <w:sz w:val="14"/>
                <w:szCs w:val="14"/>
                <w:color w:val="auto"/>
              </w:rPr>
              <w:t>2019</w:t>
            </w:r>
          </w:p>
        </w:tc>
        <w:tc>
          <w:tcPr>
            <w:tcW w:w="1640" w:type="dxa"/>
            <w:vAlign w:val="bottom"/>
            <w:shd w:val="clear" w:color="auto" w:fill="F7F7F7"/>
          </w:tcPr>
          <w:p>
            <w:pPr>
              <w:jc w:val="center"/>
              <w:ind w:right="890"/>
              <w:spacing w:after="0"/>
              <w:rPr>
                <w:sz w:val="20"/>
                <w:szCs w:val="20"/>
                <w:color w:val="auto"/>
              </w:rPr>
            </w:pPr>
            <w:r>
              <w:rPr>
                <w:rFonts w:ascii="Arial" w:cs="Arial" w:eastAsia="Arial" w:hAnsi="Arial"/>
                <w:sz w:val="14"/>
                <w:szCs w:val="14"/>
                <w:color w:val="auto"/>
              </w:rPr>
              <w:t>2022</w:t>
            </w:r>
          </w:p>
        </w:tc>
        <w:tc>
          <w:tcPr>
            <w:tcW w:w="880" w:type="dxa"/>
            <w:vAlign w:val="bottom"/>
            <w:shd w:val="clear" w:color="auto" w:fill="F7F7F7"/>
          </w:tcPr>
          <w:p>
            <w:pPr>
              <w:spacing w:after="0"/>
              <w:rPr>
                <w:sz w:val="24"/>
                <w:szCs w:val="24"/>
                <w:color w:val="auto"/>
              </w:rPr>
            </w:pPr>
          </w:p>
        </w:tc>
        <w:tc>
          <w:tcPr>
            <w:tcW w:w="1100" w:type="dxa"/>
            <w:vAlign w:val="bottom"/>
            <w:shd w:val="clear" w:color="auto" w:fill="F7F7F7"/>
          </w:tcPr>
          <w:p>
            <w:pPr>
              <w:jc w:val="center"/>
              <w:spacing w:after="0"/>
              <w:rPr>
                <w:sz w:val="20"/>
                <w:szCs w:val="20"/>
                <w:color w:val="auto"/>
              </w:rPr>
            </w:pPr>
            <w:r>
              <w:rPr>
                <w:rFonts w:ascii="Arial" w:cs="Arial" w:eastAsia="Arial" w:hAnsi="Arial"/>
                <w:sz w:val="14"/>
                <w:szCs w:val="14"/>
                <w:color w:val="auto"/>
              </w:rPr>
              <w:t>Chair</w:t>
            </w:r>
          </w:p>
        </w:tc>
        <w:tc>
          <w:tcPr>
            <w:tcW w:w="940" w:type="dxa"/>
            <w:vAlign w:val="bottom"/>
            <w:shd w:val="clear" w:color="auto" w:fill="F7F7F7"/>
          </w:tcPr>
          <w:p>
            <w:pPr>
              <w:spacing w:after="0"/>
              <w:rPr>
                <w:sz w:val="24"/>
                <w:szCs w:val="24"/>
                <w:color w:val="auto"/>
              </w:rPr>
            </w:pPr>
          </w:p>
        </w:tc>
        <w:tc>
          <w:tcPr>
            <w:tcW w:w="980" w:type="dxa"/>
            <w:vAlign w:val="bottom"/>
            <w:shd w:val="clear" w:color="auto" w:fill="F7F7F7"/>
          </w:tcPr>
          <w:p>
            <w:pPr>
              <w:jc w:val="center"/>
              <w:ind w:right="14"/>
              <w:spacing w:after="0"/>
              <w:rPr>
                <w:sz w:val="20"/>
                <w:szCs w:val="20"/>
                <w:color w:val="auto"/>
              </w:rPr>
            </w:pPr>
            <w:r>
              <w:rPr>
                <w:rFonts w:ascii="Arial" w:cs="Arial" w:eastAsia="Arial" w:hAnsi="Arial"/>
                <w:sz w:val="14"/>
                <w:szCs w:val="14"/>
                <w:color w:val="auto"/>
              </w:rPr>
              <w:t>Chair</w:t>
            </w:r>
          </w:p>
        </w:tc>
      </w:tr>
      <w:tr>
        <w:trPr>
          <w:trHeight w:val="81"/>
        </w:trPr>
        <w:tc>
          <w:tcPr>
            <w:tcW w:w="2220" w:type="dxa"/>
            <w:vAlign w:val="bottom"/>
            <w:tcBorders>
              <w:bottom w:val="single" w:sz="8" w:color="auto"/>
            </w:tcBorders>
            <w:shd w:val="clear" w:color="auto" w:fill="F7F7F7"/>
          </w:tcPr>
          <w:p>
            <w:pPr>
              <w:spacing w:after="0"/>
              <w:rPr>
                <w:sz w:val="7"/>
                <w:szCs w:val="7"/>
                <w:color w:val="auto"/>
              </w:rPr>
            </w:pPr>
          </w:p>
        </w:tc>
        <w:tc>
          <w:tcPr>
            <w:tcW w:w="920" w:type="dxa"/>
            <w:vAlign w:val="bottom"/>
            <w:tcBorders>
              <w:bottom w:val="single" w:sz="8" w:color="auto"/>
            </w:tcBorders>
            <w:shd w:val="clear" w:color="auto" w:fill="F7F7F7"/>
          </w:tcPr>
          <w:p>
            <w:pPr>
              <w:spacing w:after="0"/>
              <w:rPr>
                <w:sz w:val="7"/>
                <w:szCs w:val="7"/>
                <w:color w:val="auto"/>
              </w:rPr>
            </w:pPr>
          </w:p>
        </w:tc>
        <w:tc>
          <w:tcPr>
            <w:tcW w:w="700" w:type="dxa"/>
            <w:vAlign w:val="bottom"/>
            <w:tcBorders>
              <w:bottom w:val="single" w:sz="8" w:color="auto"/>
            </w:tcBorders>
            <w:shd w:val="clear" w:color="auto" w:fill="F7F7F7"/>
          </w:tcPr>
          <w:p>
            <w:pPr>
              <w:spacing w:after="0"/>
              <w:rPr>
                <w:sz w:val="7"/>
                <w:szCs w:val="7"/>
                <w:color w:val="auto"/>
              </w:rPr>
            </w:pPr>
          </w:p>
        </w:tc>
        <w:tc>
          <w:tcPr>
            <w:tcW w:w="1640" w:type="dxa"/>
            <w:vAlign w:val="bottom"/>
            <w:tcBorders>
              <w:bottom w:val="single" w:sz="8" w:color="auto"/>
            </w:tcBorders>
            <w:shd w:val="clear" w:color="auto" w:fill="F7F7F7"/>
          </w:tcPr>
          <w:p>
            <w:pPr>
              <w:spacing w:after="0"/>
              <w:rPr>
                <w:sz w:val="7"/>
                <w:szCs w:val="7"/>
                <w:color w:val="auto"/>
              </w:rPr>
            </w:pPr>
          </w:p>
        </w:tc>
        <w:tc>
          <w:tcPr>
            <w:tcW w:w="880" w:type="dxa"/>
            <w:vAlign w:val="bottom"/>
            <w:tcBorders>
              <w:bottom w:val="single" w:sz="8" w:color="auto"/>
            </w:tcBorders>
            <w:shd w:val="clear" w:color="auto" w:fill="F7F7F7"/>
          </w:tcPr>
          <w:p>
            <w:pPr>
              <w:spacing w:after="0"/>
              <w:rPr>
                <w:sz w:val="7"/>
                <w:szCs w:val="7"/>
                <w:color w:val="auto"/>
              </w:rPr>
            </w:pPr>
          </w:p>
        </w:tc>
        <w:tc>
          <w:tcPr>
            <w:tcW w:w="1100" w:type="dxa"/>
            <w:vAlign w:val="bottom"/>
            <w:tcBorders>
              <w:bottom w:val="single" w:sz="8" w:color="auto"/>
            </w:tcBorders>
            <w:shd w:val="clear" w:color="auto" w:fill="F7F7F7"/>
          </w:tcPr>
          <w:p>
            <w:pPr>
              <w:spacing w:after="0"/>
              <w:rPr>
                <w:sz w:val="7"/>
                <w:szCs w:val="7"/>
                <w:color w:val="auto"/>
              </w:rPr>
            </w:pPr>
          </w:p>
        </w:tc>
        <w:tc>
          <w:tcPr>
            <w:tcW w:w="940" w:type="dxa"/>
            <w:vAlign w:val="bottom"/>
            <w:tcBorders>
              <w:bottom w:val="single" w:sz="8" w:color="auto"/>
            </w:tcBorders>
            <w:shd w:val="clear" w:color="auto" w:fill="F7F7F7"/>
          </w:tcPr>
          <w:p>
            <w:pPr>
              <w:spacing w:after="0"/>
              <w:rPr>
                <w:sz w:val="7"/>
                <w:szCs w:val="7"/>
                <w:color w:val="auto"/>
              </w:rPr>
            </w:pPr>
          </w:p>
        </w:tc>
        <w:tc>
          <w:tcPr>
            <w:tcW w:w="980" w:type="dxa"/>
            <w:vAlign w:val="bottom"/>
            <w:tcBorders>
              <w:bottom w:val="single" w:sz="8" w:color="auto"/>
            </w:tcBorders>
            <w:shd w:val="clear" w:color="auto" w:fill="F7F7F7"/>
          </w:tcPr>
          <w:p>
            <w:pPr>
              <w:spacing w:after="0"/>
              <w:rPr>
                <w:sz w:val="7"/>
                <w:szCs w:val="7"/>
                <w:color w:val="auto"/>
              </w:rPr>
            </w:pPr>
          </w:p>
        </w:tc>
      </w:tr>
      <w:tr>
        <w:trPr>
          <w:trHeight w:val="319"/>
        </w:trPr>
        <w:tc>
          <w:tcPr>
            <w:tcW w:w="2220" w:type="dxa"/>
            <w:vAlign w:val="bottom"/>
          </w:tcPr>
          <w:p>
            <w:pPr>
              <w:ind w:left="120"/>
              <w:spacing w:after="0"/>
              <w:rPr>
                <w:sz w:val="20"/>
                <w:szCs w:val="20"/>
                <w:color w:val="auto"/>
              </w:rPr>
            </w:pPr>
            <w:r>
              <w:rPr>
                <w:rFonts w:ascii="Arial" w:cs="Arial" w:eastAsia="Arial" w:hAnsi="Arial"/>
                <w:sz w:val="14"/>
                <w:szCs w:val="14"/>
                <w:color w:val="auto"/>
              </w:rPr>
              <w:t>Nichelle Maynard-Elliott</w:t>
            </w:r>
          </w:p>
        </w:tc>
        <w:tc>
          <w:tcPr>
            <w:tcW w:w="920" w:type="dxa"/>
            <w:vAlign w:val="bottom"/>
          </w:tcPr>
          <w:p>
            <w:pPr>
              <w:jc w:val="center"/>
              <w:ind w:left="409"/>
              <w:spacing w:after="0"/>
              <w:rPr>
                <w:sz w:val="20"/>
                <w:szCs w:val="20"/>
                <w:color w:val="auto"/>
              </w:rPr>
            </w:pPr>
            <w:r>
              <w:rPr>
                <w:rFonts w:ascii="Arial" w:cs="Arial" w:eastAsia="Arial" w:hAnsi="Arial"/>
                <w:sz w:val="14"/>
                <w:szCs w:val="14"/>
                <w:color w:val="auto"/>
              </w:rPr>
              <w:t>53</w:t>
            </w:r>
          </w:p>
        </w:tc>
        <w:tc>
          <w:tcPr>
            <w:tcW w:w="700" w:type="dxa"/>
            <w:vAlign w:val="bottom"/>
          </w:tcPr>
          <w:p>
            <w:pPr>
              <w:jc w:val="center"/>
              <w:spacing w:after="0"/>
              <w:rPr>
                <w:sz w:val="20"/>
                <w:szCs w:val="20"/>
                <w:color w:val="auto"/>
              </w:rPr>
            </w:pPr>
            <w:r>
              <w:rPr>
                <w:rFonts w:ascii="Arial" w:cs="Arial" w:eastAsia="Arial" w:hAnsi="Arial"/>
                <w:sz w:val="14"/>
                <w:szCs w:val="14"/>
                <w:color w:val="auto"/>
              </w:rPr>
              <w:t>2021</w:t>
            </w:r>
          </w:p>
        </w:tc>
        <w:tc>
          <w:tcPr>
            <w:tcW w:w="1640" w:type="dxa"/>
            <w:vAlign w:val="bottom"/>
          </w:tcPr>
          <w:p>
            <w:pPr>
              <w:jc w:val="center"/>
              <w:ind w:right="890"/>
              <w:spacing w:after="0"/>
              <w:rPr>
                <w:sz w:val="20"/>
                <w:szCs w:val="20"/>
                <w:color w:val="auto"/>
              </w:rPr>
            </w:pPr>
            <w:r>
              <w:rPr>
                <w:rFonts w:ascii="Arial" w:cs="Arial" w:eastAsia="Arial" w:hAnsi="Arial"/>
                <w:sz w:val="14"/>
                <w:szCs w:val="14"/>
                <w:color w:val="auto"/>
              </w:rPr>
              <w:t>2022</w:t>
            </w: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34"/>
        </w:trPr>
        <w:tc>
          <w:tcPr>
            <w:tcW w:w="2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r>
      <w:tr>
        <w:trPr>
          <w:trHeight w:val="319"/>
        </w:trPr>
        <w:tc>
          <w:tcPr>
            <w:tcW w:w="2220" w:type="dxa"/>
            <w:vAlign w:val="bottom"/>
            <w:shd w:val="clear" w:color="auto" w:fill="F7F7F7"/>
          </w:tcPr>
          <w:p>
            <w:pPr>
              <w:ind w:left="120"/>
              <w:spacing w:after="0"/>
              <w:rPr>
                <w:sz w:val="20"/>
                <w:szCs w:val="20"/>
                <w:color w:val="auto"/>
              </w:rPr>
            </w:pPr>
            <w:r>
              <w:rPr>
                <w:rFonts w:ascii="Arial" w:cs="Arial" w:eastAsia="Arial" w:hAnsi="Arial"/>
                <w:sz w:val="14"/>
                <w:szCs w:val="14"/>
                <w:color w:val="auto"/>
              </w:rPr>
              <w:t>Tony Posawatz</w:t>
            </w:r>
          </w:p>
        </w:tc>
        <w:tc>
          <w:tcPr>
            <w:tcW w:w="920" w:type="dxa"/>
            <w:vAlign w:val="bottom"/>
            <w:shd w:val="clear" w:color="auto" w:fill="F7F7F7"/>
          </w:tcPr>
          <w:p>
            <w:pPr>
              <w:jc w:val="center"/>
              <w:ind w:left="409"/>
              <w:spacing w:after="0"/>
              <w:rPr>
                <w:sz w:val="20"/>
                <w:szCs w:val="20"/>
                <w:color w:val="auto"/>
              </w:rPr>
            </w:pPr>
            <w:r>
              <w:rPr>
                <w:rFonts w:ascii="Arial" w:cs="Arial" w:eastAsia="Arial" w:hAnsi="Arial"/>
                <w:sz w:val="14"/>
                <w:szCs w:val="14"/>
                <w:color w:val="auto"/>
              </w:rPr>
              <w:t>62</w:t>
            </w:r>
          </w:p>
        </w:tc>
        <w:tc>
          <w:tcPr>
            <w:tcW w:w="700" w:type="dxa"/>
            <w:vAlign w:val="bottom"/>
            <w:shd w:val="clear" w:color="auto" w:fill="F7F7F7"/>
          </w:tcPr>
          <w:p>
            <w:pPr>
              <w:jc w:val="center"/>
              <w:spacing w:after="0"/>
              <w:rPr>
                <w:sz w:val="20"/>
                <w:szCs w:val="20"/>
                <w:color w:val="auto"/>
              </w:rPr>
            </w:pPr>
            <w:r>
              <w:rPr>
                <w:rFonts w:ascii="Arial" w:cs="Arial" w:eastAsia="Arial" w:hAnsi="Arial"/>
                <w:sz w:val="14"/>
                <w:szCs w:val="14"/>
                <w:color w:val="auto"/>
              </w:rPr>
              <w:t>2019</w:t>
            </w:r>
          </w:p>
        </w:tc>
        <w:tc>
          <w:tcPr>
            <w:tcW w:w="1640" w:type="dxa"/>
            <w:vAlign w:val="bottom"/>
            <w:shd w:val="clear" w:color="auto" w:fill="F7F7F7"/>
          </w:tcPr>
          <w:p>
            <w:pPr>
              <w:jc w:val="center"/>
              <w:ind w:right="890"/>
              <w:spacing w:after="0"/>
              <w:rPr>
                <w:sz w:val="20"/>
                <w:szCs w:val="20"/>
                <w:color w:val="auto"/>
              </w:rPr>
            </w:pPr>
            <w:r>
              <w:rPr>
                <w:rFonts w:ascii="Arial" w:cs="Arial" w:eastAsia="Arial" w:hAnsi="Arial"/>
                <w:sz w:val="14"/>
                <w:szCs w:val="14"/>
                <w:color w:val="auto"/>
              </w:rPr>
              <w:t>2022</w:t>
            </w:r>
          </w:p>
        </w:tc>
        <w:tc>
          <w:tcPr>
            <w:tcW w:w="880" w:type="dxa"/>
            <w:vAlign w:val="bottom"/>
            <w:shd w:val="clear" w:color="auto" w:fill="F7F7F7"/>
          </w:tcPr>
          <w:p>
            <w:pPr>
              <w:spacing w:after="0"/>
              <w:rPr>
                <w:sz w:val="24"/>
                <w:szCs w:val="24"/>
                <w:color w:val="auto"/>
              </w:rPr>
            </w:pPr>
          </w:p>
        </w:tc>
        <w:tc>
          <w:tcPr>
            <w:tcW w:w="1100" w:type="dxa"/>
            <w:vAlign w:val="bottom"/>
            <w:shd w:val="clear" w:color="auto" w:fill="F7F7F7"/>
          </w:tcPr>
          <w:p>
            <w:pPr>
              <w:spacing w:after="0"/>
              <w:rPr>
                <w:sz w:val="24"/>
                <w:szCs w:val="24"/>
                <w:color w:val="auto"/>
              </w:rPr>
            </w:pPr>
          </w:p>
        </w:tc>
        <w:tc>
          <w:tcPr>
            <w:tcW w:w="940" w:type="dxa"/>
            <w:vAlign w:val="bottom"/>
            <w:shd w:val="clear" w:color="auto" w:fill="F7F7F7"/>
          </w:tcPr>
          <w:p>
            <w:pPr>
              <w:spacing w:after="0"/>
              <w:rPr>
                <w:sz w:val="24"/>
                <w:szCs w:val="24"/>
                <w:color w:val="auto"/>
              </w:rPr>
            </w:pPr>
          </w:p>
        </w:tc>
        <w:tc>
          <w:tcPr>
            <w:tcW w:w="980" w:type="dxa"/>
            <w:vAlign w:val="bottom"/>
            <w:shd w:val="clear" w:color="auto" w:fill="F7F7F7"/>
          </w:tcPr>
          <w:p>
            <w:pPr>
              <w:spacing w:after="0"/>
              <w:rPr>
                <w:sz w:val="24"/>
                <w:szCs w:val="24"/>
                <w:color w:val="auto"/>
              </w:rPr>
            </w:pPr>
          </w:p>
        </w:tc>
      </w:tr>
      <w:tr>
        <w:trPr>
          <w:trHeight w:val="133"/>
        </w:trPr>
        <w:tc>
          <w:tcPr>
            <w:tcW w:w="2220" w:type="dxa"/>
            <w:vAlign w:val="bottom"/>
            <w:tcBorders>
              <w:bottom w:val="single" w:sz="8" w:color="auto"/>
            </w:tcBorders>
            <w:shd w:val="clear" w:color="auto" w:fill="F7F7F7"/>
          </w:tcPr>
          <w:p>
            <w:pPr>
              <w:spacing w:after="0"/>
              <w:rPr>
                <w:sz w:val="11"/>
                <w:szCs w:val="11"/>
                <w:color w:val="auto"/>
              </w:rPr>
            </w:pPr>
          </w:p>
        </w:tc>
        <w:tc>
          <w:tcPr>
            <w:tcW w:w="920" w:type="dxa"/>
            <w:vAlign w:val="bottom"/>
            <w:tcBorders>
              <w:bottom w:val="single" w:sz="8" w:color="auto"/>
            </w:tcBorders>
            <w:shd w:val="clear" w:color="auto" w:fill="F7F7F7"/>
          </w:tcPr>
          <w:p>
            <w:pPr>
              <w:spacing w:after="0"/>
              <w:rPr>
                <w:sz w:val="11"/>
                <w:szCs w:val="11"/>
                <w:color w:val="auto"/>
              </w:rPr>
            </w:pPr>
          </w:p>
        </w:tc>
        <w:tc>
          <w:tcPr>
            <w:tcW w:w="700" w:type="dxa"/>
            <w:vAlign w:val="bottom"/>
            <w:tcBorders>
              <w:bottom w:val="single" w:sz="8" w:color="auto"/>
            </w:tcBorders>
            <w:shd w:val="clear" w:color="auto" w:fill="F7F7F7"/>
          </w:tcPr>
          <w:p>
            <w:pPr>
              <w:spacing w:after="0"/>
              <w:rPr>
                <w:sz w:val="11"/>
                <w:szCs w:val="11"/>
                <w:color w:val="auto"/>
              </w:rPr>
            </w:pPr>
          </w:p>
        </w:tc>
        <w:tc>
          <w:tcPr>
            <w:tcW w:w="1640" w:type="dxa"/>
            <w:vAlign w:val="bottom"/>
            <w:tcBorders>
              <w:bottom w:val="single" w:sz="8" w:color="auto"/>
            </w:tcBorders>
            <w:shd w:val="clear" w:color="auto" w:fill="F7F7F7"/>
          </w:tcPr>
          <w:p>
            <w:pPr>
              <w:spacing w:after="0"/>
              <w:rPr>
                <w:sz w:val="11"/>
                <w:szCs w:val="11"/>
                <w:color w:val="auto"/>
              </w:rPr>
            </w:pPr>
          </w:p>
        </w:tc>
        <w:tc>
          <w:tcPr>
            <w:tcW w:w="880" w:type="dxa"/>
            <w:vAlign w:val="bottom"/>
            <w:tcBorders>
              <w:bottom w:val="single" w:sz="8" w:color="auto"/>
            </w:tcBorders>
            <w:shd w:val="clear" w:color="auto" w:fill="F7F7F7"/>
          </w:tcPr>
          <w:p>
            <w:pPr>
              <w:spacing w:after="0"/>
              <w:rPr>
                <w:sz w:val="11"/>
                <w:szCs w:val="11"/>
                <w:color w:val="auto"/>
              </w:rPr>
            </w:pPr>
          </w:p>
        </w:tc>
        <w:tc>
          <w:tcPr>
            <w:tcW w:w="1100" w:type="dxa"/>
            <w:vAlign w:val="bottom"/>
            <w:tcBorders>
              <w:bottom w:val="single" w:sz="8" w:color="auto"/>
            </w:tcBorders>
            <w:shd w:val="clear" w:color="auto" w:fill="F7F7F7"/>
          </w:tcPr>
          <w:p>
            <w:pPr>
              <w:spacing w:after="0"/>
              <w:rPr>
                <w:sz w:val="11"/>
                <w:szCs w:val="11"/>
                <w:color w:val="auto"/>
              </w:rPr>
            </w:pPr>
          </w:p>
        </w:tc>
        <w:tc>
          <w:tcPr>
            <w:tcW w:w="940" w:type="dxa"/>
            <w:vAlign w:val="bottom"/>
            <w:tcBorders>
              <w:bottom w:val="single" w:sz="8" w:color="auto"/>
            </w:tcBorders>
            <w:shd w:val="clear" w:color="auto" w:fill="F7F7F7"/>
          </w:tcPr>
          <w:p>
            <w:pPr>
              <w:spacing w:after="0"/>
              <w:rPr>
                <w:sz w:val="11"/>
                <w:szCs w:val="11"/>
                <w:color w:val="auto"/>
              </w:rPr>
            </w:pPr>
          </w:p>
        </w:tc>
        <w:tc>
          <w:tcPr>
            <w:tcW w:w="980" w:type="dxa"/>
            <w:vAlign w:val="bottom"/>
            <w:tcBorders>
              <w:bottom w:val="single" w:sz="8" w:color="auto"/>
            </w:tcBorders>
            <w:shd w:val="clear" w:color="auto" w:fill="F7F7F7"/>
          </w:tcPr>
          <w:p>
            <w:pPr>
              <w:spacing w:after="0"/>
              <w:rPr>
                <w:sz w:val="11"/>
                <w:szCs w:val="11"/>
                <w:color w:val="auto"/>
              </w:rPr>
            </w:pPr>
          </w:p>
        </w:tc>
      </w:tr>
      <w:tr>
        <w:trPr>
          <w:trHeight w:val="319"/>
        </w:trPr>
        <w:tc>
          <w:tcPr>
            <w:tcW w:w="2220" w:type="dxa"/>
            <w:vAlign w:val="bottom"/>
          </w:tcPr>
          <w:p>
            <w:pPr>
              <w:ind w:left="120"/>
              <w:spacing w:after="0"/>
              <w:rPr>
                <w:sz w:val="20"/>
                <w:szCs w:val="20"/>
                <w:color w:val="auto"/>
              </w:rPr>
            </w:pPr>
            <w:r>
              <w:rPr>
                <w:rFonts w:ascii="Arial" w:cs="Arial" w:eastAsia="Arial" w:hAnsi="Arial"/>
                <w:sz w:val="14"/>
                <w:szCs w:val="14"/>
                <w:color w:val="auto"/>
              </w:rPr>
              <w:t>Peter Rawlinson</w:t>
            </w:r>
          </w:p>
        </w:tc>
        <w:tc>
          <w:tcPr>
            <w:tcW w:w="920" w:type="dxa"/>
            <w:vAlign w:val="bottom"/>
          </w:tcPr>
          <w:p>
            <w:pPr>
              <w:jc w:val="center"/>
              <w:ind w:left="409"/>
              <w:spacing w:after="0"/>
              <w:rPr>
                <w:sz w:val="20"/>
                <w:szCs w:val="20"/>
                <w:color w:val="auto"/>
              </w:rPr>
            </w:pPr>
            <w:r>
              <w:rPr>
                <w:rFonts w:ascii="Arial" w:cs="Arial" w:eastAsia="Arial" w:hAnsi="Arial"/>
                <w:sz w:val="14"/>
                <w:szCs w:val="14"/>
                <w:color w:val="auto"/>
              </w:rPr>
              <w:t>64</w:t>
            </w:r>
          </w:p>
        </w:tc>
        <w:tc>
          <w:tcPr>
            <w:tcW w:w="700" w:type="dxa"/>
            <w:vAlign w:val="bottom"/>
          </w:tcPr>
          <w:p>
            <w:pPr>
              <w:jc w:val="center"/>
              <w:spacing w:after="0"/>
              <w:rPr>
                <w:sz w:val="20"/>
                <w:szCs w:val="20"/>
                <w:color w:val="auto"/>
              </w:rPr>
            </w:pPr>
            <w:r>
              <w:rPr>
                <w:rFonts w:ascii="Arial" w:cs="Arial" w:eastAsia="Arial" w:hAnsi="Arial"/>
                <w:sz w:val="14"/>
                <w:szCs w:val="14"/>
                <w:color w:val="auto"/>
              </w:rPr>
              <w:t>2019</w:t>
            </w:r>
          </w:p>
        </w:tc>
        <w:tc>
          <w:tcPr>
            <w:tcW w:w="1640" w:type="dxa"/>
            <w:vAlign w:val="bottom"/>
          </w:tcPr>
          <w:p>
            <w:pPr>
              <w:jc w:val="center"/>
              <w:ind w:right="890"/>
              <w:spacing w:after="0"/>
              <w:rPr>
                <w:sz w:val="20"/>
                <w:szCs w:val="20"/>
                <w:color w:val="auto"/>
              </w:rPr>
            </w:pPr>
            <w:r>
              <w:rPr>
                <w:rFonts w:ascii="Arial" w:cs="Arial" w:eastAsia="Arial" w:hAnsi="Arial"/>
                <w:sz w:val="14"/>
                <w:szCs w:val="14"/>
                <w:color w:val="auto"/>
              </w:rPr>
              <w:t>2022</w:t>
            </w: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33"/>
        </w:trPr>
        <w:tc>
          <w:tcPr>
            <w:tcW w:w="2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r>
      <w:tr>
        <w:trPr>
          <w:trHeight w:val="319"/>
        </w:trPr>
        <w:tc>
          <w:tcPr>
            <w:tcW w:w="2220" w:type="dxa"/>
            <w:vAlign w:val="bottom"/>
            <w:shd w:val="clear" w:color="auto" w:fill="F7F7F7"/>
          </w:tcPr>
          <w:p>
            <w:pPr>
              <w:ind w:left="120"/>
              <w:spacing w:after="0"/>
              <w:rPr>
                <w:sz w:val="20"/>
                <w:szCs w:val="20"/>
                <w:color w:val="auto"/>
              </w:rPr>
            </w:pPr>
            <w:r>
              <w:rPr>
                <w:rFonts w:ascii="Arial" w:cs="Arial" w:eastAsia="Arial" w:hAnsi="Arial"/>
                <w:sz w:val="14"/>
                <w:szCs w:val="14"/>
                <w:color w:val="auto"/>
              </w:rPr>
              <w:t>Janet S. Wong</w:t>
            </w:r>
          </w:p>
        </w:tc>
        <w:tc>
          <w:tcPr>
            <w:tcW w:w="920" w:type="dxa"/>
            <w:vAlign w:val="bottom"/>
            <w:shd w:val="clear" w:color="auto" w:fill="F7F7F7"/>
          </w:tcPr>
          <w:p>
            <w:pPr>
              <w:jc w:val="center"/>
              <w:ind w:left="409"/>
              <w:spacing w:after="0"/>
              <w:rPr>
                <w:sz w:val="20"/>
                <w:szCs w:val="20"/>
                <w:color w:val="auto"/>
              </w:rPr>
            </w:pPr>
            <w:r>
              <w:rPr>
                <w:rFonts w:ascii="Arial" w:cs="Arial" w:eastAsia="Arial" w:hAnsi="Arial"/>
                <w:sz w:val="14"/>
                <w:szCs w:val="14"/>
                <w:color w:val="auto"/>
              </w:rPr>
              <w:t>63</w:t>
            </w:r>
          </w:p>
        </w:tc>
        <w:tc>
          <w:tcPr>
            <w:tcW w:w="700" w:type="dxa"/>
            <w:vAlign w:val="bottom"/>
            <w:shd w:val="clear" w:color="auto" w:fill="F7F7F7"/>
          </w:tcPr>
          <w:p>
            <w:pPr>
              <w:jc w:val="center"/>
              <w:spacing w:after="0"/>
              <w:rPr>
                <w:sz w:val="20"/>
                <w:szCs w:val="20"/>
                <w:color w:val="auto"/>
              </w:rPr>
            </w:pPr>
            <w:r>
              <w:rPr>
                <w:rFonts w:ascii="Arial" w:cs="Arial" w:eastAsia="Arial" w:hAnsi="Arial"/>
                <w:sz w:val="14"/>
                <w:szCs w:val="14"/>
                <w:color w:val="auto"/>
              </w:rPr>
              <w:t>2021</w:t>
            </w:r>
          </w:p>
        </w:tc>
        <w:tc>
          <w:tcPr>
            <w:tcW w:w="1640" w:type="dxa"/>
            <w:vAlign w:val="bottom"/>
            <w:shd w:val="clear" w:color="auto" w:fill="F7F7F7"/>
          </w:tcPr>
          <w:p>
            <w:pPr>
              <w:jc w:val="center"/>
              <w:ind w:right="890"/>
              <w:spacing w:after="0"/>
              <w:rPr>
                <w:sz w:val="20"/>
                <w:szCs w:val="20"/>
                <w:color w:val="auto"/>
              </w:rPr>
            </w:pPr>
            <w:r>
              <w:rPr>
                <w:rFonts w:ascii="Arial" w:cs="Arial" w:eastAsia="Arial" w:hAnsi="Arial"/>
                <w:sz w:val="14"/>
                <w:szCs w:val="14"/>
                <w:color w:val="auto"/>
              </w:rPr>
              <w:t>2022</w:t>
            </w:r>
          </w:p>
        </w:tc>
        <w:tc>
          <w:tcPr>
            <w:tcW w:w="880" w:type="dxa"/>
            <w:vAlign w:val="bottom"/>
            <w:shd w:val="clear" w:color="auto" w:fill="F7F7F7"/>
          </w:tcPr>
          <w:p>
            <w:pPr>
              <w:jc w:val="center"/>
              <w:spacing w:after="0"/>
              <w:rPr>
                <w:sz w:val="20"/>
                <w:szCs w:val="20"/>
                <w:color w:val="auto"/>
              </w:rPr>
            </w:pPr>
            <w:r>
              <w:rPr>
                <w:rFonts w:ascii="Arial" w:cs="Arial" w:eastAsia="Arial" w:hAnsi="Arial"/>
                <w:sz w:val="14"/>
                <w:szCs w:val="14"/>
                <w:color w:val="auto"/>
              </w:rPr>
              <w:t>Chair</w:t>
            </w:r>
          </w:p>
        </w:tc>
        <w:tc>
          <w:tcPr>
            <w:tcW w:w="1100" w:type="dxa"/>
            <w:vAlign w:val="bottom"/>
            <w:shd w:val="clear" w:color="auto" w:fill="F7F7F7"/>
          </w:tcPr>
          <w:p>
            <w:pPr>
              <w:spacing w:after="0"/>
              <w:rPr>
                <w:sz w:val="24"/>
                <w:szCs w:val="24"/>
                <w:color w:val="auto"/>
              </w:rPr>
            </w:pPr>
          </w:p>
        </w:tc>
        <w:tc>
          <w:tcPr>
            <w:tcW w:w="940" w:type="dxa"/>
            <w:vAlign w:val="bottom"/>
            <w:shd w:val="clear" w:color="auto" w:fill="F7F7F7"/>
          </w:tcPr>
          <w:p>
            <w:pPr>
              <w:spacing w:after="0"/>
              <w:rPr>
                <w:sz w:val="24"/>
                <w:szCs w:val="24"/>
                <w:color w:val="auto"/>
              </w:rPr>
            </w:pPr>
          </w:p>
        </w:tc>
        <w:tc>
          <w:tcPr>
            <w:tcW w:w="980" w:type="dxa"/>
            <w:vAlign w:val="bottom"/>
            <w:shd w:val="clear" w:color="auto" w:fill="F7F7F7"/>
          </w:tcPr>
          <w:p>
            <w:pPr>
              <w:spacing w:after="0"/>
              <w:rPr>
                <w:sz w:val="24"/>
                <w:szCs w:val="24"/>
                <w:color w:val="auto"/>
              </w:rPr>
            </w:pPr>
          </w:p>
        </w:tc>
      </w:tr>
      <w:tr>
        <w:trPr>
          <w:trHeight w:val="133"/>
        </w:trPr>
        <w:tc>
          <w:tcPr>
            <w:tcW w:w="2220" w:type="dxa"/>
            <w:vAlign w:val="bottom"/>
            <w:tcBorders>
              <w:bottom w:val="single" w:sz="8" w:color="auto"/>
            </w:tcBorders>
            <w:shd w:val="clear" w:color="auto" w:fill="F7F7F7"/>
          </w:tcPr>
          <w:p>
            <w:pPr>
              <w:spacing w:after="0"/>
              <w:rPr>
                <w:sz w:val="11"/>
                <w:szCs w:val="11"/>
                <w:color w:val="auto"/>
              </w:rPr>
            </w:pPr>
          </w:p>
        </w:tc>
        <w:tc>
          <w:tcPr>
            <w:tcW w:w="920" w:type="dxa"/>
            <w:vAlign w:val="bottom"/>
            <w:tcBorders>
              <w:bottom w:val="single" w:sz="8" w:color="auto"/>
            </w:tcBorders>
            <w:shd w:val="clear" w:color="auto" w:fill="F7F7F7"/>
          </w:tcPr>
          <w:p>
            <w:pPr>
              <w:spacing w:after="0"/>
              <w:rPr>
                <w:sz w:val="11"/>
                <w:szCs w:val="11"/>
                <w:color w:val="auto"/>
              </w:rPr>
            </w:pPr>
          </w:p>
        </w:tc>
        <w:tc>
          <w:tcPr>
            <w:tcW w:w="700" w:type="dxa"/>
            <w:vAlign w:val="bottom"/>
            <w:tcBorders>
              <w:bottom w:val="single" w:sz="8" w:color="auto"/>
            </w:tcBorders>
            <w:shd w:val="clear" w:color="auto" w:fill="F7F7F7"/>
          </w:tcPr>
          <w:p>
            <w:pPr>
              <w:spacing w:after="0"/>
              <w:rPr>
                <w:sz w:val="11"/>
                <w:szCs w:val="11"/>
                <w:color w:val="auto"/>
              </w:rPr>
            </w:pPr>
          </w:p>
        </w:tc>
        <w:tc>
          <w:tcPr>
            <w:tcW w:w="1640" w:type="dxa"/>
            <w:vAlign w:val="bottom"/>
            <w:tcBorders>
              <w:bottom w:val="single" w:sz="8" w:color="auto"/>
            </w:tcBorders>
            <w:shd w:val="clear" w:color="auto" w:fill="F7F7F7"/>
          </w:tcPr>
          <w:p>
            <w:pPr>
              <w:spacing w:after="0"/>
              <w:rPr>
                <w:sz w:val="11"/>
                <w:szCs w:val="11"/>
                <w:color w:val="auto"/>
              </w:rPr>
            </w:pPr>
          </w:p>
        </w:tc>
        <w:tc>
          <w:tcPr>
            <w:tcW w:w="880" w:type="dxa"/>
            <w:vAlign w:val="bottom"/>
            <w:tcBorders>
              <w:bottom w:val="single" w:sz="8" w:color="auto"/>
            </w:tcBorders>
            <w:shd w:val="clear" w:color="auto" w:fill="F7F7F7"/>
          </w:tcPr>
          <w:p>
            <w:pPr>
              <w:spacing w:after="0"/>
              <w:rPr>
                <w:sz w:val="11"/>
                <w:szCs w:val="11"/>
                <w:color w:val="auto"/>
              </w:rPr>
            </w:pPr>
          </w:p>
        </w:tc>
        <w:tc>
          <w:tcPr>
            <w:tcW w:w="1100" w:type="dxa"/>
            <w:vAlign w:val="bottom"/>
            <w:tcBorders>
              <w:bottom w:val="single" w:sz="8" w:color="auto"/>
            </w:tcBorders>
            <w:shd w:val="clear" w:color="auto" w:fill="F7F7F7"/>
          </w:tcPr>
          <w:p>
            <w:pPr>
              <w:spacing w:after="0"/>
              <w:rPr>
                <w:sz w:val="11"/>
                <w:szCs w:val="11"/>
                <w:color w:val="auto"/>
              </w:rPr>
            </w:pPr>
          </w:p>
        </w:tc>
        <w:tc>
          <w:tcPr>
            <w:tcW w:w="940" w:type="dxa"/>
            <w:vAlign w:val="bottom"/>
            <w:tcBorders>
              <w:bottom w:val="single" w:sz="8" w:color="auto"/>
            </w:tcBorders>
            <w:shd w:val="clear" w:color="auto" w:fill="F7F7F7"/>
          </w:tcPr>
          <w:p>
            <w:pPr>
              <w:spacing w:after="0"/>
              <w:rPr>
                <w:sz w:val="11"/>
                <w:szCs w:val="11"/>
                <w:color w:val="auto"/>
              </w:rPr>
            </w:pPr>
          </w:p>
        </w:tc>
        <w:tc>
          <w:tcPr>
            <w:tcW w:w="980" w:type="dxa"/>
            <w:vAlign w:val="bottom"/>
            <w:tcBorders>
              <w:bottom w:val="single" w:sz="8" w:color="auto"/>
            </w:tcBorders>
            <w:shd w:val="clear" w:color="auto" w:fill="F7F7F7"/>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-2605405</wp:posOffset>
            </wp:positionV>
            <wp:extent cx="76835" cy="939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-2605405</wp:posOffset>
            </wp:positionV>
            <wp:extent cx="77470" cy="939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-2305050</wp:posOffset>
            </wp:positionV>
            <wp:extent cx="76835" cy="939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4143375</wp:posOffset>
            </wp:positionH>
            <wp:positionV relativeFrom="paragraph">
              <wp:posOffset>-2305050</wp:posOffset>
            </wp:positionV>
            <wp:extent cx="76835" cy="939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-2305050</wp:posOffset>
            </wp:positionV>
            <wp:extent cx="76835" cy="939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-2005330</wp:posOffset>
            </wp:positionV>
            <wp:extent cx="76835" cy="939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-2005330</wp:posOffset>
            </wp:positionV>
            <wp:extent cx="77470" cy="939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-1704975</wp:posOffset>
            </wp:positionV>
            <wp:extent cx="76835" cy="939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4143375</wp:posOffset>
            </wp:positionH>
            <wp:positionV relativeFrom="paragraph">
              <wp:posOffset>-1704975</wp:posOffset>
            </wp:positionV>
            <wp:extent cx="76835" cy="939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-1704975</wp:posOffset>
            </wp:positionV>
            <wp:extent cx="77470" cy="939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-1405255</wp:posOffset>
            </wp:positionV>
            <wp:extent cx="76835" cy="939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-1104900</wp:posOffset>
            </wp:positionV>
            <wp:extent cx="76835" cy="939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-1104900</wp:posOffset>
            </wp:positionV>
            <wp:extent cx="76835" cy="939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-805180</wp:posOffset>
            </wp:positionV>
            <wp:extent cx="76835" cy="939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-805180</wp:posOffset>
            </wp:positionV>
            <wp:extent cx="77470" cy="939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-805180</wp:posOffset>
            </wp:positionV>
            <wp:extent cx="77470" cy="939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-504825</wp:posOffset>
            </wp:positionV>
            <wp:extent cx="77470" cy="939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-205105</wp:posOffset>
            </wp:positionV>
            <wp:extent cx="76835" cy="939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93980"/>
                    </a:xfrm>
                    <a:prstGeom prst="rect">
                      <a:avLst/>
                    </a:prstGeom>
                    <a:noFill/>
                  </pic:spPr>
                </pic:pic>
              </a:graphicData>
            </a:graphic>
          </wp:anchor>
        </w:drawing>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1"/>
          <w:szCs w:val="11"/>
          <w:color w:val="auto"/>
        </w:rPr>
        <w:t>*Chairman of the Board</w:t>
      </w:r>
    </w:p>
    <w:p>
      <w:pPr>
        <w:sectPr>
          <w:pgSz w:w="11900" w:h="16838" w:orient="portrait"/>
          <w:cols w:equalWidth="0" w:num="1">
            <w:col w:w="10040"/>
          </w:cols>
          <w:pgMar w:left="580" w:top="132"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2"/>
          <w:szCs w:val="12"/>
          <w:b w:val="1"/>
          <w:bCs w:val="1"/>
          <w:color w:val="auto"/>
        </w:rPr>
        <w:t>10</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110490</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60" w:right="680"/>
        <w:spacing w:after="0" w:line="271" w:lineRule="auto"/>
        <w:rPr>
          <w:sz w:val="20"/>
          <w:szCs w:val="20"/>
          <w:color w:val="auto"/>
        </w:rPr>
      </w:pPr>
      <w:r>
        <w:rPr>
          <w:rFonts w:ascii="Arial" w:cs="Arial" w:eastAsia="Arial" w:hAnsi="Arial"/>
          <w:sz w:val="16"/>
          <w:szCs w:val="16"/>
          <w:color w:val="auto"/>
        </w:rPr>
        <w:t>A brief biography of each nominee and each continuing director is also set forth below, which includes information, as of the date of this Proxy Statement, regarding specific and particular experience, qualifications, attributes or skills of each nominee that led the Nominating and Corporate Governance Committee and the Board to believe that the director should serve on the Board: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248920</wp:posOffset>
            </wp:positionV>
            <wp:extent cx="59664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960"/>
        <w:spacing w:after="0"/>
        <w:rPr>
          <w:sz w:val="20"/>
          <w:szCs w:val="20"/>
          <w:color w:val="auto"/>
        </w:rPr>
      </w:pPr>
      <w:r>
        <w:rPr>
          <w:rFonts w:ascii="Arial" w:cs="Arial" w:eastAsia="Arial" w:hAnsi="Arial"/>
          <w:sz w:val="21"/>
          <w:szCs w:val="21"/>
          <w:b w:val="1"/>
          <w:bCs w:val="1"/>
          <w:color w:val="auto"/>
        </w:rPr>
        <w:t>Turqi Alnowaiser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-1666875</wp:posOffset>
            </wp:positionV>
            <wp:extent cx="1414145" cy="14147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14145" cy="1414780"/>
                    </a:xfrm>
                    <a:prstGeom prst="rect">
                      <a:avLst/>
                    </a:prstGeom>
                    <a:noFill/>
                  </pic:spPr>
                </pic:pic>
              </a:graphicData>
            </a:graphic>
          </wp:anchor>
        </w:drawing>
      </w:r>
    </w:p>
    <w:p>
      <w:pPr>
        <w:spacing w:after="0" w:line="194" w:lineRule="exact"/>
        <w:rPr>
          <w:sz w:val="20"/>
          <w:szCs w:val="20"/>
          <w:color w:val="auto"/>
        </w:rPr>
      </w:pPr>
    </w:p>
    <w:p>
      <w:pPr>
        <w:ind w:left="960"/>
        <w:spacing w:after="0"/>
        <w:rPr>
          <w:sz w:val="20"/>
          <w:szCs w:val="20"/>
          <w:color w:val="auto"/>
        </w:rPr>
      </w:pPr>
      <w:r>
        <w:rPr>
          <w:rFonts w:ascii="Arial" w:cs="Arial" w:eastAsia="Arial" w:hAnsi="Arial"/>
          <w:sz w:val="14"/>
          <w:szCs w:val="14"/>
          <w:color w:val="auto"/>
        </w:rPr>
        <w:t>Board Member</w:t>
      </w:r>
    </w:p>
    <w:p>
      <w:pPr>
        <w:spacing w:after="0" w:line="16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Age: 45</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4"/>
          <w:szCs w:val="14"/>
          <w:color w:val="auto"/>
        </w:rPr>
        <w:t>Director Since: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1140"/>
        <w:spacing w:after="0" w:line="248" w:lineRule="auto"/>
        <w:rPr>
          <w:sz w:val="20"/>
          <w:szCs w:val="20"/>
          <w:color w:val="auto"/>
        </w:rPr>
      </w:pPr>
      <w:r>
        <w:rPr>
          <w:rFonts w:ascii="Arial" w:cs="Arial" w:eastAsia="Arial" w:hAnsi="Arial"/>
          <w:sz w:val="16"/>
          <w:szCs w:val="16"/>
          <w:b w:val="1"/>
          <w:bCs w:val="1"/>
          <w:color w:val="auto"/>
        </w:rPr>
        <w:t xml:space="preserve">Turqi Alnowaiser </w:t>
      </w:r>
      <w:r>
        <w:rPr>
          <w:rFonts w:ascii="Arial" w:cs="Arial" w:eastAsia="Arial" w:hAnsi="Arial"/>
          <w:sz w:val="16"/>
          <w:szCs w:val="16"/>
          <w:color w:val="auto"/>
        </w:rPr>
        <w:t>has served as a member of our board of directors since</w:t>
      </w:r>
      <w:r>
        <w:rPr>
          <w:rFonts w:ascii="Arial" w:cs="Arial" w:eastAsia="Arial" w:hAnsi="Arial"/>
          <w:sz w:val="16"/>
          <w:szCs w:val="16"/>
          <w:b w:val="1"/>
          <w:bCs w:val="1"/>
          <w:color w:val="auto"/>
        </w:rPr>
        <w:t xml:space="preserve"> </w:t>
      </w:r>
      <w:r>
        <w:rPr>
          <w:rFonts w:ascii="Arial" w:cs="Arial" w:eastAsia="Arial" w:hAnsi="Arial"/>
          <w:sz w:val="16"/>
          <w:szCs w:val="16"/>
          <w:color w:val="auto"/>
        </w:rPr>
        <w:t>April 2019. Mr. Alnowaiser has served as Deputy Governor and Head of the International Investments Division at the Public Investment Fund of the Kingdom of Saudi Arabia, one of the largest sovereign wealth funds in the world, since June 2021, and previously served as Head of International Investments at the Public Investment Fund from October 2016 to June 2021. Mr. Alnowaiser previously served as Senior Advisor at the Public Investment Fund from October 2015 to September 2016, prior to which he held several executive roles at Saudi Fransi Capital, a leading financial services firm based in Saudi Arabia, including as Head of Asset Management. Before his career at Saudi Fransi Capital, Mr. Alnowaiser specialized in developing, managing, and regulating various financial products across asset classes at Morgan Stanley, the Capital Market Authority of Saudi Arabia, and the Saudi Industrial Development Fund. Mr. Alnowaiser has served on the board of directors of Hapag-Lloyd AG, an international shipping and container transportation company, since</w:t>
      </w:r>
    </w:p>
    <w:p>
      <w:pPr>
        <w:spacing w:after="0" w:line="3" w:lineRule="exact"/>
        <w:rPr>
          <w:sz w:val="20"/>
          <w:szCs w:val="20"/>
          <w:color w:val="auto"/>
        </w:rPr>
      </w:pPr>
    </w:p>
    <w:p>
      <w:pPr>
        <w:ind w:right="1220"/>
        <w:spacing w:after="0" w:line="260" w:lineRule="auto"/>
        <w:rPr>
          <w:sz w:val="20"/>
          <w:szCs w:val="20"/>
          <w:color w:val="auto"/>
        </w:rPr>
      </w:pPr>
      <w:r>
        <w:rPr>
          <w:rFonts w:ascii="Arial" w:cs="Arial" w:eastAsia="Arial" w:hAnsi="Arial"/>
          <w:sz w:val="16"/>
          <w:szCs w:val="16"/>
          <w:color w:val="auto"/>
        </w:rPr>
        <w:t>February 2018. Mr. Alnowaiser holds a B.A. in International Business from King Saud University and an M.B.A. from the University of San Francisco.</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886B25"/>
        </w:rPr>
        <w:t>Skills and Qualifications:</w:t>
      </w:r>
    </w:p>
    <w:p>
      <w:pPr>
        <w:spacing w:after="0" w:line="133" w:lineRule="exact"/>
        <w:rPr>
          <w:sz w:val="20"/>
          <w:szCs w:val="20"/>
          <w:color w:val="auto"/>
        </w:rPr>
      </w:pPr>
    </w:p>
    <w:p>
      <w:pPr>
        <w:sectPr>
          <w:pgSz w:w="11900" w:h="16838" w:orient="portrait"/>
          <w:cols w:equalWidth="0" w:num="2">
            <w:col w:w="3120" w:space="720"/>
            <w:col w:w="6880"/>
          </w:cols>
          <w:pgMar w:left="580" w:top="131" w:right="599" w:bottom="1440" w:gutter="0" w:footer="0" w:header="0"/>
          <w:type w:val="continuous"/>
        </w:sectPr>
      </w:pPr>
    </w:p>
    <w:p>
      <w:pPr>
        <w:ind w:left="3840" w:right="1000"/>
        <w:spacing w:after="0" w:line="253" w:lineRule="auto"/>
        <w:rPr>
          <w:sz w:val="20"/>
          <w:szCs w:val="20"/>
          <w:color w:val="auto"/>
        </w:rPr>
      </w:pPr>
      <w:r>
        <w:rPr>
          <w:rFonts w:ascii="Arial" w:cs="Arial" w:eastAsia="Arial" w:hAnsi="Arial"/>
          <w:sz w:val="16"/>
          <w:szCs w:val="16"/>
          <w:color w:val="auto"/>
        </w:rPr>
        <w:t>We believe Mr. Alnowaiser is qualified to serve as a director due to his extensive investing experience, leading global enterprises, and his experience in overseeing Lucid’s growth as a member of our board of directors since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194945</wp:posOffset>
            </wp:positionV>
            <wp:extent cx="59664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409575</wp:posOffset>
            </wp:positionV>
            <wp:extent cx="59664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980"/>
        <w:spacing w:after="0"/>
        <w:rPr>
          <w:sz w:val="20"/>
          <w:szCs w:val="20"/>
          <w:color w:val="auto"/>
        </w:rPr>
      </w:pPr>
      <w:r>
        <w:rPr>
          <w:rFonts w:ascii="Arial" w:cs="Arial" w:eastAsia="Arial" w:hAnsi="Arial"/>
          <w:sz w:val="21"/>
          <w:szCs w:val="21"/>
          <w:b w:val="1"/>
          <w:bCs w:val="1"/>
          <w:color w:val="auto"/>
        </w:rPr>
        <w:t>Glenn R.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-1821180</wp:posOffset>
            </wp:positionV>
            <wp:extent cx="1397000" cy="13970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97000" cy="1397000"/>
                    </a:xfrm>
                    <a:prstGeom prst="rect">
                      <a:avLst/>
                    </a:prstGeom>
                    <a:noFill/>
                  </pic:spPr>
                </pic:pic>
              </a:graphicData>
            </a:graphic>
          </wp:anchor>
        </w:drawing>
      </w:r>
    </w:p>
    <w:p>
      <w:pPr>
        <w:spacing w:after="0" w:line="194" w:lineRule="exact"/>
        <w:rPr>
          <w:sz w:val="20"/>
          <w:szCs w:val="20"/>
          <w:color w:val="auto"/>
        </w:rPr>
      </w:pPr>
    </w:p>
    <w:p>
      <w:pPr>
        <w:ind w:left="980"/>
        <w:spacing w:after="0"/>
        <w:rPr>
          <w:sz w:val="20"/>
          <w:szCs w:val="20"/>
          <w:color w:val="auto"/>
        </w:rPr>
      </w:pPr>
      <w:r>
        <w:rPr>
          <w:rFonts w:ascii="Arial" w:cs="Arial" w:eastAsia="Arial" w:hAnsi="Arial"/>
          <w:sz w:val="14"/>
          <w:szCs w:val="14"/>
          <w:color w:val="auto"/>
        </w:rPr>
        <w:t>Board Member</w:t>
      </w:r>
    </w:p>
    <w:p>
      <w:pPr>
        <w:spacing w:after="0" w:line="163" w:lineRule="exact"/>
        <w:rPr>
          <w:sz w:val="20"/>
          <w:szCs w:val="20"/>
          <w:color w:val="auto"/>
        </w:rPr>
      </w:pPr>
    </w:p>
    <w:p>
      <w:pPr>
        <w:ind w:left="980"/>
        <w:spacing w:after="0"/>
        <w:rPr>
          <w:sz w:val="20"/>
          <w:szCs w:val="20"/>
          <w:color w:val="auto"/>
        </w:rPr>
      </w:pPr>
      <w:r>
        <w:rPr>
          <w:rFonts w:ascii="Arial" w:cs="Arial" w:eastAsia="Arial" w:hAnsi="Arial"/>
          <w:sz w:val="14"/>
          <w:szCs w:val="14"/>
          <w:color w:val="auto"/>
        </w:rPr>
        <w:t>Age: 61</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4"/>
          <w:szCs w:val="14"/>
          <w:color w:val="auto"/>
        </w:rPr>
        <w:t>Director Since: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1120"/>
        <w:spacing w:after="0" w:line="251" w:lineRule="auto"/>
        <w:rPr>
          <w:sz w:val="20"/>
          <w:szCs w:val="20"/>
          <w:color w:val="auto"/>
        </w:rPr>
      </w:pPr>
      <w:r>
        <w:rPr>
          <w:rFonts w:ascii="Arial" w:cs="Arial" w:eastAsia="Arial" w:hAnsi="Arial"/>
          <w:sz w:val="16"/>
          <w:szCs w:val="16"/>
          <w:b w:val="1"/>
          <w:bCs w:val="1"/>
          <w:color w:val="auto"/>
        </w:rPr>
        <w:t xml:space="preserve">Glenn R. August </w:t>
      </w:r>
      <w:r>
        <w:rPr>
          <w:rFonts w:ascii="Arial" w:cs="Arial" w:eastAsia="Arial" w:hAnsi="Arial"/>
          <w:sz w:val="16"/>
          <w:szCs w:val="16"/>
          <w:color w:val="auto"/>
        </w:rPr>
        <w:t>has been a member of our board of directors since July 2021</w:t>
      </w:r>
      <w:r>
        <w:rPr>
          <w:rFonts w:ascii="Arial" w:cs="Arial" w:eastAsia="Arial" w:hAnsi="Arial"/>
          <w:sz w:val="16"/>
          <w:szCs w:val="16"/>
          <w:b w:val="1"/>
          <w:bCs w:val="1"/>
          <w:color w:val="auto"/>
        </w:rPr>
        <w:t xml:space="preserve"> </w:t>
      </w:r>
      <w:r>
        <w:rPr>
          <w:rFonts w:ascii="Arial" w:cs="Arial" w:eastAsia="Arial" w:hAnsi="Arial"/>
          <w:sz w:val="16"/>
          <w:szCs w:val="16"/>
          <w:color w:val="auto"/>
        </w:rPr>
        <w:t>and was previously a member of Churchill’s board of directors. He has served as a vice president and director of T. Rowe Price Group, Inc., an investment management company, since December 2021 when T. Rowe Price Group acquired Oak Hill Advisors, L.P. to operate as a standalone business within</w:t>
      </w:r>
    </w:p>
    <w:p>
      <w:pPr>
        <w:spacing w:after="0" w:line="3" w:lineRule="exact"/>
        <w:rPr>
          <w:sz w:val="20"/>
          <w:szCs w:val="20"/>
          <w:color w:val="auto"/>
        </w:rPr>
      </w:pPr>
    </w:p>
    <w:p>
      <w:pPr>
        <w:ind w:right="1040"/>
        <w:spacing w:after="0" w:line="247" w:lineRule="auto"/>
        <w:rPr>
          <w:sz w:val="20"/>
          <w:szCs w:val="20"/>
          <w:color w:val="auto"/>
        </w:rPr>
      </w:pPr>
      <w:r>
        <w:rPr>
          <w:rFonts w:ascii="Arial" w:cs="Arial" w:eastAsia="Arial" w:hAnsi="Arial"/>
          <w:sz w:val="16"/>
          <w:szCs w:val="16"/>
          <w:color w:val="auto"/>
        </w:rPr>
        <w:t>T. Rowe Price. Mr. August is the Founder &amp; Chief Executive Officer of Oak Hill Advisors, L.P. and has overall management responsibility for Oak Hill Advisors. In addition, he serves as global head of the firm’s distressed investment activities and chairs or serves on various firm committees, including the partnership, investment strategy and several fund investment committees. He co-founded the predecessor investment firm to Oak Hill Advisors in 1987 and took responsibility for the firm’s credit and distressed investment activities in 1990. Mr. August has played leadership roles in numerous restructurings and, since 1987, has served on more than eighteen corporate boards, including MultiPlan, Inc., a health care company, since October 2020. Mr. August also serves on the Board of Trustees of Horace Mann School and The Mount Sinai Medical Center, and on the Board of Directors of the Partnership for New York City and the 92nd St. Y. He earned an M.B.A. from Harvard Business School, where he was a Baker Scholar, and a B.S. from Cornell University.</w:t>
      </w:r>
    </w:p>
    <w:p>
      <w:pPr>
        <w:spacing w:after="0" w:line="142" w:lineRule="exact"/>
        <w:rPr>
          <w:sz w:val="20"/>
          <w:szCs w:val="20"/>
          <w:color w:val="auto"/>
        </w:rPr>
      </w:pPr>
    </w:p>
    <w:p>
      <w:pPr>
        <w:sectPr>
          <w:pgSz w:w="11900" w:h="16838" w:orient="portrait"/>
          <w:cols w:equalWidth="0" w:num="2">
            <w:col w:w="3100" w:space="720"/>
            <w:col w:w="6900"/>
          </w:cols>
          <w:pgMar w:left="580" w:top="131" w:right="599" w:bottom="1440" w:gutter="0" w:footer="0" w:header="0"/>
          <w:type w:val="continuous"/>
        </w:sectPr>
      </w:pPr>
    </w:p>
    <w:p>
      <w:pPr>
        <w:ind w:left="3820"/>
        <w:spacing w:after="0"/>
        <w:rPr>
          <w:sz w:val="20"/>
          <w:szCs w:val="20"/>
          <w:color w:val="auto"/>
        </w:rPr>
      </w:pPr>
      <w:r>
        <w:rPr>
          <w:rFonts w:ascii="Arial" w:cs="Arial" w:eastAsia="Arial" w:hAnsi="Arial"/>
          <w:sz w:val="16"/>
          <w:szCs w:val="16"/>
          <w:b w:val="1"/>
          <w:bCs w:val="1"/>
          <w:color w:val="886B25"/>
        </w:rPr>
        <w:t>Skills and Qualifications</w:t>
      </w:r>
    </w:p>
    <w:p>
      <w:pPr>
        <w:spacing w:after="0" w:line="127" w:lineRule="exact"/>
        <w:rPr>
          <w:sz w:val="20"/>
          <w:szCs w:val="20"/>
          <w:color w:val="auto"/>
        </w:rPr>
      </w:pPr>
    </w:p>
    <w:p>
      <w:pPr>
        <w:ind w:left="3820" w:right="1200"/>
        <w:spacing w:after="0" w:line="253" w:lineRule="auto"/>
        <w:rPr>
          <w:sz w:val="20"/>
          <w:szCs w:val="20"/>
          <w:color w:val="auto"/>
        </w:rPr>
      </w:pPr>
      <w:r>
        <w:rPr>
          <w:rFonts w:ascii="Arial" w:cs="Arial" w:eastAsia="Arial" w:hAnsi="Arial"/>
          <w:sz w:val="16"/>
          <w:szCs w:val="16"/>
          <w:color w:val="auto"/>
        </w:rPr>
        <w:t>We believe Mr. August is qualified to serve as a director due to his extensive experience overseeing a wide range of public companies and his deep financial knowledge.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194945</wp:posOffset>
            </wp:positionV>
            <wp:extent cx="59664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900" w:type="dxa"/>
            <w:vAlign w:val="bottom"/>
          </w:tcPr>
          <w:p>
            <w:pPr>
              <w:ind w:left="660"/>
              <w:spacing w:after="0"/>
              <w:rPr>
                <w:sz w:val="20"/>
                <w:szCs w:val="20"/>
                <w:color w:val="auto"/>
              </w:rPr>
            </w:pPr>
            <w:r>
              <w:rPr>
                <w:rFonts w:ascii="Arial" w:cs="Arial" w:eastAsia="Arial" w:hAnsi="Arial"/>
                <w:sz w:val="13"/>
                <w:szCs w:val="13"/>
                <w:color w:val="auto"/>
              </w:rPr>
              <w:t>2022 Proxy Statement</w:t>
            </w:r>
          </w:p>
        </w:tc>
        <w:tc>
          <w:tcPr>
            <w:tcW w:w="4820" w:type="dxa"/>
            <w:vAlign w:val="bottom"/>
          </w:tcPr>
          <w:p>
            <w:pPr>
              <w:jc w:val="right"/>
              <w:ind w:right="617"/>
              <w:spacing w:after="0"/>
              <w:rPr>
                <w:sz w:val="20"/>
                <w:szCs w:val="20"/>
                <w:color w:val="auto"/>
              </w:rPr>
            </w:pPr>
            <w:r>
              <w:rPr>
                <w:rFonts w:ascii="Arial" w:cs="Arial" w:eastAsia="Arial" w:hAnsi="Arial"/>
                <w:sz w:val="13"/>
                <w:szCs w:val="13"/>
                <w:b w:val="1"/>
                <w:bCs w:val="1"/>
                <w:color w:val="auto"/>
              </w:rPr>
              <w:t>11</w:t>
            </w:r>
          </w:p>
        </w:tc>
      </w:tr>
      <w:tr>
        <w:trPr>
          <w:trHeight w:val="171"/>
        </w:trPr>
        <w:tc>
          <w:tcPr>
            <w:tcW w:w="5900" w:type="dxa"/>
            <w:vAlign w:val="bottom"/>
            <w:tcBorders>
              <w:bottom w:val="single" w:sz="8" w:color="9A9A9A"/>
            </w:tcBorders>
          </w:tcPr>
          <w:p>
            <w:pPr>
              <w:spacing w:after="0"/>
              <w:rPr>
                <w:sz w:val="14"/>
                <w:szCs w:val="14"/>
                <w:color w:val="auto"/>
              </w:rPr>
            </w:pPr>
          </w:p>
        </w:tc>
        <w:tc>
          <w:tcPr>
            <w:tcW w:w="48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468630</wp:posOffset>
            </wp:positionV>
            <wp:extent cx="59664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ectPr>
          <w:pgSz w:w="11900" w:h="16838" w:orient="portrait"/>
          <w:cols w:equalWidth="0" w:num="1">
            <w:col w:w="10040"/>
          </w:cols>
          <w:pgMar w:left="580" w:top="131"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Nancy Gioia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-1767840</wp:posOffset>
            </wp:positionV>
            <wp:extent cx="1397000" cy="13970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97000" cy="1397000"/>
                    </a:xfrm>
                    <a:prstGeom prst="rect">
                      <a:avLst/>
                    </a:prstGeom>
                    <a:noFill/>
                  </pic:spPr>
                </pic:pic>
              </a:graphicData>
            </a:graphic>
          </wp:anchor>
        </w:drawing>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14"/>
          <w:szCs w:val="14"/>
          <w:color w:val="auto"/>
        </w:rPr>
        <w:t>Board Member</w:t>
      </w:r>
    </w:p>
    <w:p>
      <w:pPr>
        <w:spacing w:after="0" w:line="163" w:lineRule="exact"/>
        <w:rPr>
          <w:sz w:val="20"/>
          <w:szCs w:val="20"/>
          <w:color w:val="auto"/>
        </w:rPr>
      </w:pPr>
    </w:p>
    <w:p>
      <w:pPr>
        <w:ind w:left="980"/>
        <w:spacing w:after="0"/>
        <w:rPr>
          <w:sz w:val="20"/>
          <w:szCs w:val="20"/>
          <w:color w:val="auto"/>
        </w:rPr>
      </w:pPr>
      <w:r>
        <w:rPr>
          <w:rFonts w:ascii="Arial" w:cs="Arial" w:eastAsia="Arial" w:hAnsi="Arial"/>
          <w:sz w:val="14"/>
          <w:szCs w:val="14"/>
          <w:color w:val="auto"/>
        </w:rPr>
        <w:t>Age: 61</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4"/>
          <w:szCs w:val="14"/>
          <w:color w:val="auto"/>
        </w:rPr>
        <w:t>Director Since: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Nancy Gioia </w:t>
      </w:r>
      <w:r>
        <w:rPr>
          <w:rFonts w:ascii="Arial" w:cs="Arial" w:eastAsia="Arial" w:hAnsi="Arial"/>
          <w:sz w:val="16"/>
          <w:szCs w:val="16"/>
          <w:color w:val="auto"/>
        </w:rPr>
        <w:t>has been a member of our board of directors since July 2021.</w:t>
      </w:r>
    </w:p>
    <w:p>
      <w:pPr>
        <w:spacing w:after="0" w:line="25" w:lineRule="exact"/>
        <w:rPr>
          <w:sz w:val="20"/>
          <w:szCs w:val="20"/>
          <w:color w:val="auto"/>
        </w:rPr>
      </w:pPr>
    </w:p>
    <w:p>
      <w:pPr>
        <w:ind w:right="400"/>
        <w:spacing w:after="0" w:line="247" w:lineRule="auto"/>
        <w:rPr>
          <w:sz w:val="20"/>
          <w:szCs w:val="20"/>
          <w:color w:val="auto"/>
        </w:rPr>
      </w:pPr>
      <w:r>
        <w:rPr>
          <w:rFonts w:ascii="Arial" w:cs="Arial" w:eastAsia="Arial" w:hAnsi="Arial"/>
          <w:sz w:val="16"/>
          <w:szCs w:val="16"/>
          <w:color w:val="auto"/>
        </w:rPr>
        <w:t>Ms. Gioia served in various leadership positions at Ford Motor Company for over thirty years. At Ford, she served as the Director of Global Connectivity, Electrical and User Experience from September 2013 to September 2014, as Director of Global Electrification, User Interface, and Connectivity from April 2012 to September 2013, as Director of Global Electrification from November 2009 to April 2012, and as Director of Sustainable Mobility Technologies and Hybrid Vehicle Programs from November 2005 to November 2009. In those respective roles, she directed global strategy and planning for all aspects of connected vehicles and oversaw Ford’s multi-billion dollar electrified vehicle and technology portfolio. Additionally, Ms. Gioia has been the owner of Gioia Consulting Services since 2014, and from February 2019 to July 2021, she has served as Executive Chairman of Blue Currents, Inc., an energy storage startup company. Ms. Gioia has also served on numerous boards, including the boards of directors of Brady Corporation since 2013, Meggitt PLC since 2017 and Exelon Corporation from 2016 to 2018. Ms. Gioia serves on the University of Michigan — Dearborn Engineering Dean’s Strategic Advisory Board, since 2014 and from 2014 to 2017 served on the University of Michigan Electrical and Computer Engineering Advisory Council. Ms. Gioia holds a B.S. in Electrical Engineering from the University of Michigan — Dearborn and a M.S. in Manufacturing Systems Engineering from Stanford University.</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886B25"/>
        </w:rPr>
        <w:t>Skills and Qualifications</w:t>
      </w:r>
    </w:p>
    <w:p>
      <w:pPr>
        <w:spacing w:after="0" w:line="133" w:lineRule="exact"/>
        <w:rPr>
          <w:sz w:val="20"/>
          <w:szCs w:val="20"/>
          <w:color w:val="auto"/>
        </w:rPr>
      </w:pPr>
    </w:p>
    <w:p>
      <w:pPr>
        <w:ind w:right="700"/>
        <w:spacing w:after="0" w:line="253" w:lineRule="auto"/>
        <w:rPr>
          <w:sz w:val="20"/>
          <w:szCs w:val="20"/>
          <w:color w:val="auto"/>
        </w:rPr>
      </w:pPr>
      <w:r>
        <w:rPr>
          <w:rFonts w:ascii="Arial" w:cs="Arial" w:eastAsia="Arial" w:hAnsi="Arial"/>
          <w:sz w:val="16"/>
          <w:szCs w:val="16"/>
          <w:color w:val="auto"/>
        </w:rPr>
        <w:t>We believe Ms. Gioia is qualified to serve as a director due to her decades of experience at a leading global automaker, her business expertise, and her extensive knowledge of the automotive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194945</wp:posOffset>
            </wp:positionV>
            <wp:extent cx="59664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409575</wp:posOffset>
            </wp:positionV>
            <wp:extent cx="59664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00" w:space="720"/>
            <w:col w:w="6220"/>
          </w:cols>
          <w:pgMar w:left="580" w:top="131"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980"/>
        <w:spacing w:after="0"/>
        <w:rPr>
          <w:sz w:val="20"/>
          <w:szCs w:val="20"/>
          <w:color w:val="auto"/>
        </w:rPr>
      </w:pPr>
      <w:r>
        <w:rPr>
          <w:rFonts w:ascii="Arial" w:cs="Arial" w:eastAsia="Arial" w:hAnsi="Arial"/>
          <w:sz w:val="21"/>
          <w:szCs w:val="21"/>
          <w:b w:val="1"/>
          <w:bCs w:val="1"/>
          <w:color w:val="auto"/>
        </w:rPr>
        <w:t>Frank Lindenberg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-1760855</wp:posOffset>
            </wp:positionV>
            <wp:extent cx="1397000" cy="13970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97000" cy="1397000"/>
                    </a:xfrm>
                    <a:prstGeom prst="rect">
                      <a:avLst/>
                    </a:prstGeom>
                    <a:noFill/>
                  </pic:spPr>
                </pic:pic>
              </a:graphicData>
            </a:graphic>
          </wp:anchor>
        </w:drawing>
      </w:r>
    </w:p>
    <w:p>
      <w:pPr>
        <w:spacing w:after="0" w:line="194" w:lineRule="exact"/>
        <w:rPr>
          <w:sz w:val="20"/>
          <w:szCs w:val="20"/>
          <w:color w:val="auto"/>
        </w:rPr>
      </w:pPr>
    </w:p>
    <w:p>
      <w:pPr>
        <w:ind w:left="980"/>
        <w:spacing w:after="0"/>
        <w:rPr>
          <w:sz w:val="20"/>
          <w:szCs w:val="20"/>
          <w:color w:val="auto"/>
        </w:rPr>
      </w:pPr>
      <w:r>
        <w:rPr>
          <w:rFonts w:ascii="Arial" w:cs="Arial" w:eastAsia="Arial" w:hAnsi="Arial"/>
          <w:sz w:val="14"/>
          <w:szCs w:val="14"/>
          <w:color w:val="auto"/>
        </w:rPr>
        <w:t>Board Member</w:t>
      </w:r>
    </w:p>
    <w:p>
      <w:pPr>
        <w:spacing w:after="0" w:line="163" w:lineRule="exact"/>
        <w:rPr>
          <w:sz w:val="20"/>
          <w:szCs w:val="20"/>
          <w:color w:val="auto"/>
        </w:rPr>
      </w:pPr>
    </w:p>
    <w:p>
      <w:pPr>
        <w:ind w:left="980"/>
        <w:spacing w:after="0"/>
        <w:rPr>
          <w:sz w:val="20"/>
          <w:szCs w:val="20"/>
          <w:color w:val="auto"/>
        </w:rPr>
      </w:pPr>
      <w:r>
        <w:rPr>
          <w:rFonts w:ascii="Arial" w:cs="Arial" w:eastAsia="Arial" w:hAnsi="Arial"/>
          <w:sz w:val="14"/>
          <w:szCs w:val="14"/>
          <w:color w:val="auto"/>
        </w:rPr>
        <w:t>Age: 58</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4"/>
          <w:szCs w:val="14"/>
          <w:color w:val="auto"/>
        </w:rPr>
        <w:t>Director Since: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Frank Lindenberg </w:t>
      </w:r>
      <w:r>
        <w:rPr>
          <w:rFonts w:ascii="Arial" w:cs="Arial" w:eastAsia="Arial" w:hAnsi="Arial"/>
          <w:sz w:val="16"/>
          <w:szCs w:val="16"/>
          <w:color w:val="auto"/>
        </w:rPr>
        <w:t>has served as a member of our board of directors since</w:t>
      </w:r>
    </w:p>
    <w:p>
      <w:pPr>
        <w:spacing w:after="0" w:line="25" w:lineRule="exact"/>
        <w:rPr>
          <w:sz w:val="20"/>
          <w:szCs w:val="20"/>
          <w:color w:val="auto"/>
        </w:rPr>
      </w:pPr>
    </w:p>
    <w:p>
      <w:pPr>
        <w:ind w:right="340"/>
        <w:spacing w:after="0" w:line="246" w:lineRule="auto"/>
        <w:rPr>
          <w:sz w:val="20"/>
          <w:szCs w:val="20"/>
          <w:color w:val="auto"/>
        </w:rPr>
      </w:pPr>
      <w:r>
        <w:rPr>
          <w:rFonts w:ascii="Arial" w:cs="Arial" w:eastAsia="Arial" w:hAnsi="Arial"/>
          <w:sz w:val="16"/>
          <w:szCs w:val="16"/>
          <w:color w:val="auto"/>
        </w:rPr>
        <w:t>July 2021. Mr. Lindenberg served as the Chief Financial Officer of Mercedes-Benz Cars, a division of Daimler AG, a global automotive company, from March 2012 to March 2020, and as Chief Financial Officer and a member of the Board of Management of Mercedes-Benz AG, a subsidiary of Daimler AG, from</w:t>
      </w:r>
    </w:p>
    <w:p>
      <w:pPr>
        <w:spacing w:after="0" w:line="2" w:lineRule="exact"/>
        <w:rPr>
          <w:sz w:val="20"/>
          <w:szCs w:val="20"/>
          <w:color w:val="auto"/>
        </w:rPr>
      </w:pPr>
    </w:p>
    <w:p>
      <w:pPr>
        <w:ind w:right="340"/>
        <w:spacing w:after="0" w:line="246" w:lineRule="auto"/>
        <w:rPr>
          <w:sz w:val="20"/>
          <w:szCs w:val="20"/>
          <w:color w:val="auto"/>
        </w:rPr>
      </w:pPr>
      <w:r>
        <w:rPr>
          <w:rFonts w:ascii="Arial" w:cs="Arial" w:eastAsia="Arial" w:hAnsi="Arial"/>
          <w:sz w:val="16"/>
          <w:szCs w:val="16"/>
          <w:color w:val="auto"/>
        </w:rPr>
        <w:t>October 2019 to March 2020. Mr. Lindenberg also served as the Chief Financial Officer and member of the divisional Board of Management of Daimler Trucks and Buses from June 2009 to February 2012. Prior, Mr. Lindenberg served as the Vice President Finance Transformation Organization for Daimler AG from September 2006 to May 2009. Mr. Lindenberg enjoyed a career of almost</w:t>
      </w:r>
    </w:p>
    <w:p>
      <w:pPr>
        <w:spacing w:after="0" w:line="2"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30 years in various roles at Daimler. He holds a Diplom-Oeconom degree from the University of Hanover in Hanover, Germany.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886B25"/>
        </w:rPr>
        <w:t>Skills and Qualifications</w:t>
      </w:r>
    </w:p>
    <w:p>
      <w:pPr>
        <w:spacing w:after="0" w:line="133"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auto"/>
        </w:rPr>
        <w:t>We believe Mr. Lindenberg is qualified to serve as a director due to his experience leading a global automaker, his financial management expertise, and his deep knowledge of the automotive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409575</wp:posOffset>
            </wp:positionV>
            <wp:extent cx="59664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524" w:lineRule="exact"/>
        <w:rPr>
          <w:sz w:val="20"/>
          <w:szCs w:val="20"/>
          <w:color w:val="auto"/>
        </w:rPr>
      </w:pPr>
    </w:p>
    <w:p>
      <w:pPr>
        <w:sectPr>
          <w:pgSz w:w="11900" w:h="16838" w:orient="portrait"/>
          <w:cols w:equalWidth="0" w:num="2">
            <w:col w:w="3100" w:space="720"/>
            <w:col w:w="6220"/>
          </w:cols>
          <w:pgMar w:left="580" w:top="131"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2"/>
          <w:szCs w:val="12"/>
          <w:b w:val="1"/>
          <w:bCs w:val="1"/>
          <w:color w:val="auto"/>
        </w:rPr>
        <w:t>12</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110490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1" w:right="1279"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468630</wp:posOffset>
            </wp:positionV>
            <wp:extent cx="59664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820" w:right="380"/>
        <w:spacing w:after="0" w:line="250" w:lineRule="auto"/>
        <w:rPr>
          <w:sz w:val="20"/>
          <w:szCs w:val="20"/>
          <w:color w:val="auto"/>
        </w:rPr>
      </w:pPr>
      <w:r>
        <w:rPr>
          <w:rFonts w:ascii="Arial" w:cs="Arial" w:eastAsia="Arial" w:hAnsi="Arial"/>
          <w:sz w:val="16"/>
          <w:szCs w:val="16"/>
          <w:b w:val="1"/>
          <w:bCs w:val="1"/>
          <w:color w:val="auto"/>
        </w:rPr>
        <w:t xml:space="preserve">Andrew Liveris </w:t>
      </w:r>
      <w:r>
        <w:rPr>
          <w:rFonts w:ascii="Arial" w:cs="Arial" w:eastAsia="Arial" w:hAnsi="Arial"/>
          <w:sz w:val="16"/>
          <w:szCs w:val="16"/>
          <w:color w:val="auto"/>
        </w:rPr>
        <w:t>has served as chairman of our board of directors since</w:t>
      </w:r>
      <w:r>
        <w:rPr>
          <w:rFonts w:ascii="Arial" w:cs="Arial" w:eastAsia="Arial" w:hAnsi="Arial"/>
          <w:sz w:val="16"/>
          <w:szCs w:val="16"/>
          <w:b w:val="1"/>
          <w:bCs w:val="1"/>
          <w:color w:val="auto"/>
        </w:rPr>
        <w:t xml:space="preserve"> </w:t>
      </w:r>
      <w:r>
        <w:rPr>
          <w:rFonts w:ascii="Arial" w:cs="Arial" w:eastAsia="Arial" w:hAnsi="Arial"/>
          <w:sz w:val="16"/>
          <w:szCs w:val="16"/>
          <w:color w:val="auto"/>
        </w:rPr>
        <w:t>April 2019. Previously Mr. Liveris served as the Chairman and CEO the Dow Chemical Company, a chemical corporation from November 2004 to July 2018 and as the Executive Chairman of Dow DuPont Inc., a chemical corporation from September 2017 to July 2018. Mr. Liveris also serves on the boards of directors of International Business Machines Corp., a technology company, Saudi Aramco, an integrated energy and chemicals company, NOVONIX Limited, a battery materials and technology company, and WorleyParsons Limited, an engineering company. Mr. Liveris holds a B.S. in Chemical Engineering from the University of Queensland and received an honorary Ph.D. in Science from his alma mater in 2005. Mr. Liveris was appointed as a special advisor to the Public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-1448435</wp:posOffset>
            </wp:positionV>
            <wp:extent cx="1397000" cy="13970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97000" cy="1397000"/>
                    </a:xfrm>
                    <a:prstGeom prst="rect">
                      <a:avLst/>
                    </a:prstGeom>
                    <a:noFill/>
                  </pic:spPr>
                </pic:pic>
              </a:graphicData>
            </a:graphic>
          </wp:anchor>
        </w:drawing>
      </w:r>
    </w:p>
    <w:p>
      <w:pPr>
        <w:sectPr>
          <w:pgSz w:w="11900" w:h="16838" w:orient="portrait"/>
          <w:cols w:equalWidth="0" w:num="1">
            <w:col w:w="10040"/>
          </w:cols>
          <w:pgMar w:left="580" w:top="131" w:right="1279" w:bottom="1440" w:gutter="0" w:footer="0" w:header="0"/>
        </w:sectPr>
      </w:pPr>
    </w:p>
    <w:p>
      <w:pPr>
        <w:spacing w:after="0" w:line="251" w:lineRule="exact"/>
        <w:rPr>
          <w:sz w:val="20"/>
          <w:szCs w:val="20"/>
          <w:color w:val="auto"/>
        </w:rPr>
      </w:pPr>
    </w:p>
    <w:p>
      <w:pPr>
        <w:ind w:left="980"/>
        <w:spacing w:after="0"/>
        <w:rPr>
          <w:sz w:val="20"/>
          <w:szCs w:val="20"/>
          <w:color w:val="auto"/>
        </w:rPr>
      </w:pPr>
      <w:r>
        <w:rPr>
          <w:rFonts w:ascii="Arial" w:cs="Arial" w:eastAsia="Arial" w:hAnsi="Arial"/>
          <w:sz w:val="21"/>
          <w:szCs w:val="21"/>
          <w:b w:val="1"/>
          <w:bCs w:val="1"/>
          <w:color w:val="auto"/>
        </w:rPr>
        <w:t>Andrew Liveris</w:t>
      </w:r>
    </w:p>
    <w:p>
      <w:pPr>
        <w:spacing w:after="0" w:line="214" w:lineRule="exact"/>
        <w:rPr>
          <w:sz w:val="20"/>
          <w:szCs w:val="20"/>
          <w:color w:val="auto"/>
        </w:rPr>
      </w:pPr>
    </w:p>
    <w:p>
      <w:pPr>
        <w:ind w:left="980"/>
        <w:spacing w:after="0"/>
        <w:rPr>
          <w:sz w:val="20"/>
          <w:szCs w:val="20"/>
          <w:color w:val="auto"/>
        </w:rPr>
      </w:pPr>
      <w:r>
        <w:rPr>
          <w:rFonts w:ascii="Arial" w:cs="Arial" w:eastAsia="Arial" w:hAnsi="Arial"/>
          <w:sz w:val="14"/>
          <w:szCs w:val="14"/>
          <w:color w:val="auto"/>
        </w:rPr>
        <w:t>Chairman of the Lucid</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4"/>
          <w:szCs w:val="14"/>
          <w:color w:val="auto"/>
        </w:rPr>
        <w:t>Board of Directors</w:t>
      </w:r>
    </w:p>
    <w:p>
      <w:pPr>
        <w:spacing w:after="0" w:line="163" w:lineRule="exact"/>
        <w:rPr>
          <w:sz w:val="20"/>
          <w:szCs w:val="20"/>
          <w:color w:val="auto"/>
        </w:rPr>
      </w:pPr>
    </w:p>
    <w:p>
      <w:pPr>
        <w:ind w:left="980"/>
        <w:spacing w:after="0"/>
        <w:rPr>
          <w:sz w:val="20"/>
          <w:szCs w:val="20"/>
          <w:color w:val="auto"/>
        </w:rPr>
      </w:pPr>
      <w:r>
        <w:rPr>
          <w:rFonts w:ascii="Arial" w:cs="Arial" w:eastAsia="Arial" w:hAnsi="Arial"/>
          <w:sz w:val="14"/>
          <w:szCs w:val="14"/>
          <w:color w:val="auto"/>
        </w:rPr>
        <w:t>Age: 68</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4"/>
          <w:szCs w:val="14"/>
          <w:color w:val="auto"/>
        </w:rPr>
        <w:t>Director Since: 2019</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886B25"/>
        </w:rPr>
        <w:t>Skills and Qualifications</w:t>
      </w:r>
    </w:p>
    <w:p>
      <w:pPr>
        <w:spacing w:after="0" w:line="133" w:lineRule="exact"/>
        <w:rPr>
          <w:sz w:val="20"/>
          <w:szCs w:val="20"/>
          <w:color w:val="auto"/>
        </w:rPr>
      </w:pPr>
    </w:p>
    <w:p>
      <w:pPr>
        <w:ind w:right="480"/>
        <w:spacing w:after="0" w:line="250" w:lineRule="auto"/>
        <w:rPr>
          <w:sz w:val="20"/>
          <w:szCs w:val="20"/>
          <w:color w:val="auto"/>
        </w:rPr>
      </w:pPr>
      <w:r>
        <w:rPr>
          <w:rFonts w:ascii="Arial" w:cs="Arial" w:eastAsia="Arial" w:hAnsi="Arial"/>
          <w:sz w:val="16"/>
          <w:szCs w:val="16"/>
          <w:color w:val="auto"/>
        </w:rPr>
        <w:t>We believe Mr. Liveris is qualified to serve as a director due to his decades of experience leading and overseeing large, complex global industrial enterprises, his knowledge of the technology, energy and chemical sectors, his extensive public policy expertise in the business/government interface, and his experience overseeing our growth as chairman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273050</wp:posOffset>
            </wp:positionV>
            <wp:extent cx="59664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487680</wp:posOffset>
            </wp:positionV>
            <wp:extent cx="59664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310" w:lineRule="exact"/>
        <w:rPr>
          <w:sz w:val="20"/>
          <w:szCs w:val="20"/>
          <w:color w:val="auto"/>
        </w:rPr>
      </w:pPr>
    </w:p>
    <w:p>
      <w:pPr>
        <w:sectPr>
          <w:pgSz w:w="11900" w:h="16838" w:orient="portrait"/>
          <w:cols w:equalWidth="0" w:num="2">
            <w:col w:w="3100" w:space="720"/>
            <w:col w:w="6220"/>
          </w:cols>
          <w:pgMar w:left="580" w:top="131"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980"/>
        <w:spacing w:after="0"/>
        <w:rPr>
          <w:sz w:val="20"/>
          <w:szCs w:val="20"/>
          <w:color w:val="auto"/>
        </w:rPr>
      </w:pPr>
      <w:r>
        <w:rPr>
          <w:rFonts w:ascii="Arial" w:cs="Arial" w:eastAsia="Arial" w:hAnsi="Arial"/>
          <w:sz w:val="21"/>
          <w:szCs w:val="21"/>
          <w:b w:val="1"/>
          <w:bCs w:val="1"/>
          <w:color w:val="auto"/>
        </w:rPr>
        <w:t>Nichelle Maynard-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-1743710</wp:posOffset>
            </wp:positionV>
            <wp:extent cx="1397000" cy="13970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97000" cy="1397000"/>
                    </a:xfrm>
                    <a:prstGeom prst="rect">
                      <a:avLst/>
                    </a:prstGeom>
                    <a:noFill/>
                  </pic:spPr>
                </pic:pic>
              </a:graphicData>
            </a:graphic>
          </wp:anchor>
        </w:drawing>
      </w:r>
    </w:p>
    <w:p>
      <w:pPr>
        <w:spacing w:after="0" w:line="8"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Elliott</w:t>
      </w:r>
    </w:p>
    <w:p>
      <w:pPr>
        <w:spacing w:after="0" w:line="150" w:lineRule="exact"/>
        <w:rPr>
          <w:sz w:val="20"/>
          <w:szCs w:val="20"/>
          <w:color w:val="auto"/>
        </w:rPr>
      </w:pPr>
    </w:p>
    <w:p>
      <w:pPr>
        <w:ind w:left="980"/>
        <w:spacing w:after="0"/>
        <w:rPr>
          <w:sz w:val="20"/>
          <w:szCs w:val="20"/>
          <w:color w:val="auto"/>
        </w:rPr>
      </w:pPr>
      <w:r>
        <w:rPr>
          <w:rFonts w:ascii="Arial" w:cs="Arial" w:eastAsia="Arial" w:hAnsi="Arial"/>
          <w:sz w:val="14"/>
          <w:szCs w:val="14"/>
          <w:color w:val="auto"/>
        </w:rPr>
        <w:t>Board Member</w:t>
      </w:r>
    </w:p>
    <w:p>
      <w:pPr>
        <w:spacing w:after="0" w:line="110" w:lineRule="exact"/>
        <w:rPr>
          <w:sz w:val="20"/>
          <w:szCs w:val="20"/>
          <w:color w:val="auto"/>
        </w:rPr>
      </w:pPr>
    </w:p>
    <w:p>
      <w:pPr>
        <w:ind w:left="980"/>
        <w:spacing w:after="0"/>
        <w:rPr>
          <w:sz w:val="20"/>
          <w:szCs w:val="20"/>
          <w:color w:val="auto"/>
        </w:rPr>
      </w:pPr>
      <w:r>
        <w:rPr>
          <w:rFonts w:ascii="Arial" w:cs="Arial" w:eastAsia="Arial" w:hAnsi="Arial"/>
          <w:sz w:val="14"/>
          <w:szCs w:val="14"/>
          <w:color w:val="auto"/>
        </w:rPr>
        <w:t>Age: 53</w:t>
      </w:r>
    </w:p>
    <w:p>
      <w:pPr>
        <w:ind w:left="980"/>
        <w:spacing w:after="0"/>
        <w:rPr>
          <w:sz w:val="20"/>
          <w:szCs w:val="20"/>
          <w:color w:val="auto"/>
        </w:rPr>
      </w:pPr>
      <w:r>
        <w:rPr>
          <w:rFonts w:ascii="Arial" w:cs="Arial" w:eastAsia="Arial" w:hAnsi="Arial"/>
          <w:sz w:val="14"/>
          <w:szCs w:val="14"/>
          <w:color w:val="auto"/>
        </w:rPr>
        <w:t>Director Since: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320"/>
        <w:spacing w:after="0" w:line="249" w:lineRule="auto"/>
        <w:rPr>
          <w:sz w:val="20"/>
          <w:szCs w:val="20"/>
          <w:color w:val="auto"/>
        </w:rPr>
      </w:pPr>
      <w:r>
        <w:rPr>
          <w:rFonts w:ascii="Arial" w:cs="Arial" w:eastAsia="Arial" w:hAnsi="Arial"/>
          <w:sz w:val="16"/>
          <w:szCs w:val="16"/>
          <w:b w:val="1"/>
          <w:bCs w:val="1"/>
          <w:color w:val="auto"/>
        </w:rPr>
        <w:t xml:space="preserve">Nichelle Maynard-Elliott </w:t>
      </w:r>
      <w:r>
        <w:rPr>
          <w:rFonts w:ascii="Arial" w:cs="Arial" w:eastAsia="Arial" w:hAnsi="Arial"/>
          <w:sz w:val="16"/>
          <w:szCs w:val="16"/>
          <w:color w:val="auto"/>
        </w:rPr>
        <w:t>has been a member of our board of directors since</w:t>
      </w:r>
      <w:r>
        <w:rPr>
          <w:rFonts w:ascii="Arial" w:cs="Arial" w:eastAsia="Arial" w:hAnsi="Arial"/>
          <w:sz w:val="16"/>
          <w:szCs w:val="16"/>
          <w:b w:val="1"/>
          <w:bCs w:val="1"/>
          <w:color w:val="auto"/>
        </w:rPr>
        <w:t xml:space="preserve"> </w:t>
      </w:r>
      <w:r>
        <w:rPr>
          <w:rFonts w:ascii="Arial" w:cs="Arial" w:eastAsia="Arial" w:hAnsi="Arial"/>
          <w:sz w:val="16"/>
          <w:szCs w:val="16"/>
          <w:color w:val="auto"/>
        </w:rPr>
        <w:t>July 2021. Ms. Maynard-Elliott has served as a director of Xerox Holdings Corporation since May 2021 and Element Solutions Inc., a specialty chemicals company since August 2018. She previously served as the Executive Director, M&amp;A, for Praxair, Inc., a leading industrial gas and engineering company, from July 2011 to May 2019, and as Assistant General Counsel and Senior Counsel at Praxair from July 2007 to 2011 and 2003 to 2007, respectively. Ms. Maynard-Elliott has served as trustee of The Advisors’ Inner Circle Fund III, including four of its affiliated funds and director of Chiron Capital Allocation Fund Ltd since</w:t>
      </w:r>
    </w:p>
    <w:p>
      <w:pPr>
        <w:spacing w:after="0" w:line="3"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June 2021. She holds a B.A. in Economics from Brown University and a J.D. from Columbia University School of Law.</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886B25"/>
        </w:rPr>
        <w:t>Skills and Qualifications</w:t>
      </w:r>
    </w:p>
    <w:p>
      <w:pPr>
        <w:spacing w:after="0" w:line="133" w:lineRule="exact"/>
        <w:rPr>
          <w:sz w:val="20"/>
          <w:szCs w:val="20"/>
          <w:color w:val="auto"/>
        </w:rPr>
      </w:pPr>
    </w:p>
    <w:p>
      <w:pPr>
        <w:ind w:right="460"/>
        <w:spacing w:after="0" w:line="251" w:lineRule="auto"/>
        <w:rPr>
          <w:sz w:val="20"/>
          <w:szCs w:val="20"/>
          <w:color w:val="auto"/>
        </w:rPr>
      </w:pPr>
      <w:r>
        <w:rPr>
          <w:rFonts w:ascii="Arial" w:cs="Arial" w:eastAsia="Arial" w:hAnsi="Arial"/>
          <w:sz w:val="16"/>
          <w:szCs w:val="16"/>
          <w:color w:val="auto"/>
        </w:rPr>
        <w:t>We believe Ms. Maynard-Elliott is qualified to serve as a director because of her experience overseeing complex enterprises as a public company director, her experience evaluating business strategies and investment opportunities, and her extensive legal and financial management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487045</wp:posOffset>
            </wp:positionV>
            <wp:extent cx="59664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660" w:lineRule="exact"/>
        <w:rPr>
          <w:sz w:val="20"/>
          <w:szCs w:val="20"/>
          <w:color w:val="auto"/>
        </w:rPr>
      </w:pPr>
    </w:p>
    <w:p>
      <w:pPr>
        <w:sectPr>
          <w:pgSz w:w="11900" w:h="16838" w:orient="portrait"/>
          <w:cols w:equalWidth="0" w:num="2">
            <w:col w:w="3100" w:space="720"/>
            <w:col w:w="6220"/>
          </w:cols>
          <w:pgMar w:left="580" w:top="131"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tabs>
          <w:tab w:leader="none" w:pos="9880" w:val="left"/>
        </w:tabs>
        <w:rPr>
          <w:sz w:val="20"/>
          <w:szCs w:val="20"/>
          <w:color w:val="auto"/>
        </w:rPr>
      </w:pPr>
      <w:r>
        <w:rPr>
          <w:rFonts w:ascii="Arial" w:cs="Arial" w:eastAsia="Arial" w:hAnsi="Arial"/>
          <w:sz w:val="13"/>
          <w:szCs w:val="13"/>
          <w:color w:val="auto"/>
        </w:rPr>
        <w:t>2022 Proxy Statement</w:t>
      </w:r>
      <w:r>
        <w:rPr>
          <w:sz w:val="20"/>
          <w:szCs w:val="20"/>
          <w:color w:val="auto"/>
        </w:rPr>
        <w:tab/>
      </w:r>
      <w:r>
        <w:rPr>
          <w:rFonts w:ascii="Arial" w:cs="Arial" w:eastAsia="Arial" w:hAnsi="Arial"/>
          <w:sz w:val="12"/>
          <w:szCs w:val="12"/>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1" w:right="1279"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468630</wp:posOffset>
            </wp:positionV>
            <wp:extent cx="59664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ectPr>
          <w:pgSz w:w="11900" w:h="16838" w:orient="portrait"/>
          <w:cols w:equalWidth="0" w:num="1">
            <w:col w:w="10040"/>
          </w:cols>
          <w:pgMar w:left="580" w:top="131"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980"/>
        <w:spacing w:after="0"/>
        <w:rPr>
          <w:sz w:val="20"/>
          <w:szCs w:val="20"/>
          <w:color w:val="auto"/>
        </w:rPr>
      </w:pPr>
      <w:r>
        <w:rPr>
          <w:rFonts w:ascii="Arial" w:cs="Arial" w:eastAsia="Arial" w:hAnsi="Arial"/>
          <w:sz w:val="21"/>
          <w:szCs w:val="21"/>
          <w:b w:val="1"/>
          <w:bCs w:val="1"/>
          <w:color w:val="auto"/>
        </w:rPr>
        <w:t>Tony Posawatz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-1760855</wp:posOffset>
            </wp:positionV>
            <wp:extent cx="1397000" cy="13970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97000" cy="1397000"/>
                    </a:xfrm>
                    <a:prstGeom prst="rect">
                      <a:avLst/>
                    </a:prstGeom>
                    <a:noFill/>
                  </pic:spPr>
                </pic:pic>
              </a:graphicData>
            </a:graphic>
          </wp:anchor>
        </w:drawing>
      </w:r>
    </w:p>
    <w:p>
      <w:pPr>
        <w:spacing w:after="0" w:line="194" w:lineRule="exact"/>
        <w:rPr>
          <w:sz w:val="20"/>
          <w:szCs w:val="20"/>
          <w:color w:val="auto"/>
        </w:rPr>
      </w:pPr>
    </w:p>
    <w:p>
      <w:pPr>
        <w:ind w:left="980"/>
        <w:spacing w:after="0"/>
        <w:rPr>
          <w:sz w:val="20"/>
          <w:szCs w:val="20"/>
          <w:color w:val="auto"/>
        </w:rPr>
      </w:pPr>
      <w:r>
        <w:rPr>
          <w:rFonts w:ascii="Arial" w:cs="Arial" w:eastAsia="Arial" w:hAnsi="Arial"/>
          <w:sz w:val="14"/>
          <w:szCs w:val="14"/>
          <w:color w:val="auto"/>
        </w:rPr>
        <w:t>Board Member</w:t>
      </w:r>
    </w:p>
    <w:p>
      <w:pPr>
        <w:spacing w:after="0" w:line="163" w:lineRule="exact"/>
        <w:rPr>
          <w:sz w:val="20"/>
          <w:szCs w:val="20"/>
          <w:color w:val="auto"/>
        </w:rPr>
      </w:pPr>
    </w:p>
    <w:p>
      <w:pPr>
        <w:ind w:left="980"/>
        <w:spacing w:after="0"/>
        <w:rPr>
          <w:sz w:val="20"/>
          <w:szCs w:val="20"/>
          <w:color w:val="auto"/>
        </w:rPr>
      </w:pPr>
      <w:r>
        <w:rPr>
          <w:rFonts w:ascii="Arial" w:cs="Arial" w:eastAsia="Arial" w:hAnsi="Arial"/>
          <w:sz w:val="14"/>
          <w:szCs w:val="14"/>
          <w:color w:val="auto"/>
        </w:rPr>
        <w:t>Age: 62</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4"/>
          <w:szCs w:val="14"/>
          <w:color w:val="auto"/>
        </w:rPr>
        <w:t>Director Since: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340"/>
        <w:spacing w:after="0" w:line="250" w:lineRule="auto"/>
        <w:rPr>
          <w:sz w:val="20"/>
          <w:szCs w:val="20"/>
          <w:color w:val="auto"/>
        </w:rPr>
      </w:pPr>
      <w:r>
        <w:rPr>
          <w:rFonts w:ascii="Arial" w:cs="Arial" w:eastAsia="Arial" w:hAnsi="Arial"/>
          <w:sz w:val="16"/>
          <w:szCs w:val="16"/>
          <w:b w:val="1"/>
          <w:bCs w:val="1"/>
          <w:color w:val="auto"/>
        </w:rPr>
        <w:t xml:space="preserve">Anthony “Tony” Posawatz </w:t>
      </w:r>
      <w:r>
        <w:rPr>
          <w:rFonts w:ascii="Arial" w:cs="Arial" w:eastAsia="Arial" w:hAnsi="Arial"/>
          <w:sz w:val="16"/>
          <w:szCs w:val="16"/>
          <w:color w:val="auto"/>
        </w:rPr>
        <w:t>has served as a member of our board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since April 2019. Mr. Posawatz has also served as President and Chief Executive Officer of Invictus iCAR (Innovation Consulting Advisory Resources) LLC, a company focusing on automotive-technology advancement, since August 2013. He formerly led vehicle development of the Chevrolet Volt at General Motors and served as the President and Chief Executive Officer of Fisker Automotive from 2012 to 2013. Mr. Posawatz currently serves as a director of Beam Global, a manufacturer and retailer of solar electric vehicle charging stations. He also serves as a board member and advisory board member to numerous private companies. Mr. Posawatz holds a B.S. in Mechanical Engineering from Wayne State University and an M.B.A. from Dartmouth College, Tuck School of Business.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886B25"/>
        </w:rPr>
        <w:t>Skills and Qualifications</w:t>
      </w:r>
    </w:p>
    <w:p>
      <w:pPr>
        <w:spacing w:after="0" w:line="133" w:lineRule="exact"/>
        <w:rPr>
          <w:sz w:val="20"/>
          <w:szCs w:val="20"/>
          <w:color w:val="auto"/>
        </w:rPr>
      </w:pPr>
    </w:p>
    <w:p>
      <w:pPr>
        <w:ind w:right="500"/>
        <w:spacing w:after="0" w:line="250" w:lineRule="auto"/>
        <w:rPr>
          <w:sz w:val="20"/>
          <w:szCs w:val="20"/>
          <w:color w:val="auto"/>
        </w:rPr>
      </w:pPr>
      <w:r>
        <w:rPr>
          <w:rFonts w:ascii="Arial" w:cs="Arial" w:eastAsia="Arial" w:hAnsi="Arial"/>
          <w:sz w:val="16"/>
          <w:szCs w:val="16"/>
          <w:color w:val="auto"/>
        </w:rPr>
        <w:t>We believe Mr. Posawatz is qualified to serve as a director because of his expertise in electric vehicle and other mobility technologies, his experience bringing electric vehicles to market, his knowledge of the global automotive industry and his experience overseeing our growth as a member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290195</wp:posOffset>
            </wp:positionV>
            <wp:extent cx="59664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504825</wp:posOffset>
            </wp:positionV>
            <wp:extent cx="59664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37" w:lineRule="exact"/>
        <w:rPr>
          <w:sz w:val="20"/>
          <w:szCs w:val="20"/>
          <w:color w:val="auto"/>
        </w:rPr>
      </w:pPr>
    </w:p>
    <w:p>
      <w:pPr>
        <w:sectPr>
          <w:pgSz w:w="11900" w:h="16838" w:orient="portrait"/>
          <w:cols w:equalWidth="0" w:num="2">
            <w:col w:w="3100" w:space="720"/>
            <w:col w:w="6220"/>
          </w:cols>
          <w:pgMar w:left="580" w:top="131"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980"/>
        <w:spacing w:after="0"/>
        <w:rPr>
          <w:sz w:val="20"/>
          <w:szCs w:val="20"/>
          <w:color w:val="auto"/>
        </w:rPr>
      </w:pPr>
      <w:r>
        <w:rPr>
          <w:rFonts w:ascii="Arial" w:cs="Arial" w:eastAsia="Arial" w:hAnsi="Arial"/>
          <w:sz w:val="21"/>
          <w:szCs w:val="21"/>
          <w:b w:val="1"/>
          <w:bCs w:val="1"/>
          <w:color w:val="auto"/>
        </w:rPr>
        <w:t>Peter Rawlinson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-1760855</wp:posOffset>
            </wp:positionV>
            <wp:extent cx="1397000" cy="13970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97000" cy="1397000"/>
                    </a:xfrm>
                    <a:prstGeom prst="rect">
                      <a:avLst/>
                    </a:prstGeom>
                    <a:noFill/>
                  </pic:spPr>
                </pic:pic>
              </a:graphicData>
            </a:graphic>
          </wp:anchor>
        </w:drawing>
      </w:r>
    </w:p>
    <w:p>
      <w:pPr>
        <w:spacing w:after="0" w:line="194" w:lineRule="exact"/>
        <w:rPr>
          <w:sz w:val="20"/>
          <w:szCs w:val="20"/>
          <w:color w:val="auto"/>
        </w:rPr>
      </w:pPr>
    </w:p>
    <w:p>
      <w:pPr>
        <w:ind w:left="980"/>
        <w:spacing w:after="0"/>
        <w:rPr>
          <w:sz w:val="20"/>
          <w:szCs w:val="20"/>
          <w:color w:val="auto"/>
        </w:rPr>
      </w:pPr>
      <w:r>
        <w:rPr>
          <w:rFonts w:ascii="Arial" w:cs="Arial" w:eastAsia="Arial" w:hAnsi="Arial"/>
          <w:sz w:val="14"/>
          <w:szCs w:val="14"/>
          <w:color w:val="auto"/>
        </w:rPr>
        <w:t>Chief Executive Officer</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4"/>
          <w:szCs w:val="14"/>
          <w:color w:val="auto"/>
        </w:rPr>
        <w:t>and Chief Technology</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4"/>
          <w:szCs w:val="14"/>
          <w:color w:val="auto"/>
        </w:rPr>
        <w:t>Officer</w:t>
      </w:r>
    </w:p>
    <w:p>
      <w:pPr>
        <w:spacing w:after="0" w:line="163" w:lineRule="exact"/>
        <w:rPr>
          <w:sz w:val="20"/>
          <w:szCs w:val="20"/>
          <w:color w:val="auto"/>
        </w:rPr>
      </w:pPr>
    </w:p>
    <w:p>
      <w:pPr>
        <w:ind w:left="980"/>
        <w:spacing w:after="0"/>
        <w:rPr>
          <w:sz w:val="20"/>
          <w:szCs w:val="20"/>
          <w:color w:val="auto"/>
        </w:rPr>
      </w:pPr>
      <w:r>
        <w:rPr>
          <w:rFonts w:ascii="Arial" w:cs="Arial" w:eastAsia="Arial" w:hAnsi="Arial"/>
          <w:sz w:val="14"/>
          <w:szCs w:val="14"/>
          <w:color w:val="auto"/>
        </w:rPr>
        <w:t>Age: 64</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4"/>
          <w:szCs w:val="14"/>
          <w:color w:val="auto"/>
        </w:rPr>
        <w:t>Director Since: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320"/>
        <w:spacing w:after="0" w:line="250" w:lineRule="auto"/>
        <w:rPr>
          <w:sz w:val="20"/>
          <w:szCs w:val="20"/>
          <w:color w:val="auto"/>
        </w:rPr>
      </w:pPr>
      <w:r>
        <w:rPr>
          <w:rFonts w:ascii="Arial" w:cs="Arial" w:eastAsia="Arial" w:hAnsi="Arial"/>
          <w:sz w:val="16"/>
          <w:szCs w:val="16"/>
          <w:b w:val="1"/>
          <w:bCs w:val="1"/>
          <w:color w:val="auto"/>
        </w:rPr>
        <w:t xml:space="preserve">Peter Rawlinson </w:t>
      </w:r>
      <w:r>
        <w:rPr>
          <w:rFonts w:ascii="Arial" w:cs="Arial" w:eastAsia="Arial" w:hAnsi="Arial"/>
          <w:sz w:val="16"/>
          <w:szCs w:val="16"/>
          <w:color w:val="auto"/>
        </w:rPr>
        <w:t>has served as our Chief Executive Officer and Chief Technology</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and as a member of our board of directors since April 2019. He previously served as our Chief Technology Officer from 2013 to April 2019. Prior to joining our company, Mr. Rawlinson was Vice President of Vehicle Engineering and Chief Engineer of the Model S at Tesla, Inc., an electric vehicle company, where he led the engineering of the Model S from a clean sheet to production readiness while building the engineering team. Mr. Rawlinson was formerly Head of Vehicle Engineering at Corus Automotive, an advanced engineering consulting firm, Chief Engineer of Advanced Engineering at Lotus Cars and Principal Engineer of Advanced Body Structures at Jaguar Cars. Mr. Rawlinson holds a BSc from Imperial College, University of London.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886B25"/>
        </w:rPr>
        <w:t>Skills and Qualifications</w:t>
      </w:r>
    </w:p>
    <w:p>
      <w:pPr>
        <w:spacing w:after="0" w:line="133" w:lineRule="exact"/>
        <w:rPr>
          <w:sz w:val="20"/>
          <w:szCs w:val="20"/>
          <w:color w:val="auto"/>
        </w:rPr>
      </w:pPr>
    </w:p>
    <w:p>
      <w:pPr>
        <w:ind w:right="400"/>
        <w:spacing w:after="0" w:line="251" w:lineRule="auto"/>
        <w:rPr>
          <w:sz w:val="20"/>
          <w:szCs w:val="20"/>
          <w:color w:val="auto"/>
        </w:rPr>
      </w:pPr>
      <w:r>
        <w:rPr>
          <w:rFonts w:ascii="Arial" w:cs="Arial" w:eastAsia="Arial" w:hAnsi="Arial"/>
          <w:sz w:val="16"/>
          <w:szCs w:val="16"/>
          <w:color w:val="auto"/>
        </w:rPr>
        <w:t>We believe Mr. Rawlinson is qualified to serve as a director due to his experience as our Chief Executive Officer and Chief Technology Officer, as well as his extensive technical and operational expertise and experience in the automotive industry and the electric vehicle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615950</wp:posOffset>
            </wp:positionV>
            <wp:extent cx="59664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849" w:lineRule="exact"/>
        <w:rPr>
          <w:sz w:val="20"/>
          <w:szCs w:val="20"/>
          <w:color w:val="auto"/>
        </w:rPr>
      </w:pPr>
    </w:p>
    <w:p>
      <w:pPr>
        <w:sectPr>
          <w:pgSz w:w="11900" w:h="16838" w:orient="portrait"/>
          <w:cols w:equalWidth="0" w:num="2">
            <w:col w:w="3100" w:space="720"/>
            <w:col w:w="6220"/>
          </w:cols>
          <w:pgMar w:left="580" w:top="131"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2"/>
          <w:szCs w:val="12"/>
          <w:b w:val="1"/>
          <w:bCs w:val="1"/>
          <w:color w:val="auto"/>
        </w:rPr>
        <w:t>14</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110490</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1" w:right="1279"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468630</wp:posOffset>
            </wp:positionV>
            <wp:extent cx="59664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ectPr>
          <w:pgSz w:w="11900" w:h="16838" w:orient="portrait"/>
          <w:cols w:equalWidth="0" w:num="1">
            <w:col w:w="10040"/>
          </w:cols>
          <w:pgMar w:left="580" w:top="131"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980"/>
        <w:spacing w:after="0"/>
        <w:rPr>
          <w:sz w:val="20"/>
          <w:szCs w:val="20"/>
          <w:color w:val="auto"/>
        </w:rPr>
      </w:pPr>
      <w:r>
        <w:rPr>
          <w:rFonts w:ascii="Arial" w:cs="Arial" w:eastAsia="Arial" w:hAnsi="Arial"/>
          <w:sz w:val="21"/>
          <w:szCs w:val="21"/>
          <w:b w:val="1"/>
          <w:bCs w:val="1"/>
          <w:color w:val="auto"/>
        </w:rPr>
        <w:t>Janet S.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-1760855</wp:posOffset>
            </wp:positionV>
            <wp:extent cx="1397000" cy="13970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97000" cy="1397000"/>
                    </a:xfrm>
                    <a:prstGeom prst="rect">
                      <a:avLst/>
                    </a:prstGeom>
                    <a:noFill/>
                  </pic:spPr>
                </pic:pic>
              </a:graphicData>
            </a:graphic>
          </wp:anchor>
        </w:drawing>
      </w:r>
    </w:p>
    <w:p>
      <w:pPr>
        <w:spacing w:after="0" w:line="194" w:lineRule="exact"/>
        <w:rPr>
          <w:sz w:val="20"/>
          <w:szCs w:val="20"/>
          <w:color w:val="auto"/>
        </w:rPr>
      </w:pPr>
    </w:p>
    <w:p>
      <w:pPr>
        <w:ind w:left="980"/>
        <w:spacing w:after="0"/>
        <w:rPr>
          <w:sz w:val="20"/>
          <w:szCs w:val="20"/>
          <w:color w:val="auto"/>
        </w:rPr>
      </w:pPr>
      <w:r>
        <w:rPr>
          <w:rFonts w:ascii="Arial" w:cs="Arial" w:eastAsia="Arial" w:hAnsi="Arial"/>
          <w:sz w:val="14"/>
          <w:szCs w:val="14"/>
          <w:color w:val="auto"/>
        </w:rPr>
        <w:t>Board Member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0"/>
        <w:spacing w:after="0" w:line="249" w:lineRule="auto"/>
        <w:rPr>
          <w:sz w:val="20"/>
          <w:szCs w:val="20"/>
          <w:color w:val="auto"/>
        </w:rPr>
      </w:pPr>
      <w:r>
        <w:rPr>
          <w:rFonts w:ascii="Arial" w:cs="Arial" w:eastAsia="Arial" w:hAnsi="Arial"/>
          <w:sz w:val="16"/>
          <w:szCs w:val="16"/>
          <w:b w:val="1"/>
          <w:bCs w:val="1"/>
          <w:color w:val="auto"/>
        </w:rPr>
        <w:t xml:space="preserve">Janet S. Wong </w:t>
      </w:r>
      <w:r>
        <w:rPr>
          <w:rFonts w:ascii="Arial" w:cs="Arial" w:eastAsia="Arial" w:hAnsi="Arial"/>
          <w:sz w:val="16"/>
          <w:szCs w:val="16"/>
          <w:color w:val="auto"/>
        </w:rPr>
        <w:t>has been a member of our board of directors since July 2021.</w:t>
      </w:r>
      <w:r>
        <w:rPr>
          <w:rFonts w:ascii="Arial" w:cs="Arial" w:eastAsia="Arial" w:hAnsi="Arial"/>
          <w:sz w:val="16"/>
          <w:szCs w:val="16"/>
          <w:b w:val="1"/>
          <w:bCs w:val="1"/>
          <w:color w:val="auto"/>
        </w:rPr>
        <w:t xml:space="preserve"> </w:t>
      </w:r>
      <w:r>
        <w:rPr>
          <w:rFonts w:ascii="Arial" w:cs="Arial" w:eastAsia="Arial" w:hAnsi="Arial"/>
          <w:sz w:val="16"/>
          <w:szCs w:val="16"/>
          <w:color w:val="auto"/>
        </w:rPr>
        <w:t>Ms. Wong is a licensed Certified Public Accountant with more than 30 years of public accounting experience. She is a partner (retired) with KPMG LLP, an international professional services firm, where she served as a National Industry Practice Lead Partner. Ms. Wong has served as a director of Enviva Inc., a global energy company, since May 2015, a director of Allegiance Bancshares, Inc., a commercial banking organization, since April 2020 and a director of Lumentum Holdings Inc., a manufacturer of innovative optical and photonic products since September 2020. She served on the advisory board of Big Controls Inc., a business intelligence and analytics company, from May 2016 to May 2020.</w:t>
      </w:r>
    </w:p>
    <w:p>
      <w:pPr>
        <w:spacing w:after="0" w:line="1" w:lineRule="exact"/>
        <w:rPr>
          <w:sz w:val="20"/>
          <w:szCs w:val="20"/>
          <w:color w:val="auto"/>
        </w:rPr>
      </w:pPr>
    </w:p>
    <w:p>
      <w:pPr>
        <w:ind w:right="340"/>
        <w:spacing w:after="0" w:line="252" w:lineRule="auto"/>
        <w:rPr>
          <w:sz w:val="20"/>
          <w:szCs w:val="20"/>
          <w:color w:val="auto"/>
        </w:rPr>
      </w:pPr>
      <w:r>
        <w:rPr>
          <w:rFonts w:ascii="Arial" w:cs="Arial" w:eastAsia="Arial" w:hAnsi="Arial"/>
          <w:sz w:val="16"/>
          <w:szCs w:val="16"/>
          <w:color w:val="auto"/>
        </w:rPr>
        <w:t>Ms. Wong is on the Board of Trustees for the Computer History Museum, the Board of the Louisiana Tech University Foundation, and the Board of the Tri-Cities Chapter of the National Association of Corporate Directors. She holds a Master of Professional Accountancy from Louisiana Tech University and a Master of Taxation from Golden Gate University. She is a NACD (National Association of Corporate Directors) Certified</w:t>
      </w:r>
      <w:r>
        <w:rPr>
          <w:rFonts w:ascii="Arial" w:cs="Arial" w:eastAsia="Arial" w:hAnsi="Arial"/>
          <w:sz w:val="19"/>
          <w:szCs w:val="19"/>
          <w:color w:val="auto"/>
          <w:vertAlign w:val="superscript"/>
        </w:rPr>
        <w:t>®</w:t>
      </w:r>
      <w:r>
        <w:rPr>
          <w:rFonts w:ascii="Arial" w:cs="Arial" w:eastAsia="Arial" w:hAnsi="Arial"/>
          <w:sz w:val="16"/>
          <w:szCs w:val="16"/>
          <w:color w:val="auto"/>
        </w:rPr>
        <w:t xml:space="preserve"> Director.</w:t>
      </w:r>
    </w:p>
    <w:p>
      <w:pPr>
        <w:spacing w:after="0" w:line="108" w:lineRule="exact"/>
        <w:rPr>
          <w:sz w:val="20"/>
          <w:szCs w:val="20"/>
          <w:color w:val="auto"/>
        </w:rPr>
      </w:pPr>
    </w:p>
    <w:p>
      <w:pPr>
        <w:sectPr>
          <w:pgSz w:w="11900" w:h="16838" w:orient="portrait"/>
          <w:cols w:equalWidth="0" w:num="2">
            <w:col w:w="3100" w:space="720"/>
            <w:col w:w="6220"/>
          </w:cols>
          <w:pgMar w:left="580" w:top="131" w:right="1279" w:bottom="1440" w:gutter="0" w:footer="0" w:header="0"/>
          <w:type w:val="continuous"/>
        </w:sectPr>
      </w:pPr>
    </w:p>
    <w:p>
      <w:pPr>
        <w:spacing w:after="0" w:line="117" w:lineRule="exact"/>
        <w:rPr>
          <w:sz w:val="20"/>
          <w:szCs w:val="20"/>
          <w:color w:val="auto"/>
        </w:rPr>
      </w:pPr>
    </w:p>
    <w:p>
      <w:pPr>
        <w:ind w:left="980"/>
        <w:spacing w:after="0"/>
        <w:rPr>
          <w:sz w:val="20"/>
          <w:szCs w:val="20"/>
          <w:color w:val="auto"/>
        </w:rPr>
      </w:pPr>
      <w:r>
        <w:rPr>
          <w:rFonts w:ascii="Arial" w:cs="Arial" w:eastAsia="Arial" w:hAnsi="Arial"/>
          <w:sz w:val="14"/>
          <w:szCs w:val="14"/>
          <w:color w:val="auto"/>
        </w:rPr>
        <w:t>Age: 63</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4"/>
          <w:szCs w:val="14"/>
          <w:color w:val="auto"/>
        </w:rPr>
        <w:t>Director Since: 2021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886B25"/>
        </w:rPr>
        <w:t>Skills and Qualifications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We believe Ms. Wong is qualified to serve as a director because of her</w:t>
      </w:r>
    </w:p>
    <w:p>
      <w:pPr>
        <w:spacing w:after="0" w:line="5" w:lineRule="exact"/>
        <w:rPr>
          <w:sz w:val="20"/>
          <w:szCs w:val="20"/>
          <w:color w:val="auto"/>
        </w:rPr>
      </w:pPr>
    </w:p>
    <w:p>
      <w:pPr>
        <w:ind w:right="460"/>
        <w:spacing w:after="0" w:line="251" w:lineRule="auto"/>
        <w:rPr>
          <w:sz w:val="20"/>
          <w:szCs w:val="20"/>
          <w:color w:val="auto"/>
        </w:rPr>
      </w:pPr>
      <w:r>
        <w:rPr>
          <w:rFonts w:ascii="Arial" w:cs="Arial" w:eastAsia="Arial" w:hAnsi="Arial"/>
          <w:sz w:val="16"/>
          <w:szCs w:val="16"/>
          <w:color w:val="auto"/>
        </w:rPr>
        <w:t>many years of public accounting experience serving global companies, her deep financial and risk management expertise, and her experience advising sophisticated enterprises in the consumer markets, energy, manufacturing, and technology sectors.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195580</wp:posOffset>
            </wp:positionV>
            <wp:extent cx="59664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00" w:space="720"/>
            <w:col w:w="6220"/>
          </w:cols>
          <w:pgMar w:left="580" w:top="131" w:right="1279" w:bottom="1440" w:gutter="0" w:footer="0" w:header="0"/>
          <w:type w:val="continuous"/>
        </w:sectPr>
      </w:pPr>
    </w:p>
    <w:p>
      <w:pPr>
        <w:spacing w:after="0" w:line="33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Vote Required</w:t>
      </w:r>
    </w:p>
    <w:p>
      <w:pPr>
        <w:spacing w:after="0" w:line="205" w:lineRule="exact"/>
        <w:rPr>
          <w:sz w:val="20"/>
          <w:szCs w:val="20"/>
          <w:color w:val="auto"/>
        </w:rPr>
      </w:pPr>
    </w:p>
    <w:p>
      <w:pPr>
        <w:ind w:left="660" w:right="220"/>
        <w:spacing w:after="0" w:line="288" w:lineRule="auto"/>
        <w:rPr>
          <w:sz w:val="20"/>
          <w:szCs w:val="20"/>
          <w:color w:val="auto"/>
        </w:rPr>
      </w:pPr>
      <w:r>
        <w:rPr>
          <w:rFonts w:ascii="Arial" w:cs="Arial" w:eastAsia="Arial" w:hAnsi="Arial"/>
          <w:sz w:val="16"/>
          <w:szCs w:val="16"/>
          <w:color w:val="auto"/>
        </w:rPr>
        <w:t>For the election of directors, the nines nominees receiving the most “For” votes from the holders of shares present at the Annual Meeting or represented by proxy and entitled to vote on Proposal No. 1 will be elected as directors to hold office until the 2023 annual meeting of stockholders. Only votes “For” or “Withheld” will affect the outcome. Broker non-votes will have no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495300</wp:posOffset>
            </wp:positionV>
            <wp:extent cx="5966460" cy="4540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646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679"/>
        <w:spacing w:after="0"/>
        <w:rPr>
          <w:sz w:val="20"/>
          <w:szCs w:val="20"/>
          <w:color w:val="auto"/>
        </w:rPr>
      </w:pPr>
      <w:r>
        <w:rPr>
          <w:rFonts w:ascii="Arial" w:cs="Arial" w:eastAsia="Arial" w:hAnsi="Arial"/>
          <w:sz w:val="22"/>
          <w:szCs w:val="22"/>
          <w:color w:val="FEFEFE"/>
        </w:rPr>
        <w:t>The Board of Directors Recommends</w:t>
      </w:r>
    </w:p>
    <w:p>
      <w:pPr>
        <w:jc w:val="center"/>
        <w:ind w:right="-679"/>
        <w:spacing w:after="0"/>
        <w:rPr>
          <w:sz w:val="20"/>
          <w:szCs w:val="20"/>
          <w:color w:val="auto"/>
        </w:rPr>
      </w:pPr>
      <w:r>
        <w:rPr>
          <w:rFonts w:ascii="Arial" w:cs="Arial" w:eastAsia="Arial" w:hAnsi="Arial"/>
          <w:sz w:val="22"/>
          <w:szCs w:val="22"/>
          <w:color w:val="FEFEFE"/>
        </w:rPr>
        <w:t>a Vote in Favor of Each Named Nominee.</w:t>
      </w:r>
    </w:p>
    <w:p>
      <w:pPr>
        <w:sectPr>
          <w:pgSz w:w="11900" w:h="16838" w:orient="portrait"/>
          <w:cols w:equalWidth="0" w:num="1">
            <w:col w:w="10040"/>
          </w:cols>
          <w:pgMar w:left="580" w:top="131"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spacing w:after="0"/>
        <w:tabs>
          <w:tab w:leader="none" w:pos="9880" w:val="left"/>
        </w:tabs>
        <w:rPr>
          <w:sz w:val="20"/>
          <w:szCs w:val="20"/>
          <w:color w:val="auto"/>
        </w:rPr>
      </w:pPr>
      <w:r>
        <w:rPr>
          <w:rFonts w:ascii="Arial" w:cs="Arial" w:eastAsia="Arial" w:hAnsi="Arial"/>
          <w:sz w:val="13"/>
          <w:szCs w:val="13"/>
          <w:color w:val="auto"/>
        </w:rPr>
        <w:t>2022 Proxy Statement</w:t>
      </w:r>
      <w:r>
        <w:rPr>
          <w:sz w:val="20"/>
          <w:szCs w:val="20"/>
          <w:color w:val="auto"/>
        </w:rPr>
        <w:tab/>
      </w:r>
      <w:r>
        <w:rPr>
          <w:rFonts w:ascii="Arial" w:cs="Arial" w:eastAsia="Arial" w:hAnsi="Arial"/>
          <w:sz w:val="12"/>
          <w:szCs w:val="1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1" w:right="1279"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right="1600"/>
        <w:spacing w:after="0" w:line="252" w:lineRule="auto"/>
        <w:rPr>
          <w:sz w:val="20"/>
          <w:szCs w:val="20"/>
          <w:color w:val="auto"/>
        </w:rPr>
      </w:pPr>
      <w:r>
        <w:rPr>
          <w:rFonts w:ascii="Arial" w:cs="Arial" w:eastAsia="Arial" w:hAnsi="Arial"/>
          <w:sz w:val="36"/>
          <w:szCs w:val="36"/>
          <w:b w:val="1"/>
          <w:bCs w:val="1"/>
          <w:color w:val="auto"/>
        </w:rPr>
        <w:t>Information Regarding the Board of Directors and Corporate Governance</w:t>
      </w:r>
    </w:p>
    <w:p>
      <w:pPr>
        <w:spacing w:after="0" w:line="305" w:lineRule="exact"/>
        <w:rPr>
          <w:sz w:val="20"/>
          <w:szCs w:val="20"/>
          <w:color w:val="auto"/>
        </w:rPr>
      </w:pPr>
    </w:p>
    <w:p>
      <w:pPr>
        <w:ind w:left="660"/>
        <w:spacing w:after="0" w:line="266" w:lineRule="auto"/>
        <w:rPr>
          <w:sz w:val="20"/>
          <w:szCs w:val="20"/>
          <w:color w:val="auto"/>
        </w:rPr>
      </w:pPr>
      <w:r>
        <w:rPr>
          <w:rFonts w:ascii="Arial" w:cs="Arial" w:eastAsia="Arial" w:hAnsi="Arial"/>
          <w:sz w:val="16"/>
          <w:szCs w:val="16"/>
          <w:color w:val="auto"/>
        </w:rPr>
        <w:t>This section describes key corporate governance guidelines and practices that we have adopted. Complete copies of our Corporate Governance Guidelines, the charters of the committees of the Board and our Code of Business Conduct and Ethics, described below, can be found in the Governance section of the Investors section of our website at https://ir.lucidmotors.com/ governance/documents-and-charters. Alternatively, you can request a copy of any of these documents free of charge by writing to: Jonathan Butler, General Counsel &amp; Secretary, c/o Lucid Group, Inc., 7373 Gateway Boulevard, Newark, CA 94560. Information on or accessible through our website is not incorporated by reference in this Proxy Statement.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Controlled Company</w:t>
      </w:r>
    </w:p>
    <w:p>
      <w:pPr>
        <w:spacing w:after="0" w:line="192" w:lineRule="exact"/>
        <w:rPr>
          <w:sz w:val="20"/>
          <w:szCs w:val="20"/>
          <w:color w:val="auto"/>
        </w:rPr>
      </w:pPr>
    </w:p>
    <w:p>
      <w:pPr>
        <w:ind w:left="660"/>
        <w:spacing w:after="0" w:line="266" w:lineRule="auto"/>
        <w:rPr>
          <w:sz w:val="20"/>
          <w:szCs w:val="20"/>
          <w:color w:val="auto"/>
        </w:rPr>
      </w:pPr>
      <w:r>
        <w:rPr>
          <w:rFonts w:ascii="Arial" w:cs="Arial" w:eastAsia="Arial" w:hAnsi="Arial"/>
          <w:sz w:val="16"/>
          <w:szCs w:val="16"/>
          <w:color w:val="auto"/>
        </w:rPr>
        <w:t>Our Common Stock is listed on Nasdaq. As Ayar controls more than 50% of our combined voting power, we are a “controlled company” for purposes of Nasdaq’s rules and corporate governance standards and, as a result, qualify for exemptions from certain corporate governance requirements. Although as of the date of this Proxy Statement, we do not utilize any of these exemptions, we may elect to utilize one or more of these exemptions for so long as we remain a “controlled company.” In the event that we cease to be a “controlled company” and our shares continue to be listed on Nasdaq, we will be required to comply with these provisions within the applicable transition periods.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Board Composition</w:t>
      </w:r>
    </w:p>
    <w:p>
      <w:pPr>
        <w:spacing w:after="0" w:line="192" w:lineRule="exact"/>
        <w:rPr>
          <w:sz w:val="20"/>
          <w:szCs w:val="20"/>
          <w:color w:val="auto"/>
        </w:rPr>
      </w:pPr>
    </w:p>
    <w:p>
      <w:pPr>
        <w:ind w:left="660" w:right="100"/>
        <w:spacing w:after="0" w:line="267" w:lineRule="auto"/>
        <w:rPr>
          <w:sz w:val="20"/>
          <w:szCs w:val="20"/>
          <w:color w:val="auto"/>
        </w:rPr>
      </w:pPr>
      <w:r>
        <w:rPr>
          <w:rFonts w:ascii="Arial" w:cs="Arial" w:eastAsia="Arial" w:hAnsi="Arial"/>
          <w:sz w:val="16"/>
          <w:szCs w:val="16"/>
          <w:color w:val="auto"/>
        </w:rPr>
        <w:t>Our Board of Directors consists of nine members. Andrew Liveris is the Chairman of our Board. The primary responsibilities of our Board are to provide oversight, strategic guidance, counseling and direction to management. Our Board meets on a regular basis and additionally, as required. In accordance with the Investor Rights Agreement, Turqi Alnowaiser, Frank Lindenberg, Andrew Liveris, Nichelle Maynard-Elliott and Tony Posawatz were designated for nomination by Ayar to the Board of Directors and nominated by the Nominating and Corporate Governance Committee and the Board.</w:t>
      </w:r>
    </w:p>
    <w:p>
      <w:pPr>
        <w:spacing w:after="0" w:line="205" w:lineRule="exact"/>
        <w:rPr>
          <w:sz w:val="20"/>
          <w:szCs w:val="20"/>
          <w:color w:val="auto"/>
        </w:rPr>
      </w:pPr>
    </w:p>
    <w:p>
      <w:pPr>
        <w:ind w:left="660" w:right="540"/>
        <w:spacing w:after="0" w:line="278" w:lineRule="auto"/>
        <w:rPr>
          <w:sz w:val="20"/>
          <w:szCs w:val="20"/>
          <w:color w:val="auto"/>
        </w:rPr>
      </w:pPr>
      <w:r>
        <w:rPr>
          <w:rFonts w:ascii="Arial" w:cs="Arial" w:eastAsia="Arial" w:hAnsi="Arial"/>
          <w:sz w:val="16"/>
          <w:szCs w:val="16"/>
          <w:color w:val="auto"/>
        </w:rPr>
        <w:t>All directors will be elected at each annual meeting of our stockholders. Each director’s term continues until the election and qualification of their successor, or their earlier death, resignation or removal.</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Director Independence</w:t>
      </w:r>
    </w:p>
    <w:p>
      <w:pPr>
        <w:spacing w:after="0" w:line="192" w:lineRule="exact"/>
        <w:rPr>
          <w:sz w:val="20"/>
          <w:szCs w:val="20"/>
          <w:color w:val="auto"/>
        </w:rPr>
      </w:pPr>
    </w:p>
    <w:p>
      <w:pPr>
        <w:ind w:left="660" w:right="140"/>
        <w:spacing w:after="0" w:line="266" w:lineRule="auto"/>
        <w:rPr>
          <w:sz w:val="20"/>
          <w:szCs w:val="20"/>
          <w:color w:val="auto"/>
        </w:rPr>
      </w:pPr>
      <w:r>
        <w:rPr>
          <w:rFonts w:ascii="Arial" w:cs="Arial" w:eastAsia="Arial" w:hAnsi="Arial"/>
          <w:sz w:val="16"/>
          <w:szCs w:val="16"/>
          <w:color w:val="auto"/>
        </w:rPr>
        <w:t>The Board has affirmatively determined that all of the nominees, other than Peter Rawlinson, are independent directors within the meaning of the applicable Nasdaq listing standards and relevant securities and other laws, rules and regulations regarding the definition of “independent” (the “Independent Directors”).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entitled “Certain Relationships and Related Party Transactions.” There are no family relationships between any director and any of our executive officers.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Board Leadership Structure</w:t>
      </w:r>
    </w:p>
    <w:p>
      <w:pPr>
        <w:spacing w:after="0" w:line="192" w:lineRule="exact"/>
        <w:rPr>
          <w:sz w:val="20"/>
          <w:szCs w:val="20"/>
          <w:color w:val="auto"/>
        </w:rPr>
      </w:pPr>
    </w:p>
    <w:p>
      <w:pPr>
        <w:ind w:left="660" w:right="580"/>
        <w:spacing w:after="0" w:line="278" w:lineRule="auto"/>
        <w:rPr>
          <w:sz w:val="20"/>
          <w:szCs w:val="20"/>
          <w:color w:val="auto"/>
        </w:rPr>
      </w:pPr>
      <w:r>
        <w:rPr>
          <w:rFonts w:ascii="Arial" w:cs="Arial" w:eastAsia="Arial" w:hAnsi="Arial"/>
          <w:sz w:val="16"/>
          <w:szCs w:val="16"/>
          <w:color w:val="auto"/>
        </w:rPr>
        <w:t>The Board reviews its leadership structure periodically as part of its annual self-assessment process. In addition, the Board continues to monitor developments in corporate governance as well as the approaches our peers undertake.</w:t>
      </w:r>
    </w:p>
    <w:p>
      <w:pPr>
        <w:spacing w:after="0" w:line="195" w:lineRule="exact"/>
        <w:rPr>
          <w:sz w:val="20"/>
          <w:szCs w:val="20"/>
          <w:color w:val="auto"/>
        </w:rPr>
      </w:pPr>
    </w:p>
    <w:p>
      <w:pPr>
        <w:ind w:left="660" w:right="100"/>
        <w:spacing w:after="0" w:line="265" w:lineRule="auto"/>
        <w:rPr>
          <w:sz w:val="20"/>
          <w:szCs w:val="20"/>
          <w:color w:val="auto"/>
        </w:rPr>
      </w:pPr>
      <w:r>
        <w:rPr>
          <w:rFonts w:ascii="Arial" w:cs="Arial" w:eastAsia="Arial" w:hAnsi="Arial"/>
          <w:sz w:val="16"/>
          <w:szCs w:val="16"/>
          <w:color w:val="auto"/>
        </w:rPr>
        <w:t>The Board believes that it is important to retain the flexibility to allocate the responsibilities of the offices of Chairman of the Board (“Chair”) and Chief Executive Officer in any manner that it determines to be in the best interests of the Company at any point in time. Our Chair is currently Andrew Liveris. The Chair and our Chief Executive Officer are currently separate. Our Board of Directors does not currently have a policy as to whether the role of Chair and the Chief Executive Officer should be separate. Our Board of Directors believes that the Company and its stockholders are best served by maintaining the flexibility to determine whether the Chair and Chief Executive Officer positions should be separated or combined at a given point in time in order to provide appropriate leadership for us at that time. At any time the Company is not availing itself of the “controlled company” exceptions under the Nasdaq rules, in order to maintain the independent integrity of the Board, if the Chair is not an independent director, the Board shall appoint a lead director who must be independent. Our Corporate Governance Guidelines note that all directors are elected by the stockholders and all have an equal voice. The Chair and the Chief Executive Officer are free, as is the Board of Directors as a whole, to call upon any one or more directors to provide leadership in a given situation should a special need arise.</w:t>
      </w:r>
    </w:p>
    <w:p>
      <w:pPr>
        <w:sectPr>
          <w:pgSz w:w="11900" w:h="16838" w:orient="portrait"/>
          <w:cols w:equalWidth="0" w:num="1">
            <w:col w:w="10040"/>
          </w:cols>
          <w:pgMar w:left="580" w:top="131" w:right="1279" w:bottom="1440" w:gutter="0" w:footer="0" w:header="0"/>
        </w:sectPr>
      </w:pPr>
    </w:p>
    <w:p>
      <w:pPr>
        <w:spacing w:after="0" w:line="387"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2"/>
          <w:szCs w:val="12"/>
          <w:b w:val="1"/>
          <w:bCs w:val="1"/>
          <w:color w:val="auto"/>
        </w:rPr>
        <w:t>16</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110490</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1" w:right="1279"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60" w:right="100"/>
        <w:spacing w:after="0" w:line="278" w:lineRule="auto"/>
        <w:rPr>
          <w:sz w:val="20"/>
          <w:szCs w:val="20"/>
          <w:color w:val="auto"/>
        </w:rPr>
      </w:pPr>
      <w:r>
        <w:rPr>
          <w:rFonts w:ascii="Arial" w:cs="Arial" w:eastAsia="Arial" w:hAnsi="Arial"/>
          <w:sz w:val="16"/>
          <w:szCs w:val="16"/>
          <w:color w:val="auto"/>
        </w:rPr>
        <w:t>Additionally, pursuant to the Investor Rights Agreement and subject to Ayar’s continued beneficial ownership of specified amounts of our Common Stock (as described above), Ayar is entitled to select the Chair.</w:t>
      </w:r>
    </w:p>
    <w:p>
      <w:pPr>
        <w:spacing w:after="0" w:line="195" w:lineRule="exact"/>
        <w:rPr>
          <w:sz w:val="20"/>
          <w:szCs w:val="20"/>
          <w:color w:val="auto"/>
        </w:rPr>
      </w:pPr>
    </w:p>
    <w:p>
      <w:pPr>
        <w:ind w:left="660" w:right="160"/>
        <w:spacing w:after="0" w:line="267" w:lineRule="auto"/>
        <w:rPr>
          <w:sz w:val="20"/>
          <w:szCs w:val="20"/>
          <w:color w:val="auto"/>
        </w:rPr>
      </w:pPr>
      <w:r>
        <w:rPr>
          <w:rFonts w:ascii="Arial" w:cs="Arial" w:eastAsia="Arial" w:hAnsi="Arial"/>
          <w:sz w:val="16"/>
          <w:szCs w:val="16"/>
          <w:color w:val="auto"/>
        </w:rPr>
        <w:t>The Board of Directors, including each of its committees, also has complete and open access to any member of the Company’s management and the authority to retain independent advisors as the Board or such committee deems appropriate. In addition, all members of the Audit Committee, the Nominating and Corporate Governance Committee and the Compensation Committee are Independent Directors, and the committee chairs have authority to hold executive sessions without management and non-Independent Directors present.</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Board Diversity</w:t>
      </w:r>
    </w:p>
    <w:p>
      <w:pPr>
        <w:spacing w:after="0" w:line="192" w:lineRule="exact"/>
        <w:rPr>
          <w:sz w:val="20"/>
          <w:szCs w:val="20"/>
          <w:color w:val="auto"/>
        </w:rPr>
      </w:pPr>
    </w:p>
    <w:p>
      <w:pPr>
        <w:ind w:left="660"/>
        <w:spacing w:after="0" w:line="278" w:lineRule="auto"/>
        <w:rPr>
          <w:sz w:val="20"/>
          <w:szCs w:val="20"/>
          <w:color w:val="auto"/>
        </w:rPr>
      </w:pPr>
      <w:r>
        <w:rPr>
          <w:rFonts w:ascii="Arial" w:cs="Arial" w:eastAsia="Arial" w:hAnsi="Arial"/>
          <w:sz w:val="16"/>
          <w:szCs w:val="16"/>
          <w:color w:val="auto"/>
        </w:rPr>
        <w:t>We are committed to diversity and inclusion, and the highly diverse nature of our Board reflects that commitment. We believe that a variety of experiences and points of view contributes to a more effective decision-making process.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below Board Diversity Matrix reports self-identified diversity statistics for the Board in the format required by Nasdaq’s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182245</wp:posOffset>
            </wp:positionV>
            <wp:extent cx="5966460" cy="7200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6460" cy="720090"/>
                    </a:xfrm>
                    <a:prstGeom prst="rect">
                      <a:avLst/>
                    </a:prstGeom>
                    <a:noFill/>
                  </pic:spPr>
                </pic:pic>
              </a:graphicData>
            </a:graphic>
          </wp:anchor>
        </w:drawing>
      </w:r>
    </w:p>
    <w:p>
      <w:pPr>
        <w:spacing w:after="0" w:line="380" w:lineRule="exact"/>
        <w:rPr>
          <w:sz w:val="20"/>
          <w:szCs w:val="20"/>
          <w:color w:val="auto"/>
        </w:rPr>
      </w:pPr>
    </w:p>
    <w:p>
      <w:pPr>
        <w:ind w:left="3980"/>
        <w:spacing w:after="0"/>
        <w:rPr>
          <w:sz w:val="20"/>
          <w:szCs w:val="20"/>
          <w:color w:val="auto"/>
        </w:rPr>
      </w:pPr>
      <w:r>
        <w:rPr>
          <w:rFonts w:ascii="Arial" w:cs="Arial" w:eastAsia="Arial" w:hAnsi="Arial"/>
          <w:sz w:val="13"/>
          <w:szCs w:val="13"/>
          <w:b w:val="1"/>
          <w:bCs w:val="1"/>
          <w:color w:val="FEFEFE"/>
        </w:rPr>
        <w:t>Board Diversity Matrix (as of March 31, 2022)</w:t>
      </w:r>
    </w:p>
    <w:p>
      <w:pPr>
        <w:spacing w:after="0" w:line="102"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140" w:type="dxa"/>
            <w:vAlign w:val="bottom"/>
          </w:tcPr>
          <w:p>
            <w:pPr>
              <w:spacing w:after="0"/>
              <w:rPr>
                <w:sz w:val="20"/>
                <w:szCs w:val="20"/>
                <w:color w:val="auto"/>
              </w:rPr>
            </w:pPr>
          </w:p>
        </w:tc>
        <w:tc>
          <w:tcPr>
            <w:tcW w:w="618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Total Number of Directors</w:t>
            </w:r>
          </w:p>
        </w:tc>
        <w:tc>
          <w:tcPr>
            <w:tcW w:w="780" w:type="dxa"/>
            <w:vAlign w:val="bottom"/>
            <w:shd w:val="clear" w:color="auto" w:fill="000000"/>
          </w:tcPr>
          <w:p>
            <w:pPr>
              <w:spacing w:after="0"/>
              <w:rPr>
                <w:sz w:val="20"/>
                <w:szCs w:val="20"/>
                <w:color w:val="auto"/>
              </w:rPr>
            </w:pPr>
          </w:p>
        </w:tc>
        <w:tc>
          <w:tcPr>
            <w:tcW w:w="500" w:type="dxa"/>
            <w:vAlign w:val="bottom"/>
            <w:shd w:val="clear" w:color="auto" w:fill="000000"/>
          </w:tcPr>
          <w:p>
            <w:pPr>
              <w:spacing w:after="0"/>
              <w:rPr>
                <w:sz w:val="20"/>
                <w:szCs w:val="20"/>
                <w:color w:val="auto"/>
              </w:rPr>
            </w:pPr>
          </w:p>
        </w:tc>
        <w:tc>
          <w:tcPr>
            <w:tcW w:w="920" w:type="dxa"/>
            <w:vAlign w:val="bottom"/>
            <w:shd w:val="clear" w:color="auto" w:fill="000000"/>
          </w:tcPr>
          <w:p>
            <w:pPr>
              <w:jc w:val="right"/>
              <w:ind w:right="550"/>
              <w:spacing w:after="0"/>
              <w:rPr>
                <w:sz w:val="20"/>
                <w:szCs w:val="20"/>
                <w:color w:val="auto"/>
              </w:rPr>
            </w:pPr>
            <w:r>
              <w:rPr>
                <w:rFonts w:ascii="Arial" w:cs="Arial" w:eastAsia="Arial" w:hAnsi="Arial"/>
                <w:sz w:val="13"/>
                <w:szCs w:val="13"/>
                <w:b w:val="1"/>
                <w:bCs w:val="1"/>
                <w:color w:val="FEFEFE"/>
              </w:rPr>
              <w:t>9</w:t>
            </w:r>
          </w:p>
        </w:tc>
        <w:tc>
          <w:tcPr>
            <w:tcW w:w="860" w:type="dxa"/>
            <w:vAlign w:val="bottom"/>
            <w:shd w:val="clear" w:color="auto" w:fill="000000"/>
          </w:tcPr>
          <w:p>
            <w:pPr>
              <w:spacing w:after="0"/>
              <w:rPr>
                <w:sz w:val="20"/>
                <w:szCs w:val="20"/>
                <w:color w:val="auto"/>
              </w:rPr>
            </w:pPr>
          </w:p>
        </w:tc>
      </w:tr>
      <w:tr>
        <w:trPr>
          <w:trHeight w:val="90"/>
        </w:trPr>
        <w:tc>
          <w:tcPr>
            <w:tcW w:w="140" w:type="dxa"/>
            <w:vAlign w:val="bottom"/>
          </w:tcPr>
          <w:p>
            <w:pPr>
              <w:spacing w:after="0"/>
              <w:rPr>
                <w:sz w:val="7"/>
                <w:szCs w:val="7"/>
                <w:color w:val="auto"/>
              </w:rPr>
            </w:pPr>
          </w:p>
        </w:tc>
        <w:tc>
          <w:tcPr>
            <w:tcW w:w="6180" w:type="dxa"/>
            <w:vAlign w:val="bottom"/>
            <w:shd w:val="clear" w:color="auto" w:fill="000000"/>
          </w:tcPr>
          <w:p>
            <w:pPr>
              <w:spacing w:after="0"/>
              <w:rPr>
                <w:sz w:val="7"/>
                <w:szCs w:val="7"/>
                <w:color w:val="auto"/>
              </w:rPr>
            </w:pPr>
          </w:p>
        </w:tc>
        <w:tc>
          <w:tcPr>
            <w:tcW w:w="78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r>
      <w:tr>
        <w:trPr>
          <w:trHeight w:val="133"/>
        </w:trPr>
        <w:tc>
          <w:tcPr>
            <w:tcW w:w="140" w:type="dxa"/>
            <w:vAlign w:val="bottom"/>
          </w:tcPr>
          <w:p>
            <w:pPr>
              <w:spacing w:after="0"/>
              <w:rPr>
                <w:sz w:val="11"/>
                <w:szCs w:val="11"/>
                <w:color w:val="auto"/>
              </w:rPr>
            </w:pPr>
          </w:p>
        </w:tc>
        <w:tc>
          <w:tcPr>
            <w:tcW w:w="6180" w:type="dxa"/>
            <w:vAlign w:val="bottom"/>
            <w:shd w:val="clear" w:color="auto" w:fill="000000"/>
          </w:tcPr>
          <w:p>
            <w:pPr>
              <w:spacing w:after="0"/>
              <w:rPr>
                <w:sz w:val="11"/>
                <w:szCs w:val="11"/>
                <w:color w:val="auto"/>
              </w:rPr>
            </w:pPr>
          </w:p>
        </w:tc>
        <w:tc>
          <w:tcPr>
            <w:tcW w:w="780" w:type="dxa"/>
            <w:vAlign w:val="bottom"/>
            <w:shd w:val="clear" w:color="auto" w:fill="000000"/>
          </w:tcPr>
          <w:p>
            <w:pPr>
              <w:spacing w:after="0"/>
              <w:rPr>
                <w:sz w:val="11"/>
                <w:szCs w:val="11"/>
                <w:color w:val="auto"/>
              </w:rPr>
            </w:pPr>
          </w:p>
        </w:tc>
        <w:tc>
          <w:tcPr>
            <w:tcW w:w="500" w:type="dxa"/>
            <w:vAlign w:val="bottom"/>
            <w:shd w:val="clear" w:color="auto" w:fill="000000"/>
          </w:tcPr>
          <w:p>
            <w:pPr>
              <w:spacing w:after="0"/>
              <w:rPr>
                <w:sz w:val="11"/>
                <w:szCs w:val="11"/>
                <w:color w:val="auto"/>
              </w:rPr>
            </w:pPr>
          </w:p>
        </w:tc>
        <w:tc>
          <w:tcPr>
            <w:tcW w:w="920" w:type="dxa"/>
            <w:vAlign w:val="bottom"/>
            <w:shd w:val="clear" w:color="auto" w:fill="000000"/>
          </w:tcPr>
          <w:p>
            <w:pPr>
              <w:spacing w:after="0"/>
              <w:rPr>
                <w:sz w:val="11"/>
                <w:szCs w:val="11"/>
                <w:color w:val="auto"/>
              </w:rPr>
            </w:pPr>
          </w:p>
        </w:tc>
        <w:tc>
          <w:tcPr>
            <w:tcW w:w="860" w:type="dxa"/>
            <w:vAlign w:val="bottom"/>
            <w:shd w:val="clear" w:color="auto" w:fill="000000"/>
          </w:tcPr>
          <w:p>
            <w:pPr>
              <w:jc w:val="center"/>
              <w:ind w:right="70"/>
              <w:spacing w:after="0" w:line="133" w:lineRule="exact"/>
              <w:rPr>
                <w:sz w:val="20"/>
                <w:szCs w:val="20"/>
                <w:color w:val="auto"/>
              </w:rPr>
            </w:pPr>
            <w:r>
              <w:rPr>
                <w:rFonts w:ascii="Arial" w:cs="Arial" w:eastAsia="Arial" w:hAnsi="Arial"/>
                <w:sz w:val="13"/>
                <w:szCs w:val="13"/>
                <w:b w:val="1"/>
                <w:bCs w:val="1"/>
                <w:color w:val="FEFEFE"/>
                <w:w w:val="95"/>
              </w:rPr>
              <w:t>Did Not</w:t>
            </w:r>
          </w:p>
        </w:tc>
      </w:tr>
      <w:tr>
        <w:trPr>
          <w:trHeight w:val="135"/>
        </w:trPr>
        <w:tc>
          <w:tcPr>
            <w:tcW w:w="140" w:type="dxa"/>
            <w:vAlign w:val="bottom"/>
          </w:tcPr>
          <w:p>
            <w:pPr>
              <w:spacing w:after="0"/>
              <w:rPr>
                <w:sz w:val="11"/>
                <w:szCs w:val="11"/>
                <w:color w:val="auto"/>
              </w:rPr>
            </w:pPr>
          </w:p>
        </w:tc>
        <w:tc>
          <w:tcPr>
            <w:tcW w:w="6180" w:type="dxa"/>
            <w:vAlign w:val="bottom"/>
            <w:shd w:val="clear" w:color="auto" w:fill="000000"/>
          </w:tcPr>
          <w:p>
            <w:pPr>
              <w:spacing w:after="0"/>
              <w:rPr>
                <w:sz w:val="11"/>
                <w:szCs w:val="11"/>
                <w:color w:val="auto"/>
              </w:rPr>
            </w:pPr>
          </w:p>
        </w:tc>
        <w:tc>
          <w:tcPr>
            <w:tcW w:w="780" w:type="dxa"/>
            <w:vAlign w:val="bottom"/>
            <w:shd w:val="clear" w:color="auto" w:fill="000000"/>
          </w:tcPr>
          <w:p>
            <w:pPr>
              <w:jc w:val="center"/>
              <w:ind w:left="29"/>
              <w:spacing w:after="0" w:line="135" w:lineRule="exact"/>
              <w:rPr>
                <w:sz w:val="20"/>
                <w:szCs w:val="20"/>
                <w:color w:val="auto"/>
              </w:rPr>
            </w:pPr>
            <w:r>
              <w:rPr>
                <w:rFonts w:ascii="Arial" w:cs="Arial" w:eastAsia="Arial" w:hAnsi="Arial"/>
                <w:sz w:val="13"/>
                <w:szCs w:val="13"/>
                <w:b w:val="1"/>
                <w:bCs w:val="1"/>
                <w:color w:val="FEFEFE"/>
                <w:w w:val="98"/>
              </w:rPr>
              <w:t>Female</w:t>
            </w:r>
          </w:p>
        </w:tc>
        <w:tc>
          <w:tcPr>
            <w:tcW w:w="500" w:type="dxa"/>
            <w:vAlign w:val="bottom"/>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6"/>
              </w:rPr>
              <w:t>Male</w:t>
            </w:r>
          </w:p>
        </w:tc>
        <w:tc>
          <w:tcPr>
            <w:tcW w:w="920" w:type="dxa"/>
            <w:vAlign w:val="bottom"/>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6"/>
              </w:rPr>
              <w:t>Non-Binary</w:t>
            </w:r>
          </w:p>
        </w:tc>
        <w:tc>
          <w:tcPr>
            <w:tcW w:w="860" w:type="dxa"/>
            <w:vAlign w:val="bottom"/>
            <w:shd w:val="clear" w:color="auto" w:fill="000000"/>
          </w:tcPr>
          <w:p>
            <w:pPr>
              <w:jc w:val="center"/>
              <w:ind w:right="70"/>
              <w:spacing w:after="0" w:line="135" w:lineRule="exact"/>
              <w:rPr>
                <w:sz w:val="20"/>
                <w:szCs w:val="20"/>
                <w:color w:val="auto"/>
              </w:rPr>
            </w:pPr>
            <w:r>
              <w:rPr>
                <w:rFonts w:ascii="Arial" w:cs="Arial" w:eastAsia="Arial" w:hAnsi="Arial"/>
                <w:sz w:val="13"/>
                <w:szCs w:val="13"/>
                <w:b w:val="1"/>
                <w:bCs w:val="1"/>
                <w:color w:val="FEFEFE"/>
                <w:w w:val="97"/>
              </w:rPr>
              <w:t>Disclose</w:t>
            </w:r>
          </w:p>
        </w:tc>
      </w:tr>
      <w:tr>
        <w:trPr>
          <w:trHeight w:val="170"/>
        </w:trPr>
        <w:tc>
          <w:tcPr>
            <w:tcW w:w="140" w:type="dxa"/>
            <w:vAlign w:val="bottom"/>
          </w:tcPr>
          <w:p>
            <w:pPr>
              <w:spacing w:after="0"/>
              <w:rPr>
                <w:sz w:val="14"/>
                <w:szCs w:val="14"/>
                <w:color w:val="auto"/>
              </w:rPr>
            </w:pPr>
          </w:p>
        </w:tc>
        <w:tc>
          <w:tcPr>
            <w:tcW w:w="6180" w:type="dxa"/>
            <w:vAlign w:val="bottom"/>
            <w:shd w:val="clear" w:color="auto" w:fill="000000"/>
          </w:tcPr>
          <w:p>
            <w:pPr>
              <w:spacing w:after="0"/>
              <w:rPr>
                <w:sz w:val="14"/>
                <w:szCs w:val="14"/>
                <w:color w:val="auto"/>
              </w:rPr>
            </w:pPr>
          </w:p>
        </w:tc>
        <w:tc>
          <w:tcPr>
            <w:tcW w:w="780" w:type="dxa"/>
            <w:vAlign w:val="bottom"/>
            <w:shd w:val="clear" w:color="auto" w:fill="000000"/>
          </w:tcPr>
          <w:p>
            <w:pPr>
              <w:spacing w:after="0"/>
              <w:rPr>
                <w:sz w:val="14"/>
                <w:szCs w:val="14"/>
                <w:color w:val="auto"/>
              </w:rPr>
            </w:pPr>
          </w:p>
        </w:tc>
        <w:tc>
          <w:tcPr>
            <w:tcW w:w="500" w:type="dxa"/>
            <w:vAlign w:val="bottom"/>
            <w:shd w:val="clear" w:color="auto" w:fill="000000"/>
          </w:tcPr>
          <w:p>
            <w:pPr>
              <w:spacing w:after="0"/>
              <w:rPr>
                <w:sz w:val="14"/>
                <w:szCs w:val="14"/>
                <w:color w:val="auto"/>
              </w:rPr>
            </w:pPr>
          </w:p>
        </w:tc>
        <w:tc>
          <w:tcPr>
            <w:tcW w:w="920" w:type="dxa"/>
            <w:vAlign w:val="bottom"/>
            <w:shd w:val="clear" w:color="auto" w:fill="000000"/>
          </w:tcPr>
          <w:p>
            <w:pPr>
              <w:spacing w:after="0"/>
              <w:rPr>
                <w:sz w:val="14"/>
                <w:szCs w:val="14"/>
                <w:color w:val="auto"/>
              </w:rPr>
            </w:pPr>
          </w:p>
        </w:tc>
        <w:tc>
          <w:tcPr>
            <w:tcW w:w="860" w:type="dxa"/>
            <w:vAlign w:val="bottom"/>
            <w:shd w:val="clear" w:color="auto" w:fill="000000"/>
          </w:tcPr>
          <w:p>
            <w:pPr>
              <w:jc w:val="center"/>
              <w:ind w:right="30"/>
              <w:spacing w:after="0"/>
              <w:rPr>
                <w:sz w:val="20"/>
                <w:szCs w:val="20"/>
                <w:color w:val="auto"/>
              </w:rPr>
            </w:pPr>
            <w:r>
              <w:rPr>
                <w:rFonts w:ascii="Arial" w:cs="Arial" w:eastAsia="Arial" w:hAnsi="Arial"/>
                <w:sz w:val="13"/>
                <w:szCs w:val="13"/>
                <w:b w:val="1"/>
                <w:bCs w:val="1"/>
                <w:color w:val="FEFEFE"/>
                <w:w w:val="96"/>
              </w:rPr>
              <w:t>Gender</w:t>
            </w:r>
          </w:p>
        </w:tc>
      </w:tr>
      <w:tr>
        <w:trPr>
          <w:trHeight w:val="272"/>
        </w:trPr>
        <w:tc>
          <w:tcPr>
            <w:tcW w:w="140" w:type="dxa"/>
            <w:vAlign w:val="bottom"/>
          </w:tcPr>
          <w:p>
            <w:pPr>
              <w:spacing w:after="0"/>
              <w:rPr>
                <w:sz w:val="23"/>
                <w:szCs w:val="23"/>
                <w:color w:val="auto"/>
              </w:rPr>
            </w:pPr>
          </w:p>
        </w:tc>
        <w:tc>
          <w:tcPr>
            <w:tcW w:w="6180" w:type="dxa"/>
            <w:vAlign w:val="bottom"/>
          </w:tcPr>
          <w:p>
            <w:pPr>
              <w:spacing w:after="0"/>
              <w:rPr>
                <w:sz w:val="20"/>
                <w:szCs w:val="20"/>
                <w:color w:val="auto"/>
              </w:rPr>
            </w:pPr>
            <w:r>
              <w:rPr>
                <w:rFonts w:ascii="Arial" w:cs="Arial" w:eastAsia="Arial" w:hAnsi="Arial"/>
                <w:sz w:val="14"/>
                <w:szCs w:val="14"/>
                <w:b w:val="1"/>
                <w:bCs w:val="1"/>
                <w:color w:val="auto"/>
              </w:rPr>
              <w:t>Part I: Gender Identity</w:t>
            </w: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39"/>
        </w:trPr>
        <w:tc>
          <w:tcPr>
            <w:tcW w:w="140" w:type="dxa"/>
            <w:vAlign w:val="bottom"/>
            <w:tcBorders>
              <w:bottom w:val="single" w:sz="8" w:color="auto"/>
            </w:tcBorders>
          </w:tcPr>
          <w:p>
            <w:pPr>
              <w:spacing w:after="0"/>
              <w:rPr>
                <w:sz w:val="3"/>
                <w:szCs w:val="3"/>
                <w:color w:val="auto"/>
              </w:rPr>
            </w:pPr>
          </w:p>
        </w:tc>
        <w:tc>
          <w:tcPr>
            <w:tcW w:w="6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309"/>
        </w:trPr>
        <w:tc>
          <w:tcPr>
            <w:tcW w:w="140" w:type="dxa"/>
            <w:vAlign w:val="bottom"/>
            <w:tcBorders>
              <w:bottom w:val="single" w:sz="8" w:color="F7F7F7"/>
            </w:tcBorders>
            <w:shd w:val="clear" w:color="auto" w:fill="F7F7F7"/>
          </w:tcPr>
          <w:p>
            <w:pPr>
              <w:spacing w:after="0"/>
              <w:rPr>
                <w:sz w:val="24"/>
                <w:szCs w:val="24"/>
                <w:color w:val="auto"/>
              </w:rPr>
            </w:pPr>
          </w:p>
        </w:tc>
        <w:tc>
          <w:tcPr>
            <w:tcW w:w="6180" w:type="dxa"/>
            <w:vAlign w:val="bottom"/>
            <w:tcBorders>
              <w:bottom w:val="single" w:sz="8" w:color="F7F7F7"/>
            </w:tcBorders>
            <w:shd w:val="clear" w:color="auto" w:fill="F7F7F7"/>
          </w:tcPr>
          <w:p>
            <w:pPr>
              <w:spacing w:after="0"/>
              <w:rPr>
                <w:sz w:val="20"/>
                <w:szCs w:val="20"/>
                <w:color w:val="auto"/>
              </w:rPr>
            </w:pPr>
            <w:r>
              <w:rPr>
                <w:rFonts w:ascii="Arial" w:cs="Arial" w:eastAsia="Arial" w:hAnsi="Arial"/>
                <w:sz w:val="14"/>
                <w:szCs w:val="14"/>
                <w:color w:val="auto"/>
              </w:rPr>
              <w:t>Directors</w:t>
            </w:r>
          </w:p>
        </w:tc>
        <w:tc>
          <w:tcPr>
            <w:tcW w:w="780" w:type="dxa"/>
            <w:vAlign w:val="bottom"/>
            <w:tcBorders>
              <w:bottom w:val="single" w:sz="8" w:color="F7F7F7"/>
            </w:tcBorders>
            <w:shd w:val="clear" w:color="auto" w:fill="F7F7F7"/>
          </w:tcPr>
          <w:p>
            <w:pPr>
              <w:jc w:val="center"/>
              <w:ind w:left="29"/>
              <w:spacing w:after="0"/>
              <w:rPr>
                <w:sz w:val="20"/>
                <w:szCs w:val="20"/>
                <w:color w:val="auto"/>
              </w:rPr>
            </w:pPr>
            <w:r>
              <w:rPr>
                <w:rFonts w:ascii="Arial" w:cs="Arial" w:eastAsia="Arial" w:hAnsi="Arial"/>
                <w:sz w:val="14"/>
                <w:szCs w:val="14"/>
                <w:color w:val="auto"/>
              </w:rPr>
              <w:t>3</w:t>
            </w:r>
          </w:p>
        </w:tc>
        <w:tc>
          <w:tcPr>
            <w:tcW w:w="500" w:type="dxa"/>
            <w:vAlign w:val="bottom"/>
            <w:tcBorders>
              <w:bottom w:val="single" w:sz="8" w:color="F7F7F7"/>
            </w:tcBorders>
            <w:shd w:val="clear" w:color="auto" w:fill="F7F7F7"/>
          </w:tcPr>
          <w:p>
            <w:pPr>
              <w:jc w:val="center"/>
              <w:spacing w:after="0"/>
              <w:rPr>
                <w:sz w:val="20"/>
                <w:szCs w:val="20"/>
                <w:color w:val="auto"/>
              </w:rPr>
            </w:pPr>
            <w:r>
              <w:rPr>
                <w:rFonts w:ascii="Arial" w:cs="Arial" w:eastAsia="Arial" w:hAnsi="Arial"/>
                <w:sz w:val="14"/>
                <w:szCs w:val="14"/>
                <w:color w:val="auto"/>
              </w:rPr>
              <w:t>6</w:t>
            </w:r>
          </w:p>
        </w:tc>
        <w:tc>
          <w:tcPr>
            <w:tcW w:w="920" w:type="dxa"/>
            <w:vAlign w:val="bottom"/>
            <w:tcBorders>
              <w:bottom w:val="single" w:sz="8" w:color="F7F7F7"/>
            </w:tcBorders>
            <w:shd w:val="clear" w:color="auto" w:fill="F7F7F7"/>
          </w:tcPr>
          <w:p>
            <w:pPr>
              <w:jc w:val="center"/>
              <w:spacing w:after="0"/>
              <w:rPr>
                <w:sz w:val="20"/>
                <w:szCs w:val="20"/>
                <w:color w:val="auto"/>
              </w:rPr>
            </w:pPr>
            <w:r>
              <w:rPr>
                <w:rFonts w:ascii="Arial" w:cs="Arial" w:eastAsia="Arial" w:hAnsi="Arial"/>
                <w:sz w:val="14"/>
                <w:szCs w:val="14"/>
                <w:color w:val="auto"/>
              </w:rPr>
              <w:t>0</w:t>
            </w:r>
          </w:p>
        </w:tc>
        <w:tc>
          <w:tcPr>
            <w:tcW w:w="860" w:type="dxa"/>
            <w:vAlign w:val="bottom"/>
            <w:tcBorders>
              <w:bottom w:val="single" w:sz="8" w:color="F7F7F7"/>
            </w:tcBorders>
            <w:shd w:val="clear" w:color="auto" w:fill="F7F7F7"/>
          </w:tcPr>
          <w:p>
            <w:pPr>
              <w:jc w:val="center"/>
              <w:ind w:right="30"/>
              <w:spacing w:after="0"/>
              <w:rPr>
                <w:sz w:val="20"/>
                <w:szCs w:val="20"/>
                <w:color w:val="auto"/>
              </w:rPr>
            </w:pPr>
            <w:r>
              <w:rPr>
                <w:rFonts w:ascii="Arial" w:cs="Arial" w:eastAsia="Arial" w:hAnsi="Arial"/>
                <w:sz w:val="14"/>
                <w:szCs w:val="14"/>
                <w:color w:val="auto"/>
              </w:rPr>
              <w:t>0</w:t>
            </w:r>
          </w:p>
        </w:tc>
      </w:tr>
      <w:tr>
        <w:trPr>
          <w:trHeight w:val="265"/>
        </w:trPr>
        <w:tc>
          <w:tcPr>
            <w:tcW w:w="140" w:type="dxa"/>
            <w:vAlign w:val="bottom"/>
            <w:tcBorders>
              <w:top w:val="single" w:sz="8" w:color="auto"/>
            </w:tcBorders>
          </w:tcPr>
          <w:p>
            <w:pPr>
              <w:spacing w:after="0"/>
              <w:rPr>
                <w:sz w:val="23"/>
                <w:szCs w:val="23"/>
                <w:color w:val="auto"/>
              </w:rPr>
            </w:pPr>
          </w:p>
        </w:tc>
        <w:tc>
          <w:tcPr>
            <w:tcW w:w="61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Part II: Demographic Background</w:t>
            </w:r>
          </w:p>
        </w:tc>
        <w:tc>
          <w:tcPr>
            <w:tcW w:w="78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r>
      <w:tr>
        <w:trPr>
          <w:trHeight w:val="39"/>
        </w:trPr>
        <w:tc>
          <w:tcPr>
            <w:tcW w:w="140" w:type="dxa"/>
            <w:vAlign w:val="bottom"/>
            <w:tcBorders>
              <w:bottom w:val="single" w:sz="8" w:color="auto"/>
            </w:tcBorders>
          </w:tcPr>
          <w:p>
            <w:pPr>
              <w:spacing w:after="0"/>
              <w:rPr>
                <w:sz w:val="3"/>
                <w:szCs w:val="3"/>
                <w:color w:val="auto"/>
              </w:rPr>
            </w:pPr>
          </w:p>
        </w:tc>
        <w:tc>
          <w:tcPr>
            <w:tcW w:w="6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309"/>
        </w:trPr>
        <w:tc>
          <w:tcPr>
            <w:tcW w:w="140" w:type="dxa"/>
            <w:vAlign w:val="bottom"/>
            <w:tcBorders>
              <w:bottom w:val="single" w:sz="8" w:color="F7F7F7"/>
            </w:tcBorders>
            <w:shd w:val="clear" w:color="auto" w:fill="F7F7F7"/>
          </w:tcPr>
          <w:p>
            <w:pPr>
              <w:spacing w:after="0"/>
              <w:rPr>
                <w:sz w:val="24"/>
                <w:szCs w:val="24"/>
                <w:color w:val="auto"/>
              </w:rPr>
            </w:pPr>
          </w:p>
        </w:tc>
        <w:tc>
          <w:tcPr>
            <w:tcW w:w="6180" w:type="dxa"/>
            <w:vAlign w:val="bottom"/>
            <w:tcBorders>
              <w:bottom w:val="single" w:sz="8" w:color="F7F7F7"/>
            </w:tcBorders>
            <w:shd w:val="clear" w:color="auto" w:fill="F7F7F7"/>
          </w:tcPr>
          <w:p>
            <w:pPr>
              <w:spacing w:after="0"/>
              <w:rPr>
                <w:sz w:val="20"/>
                <w:szCs w:val="20"/>
                <w:color w:val="auto"/>
              </w:rPr>
            </w:pPr>
            <w:r>
              <w:rPr>
                <w:rFonts w:ascii="Arial" w:cs="Arial" w:eastAsia="Arial" w:hAnsi="Arial"/>
                <w:sz w:val="14"/>
                <w:szCs w:val="14"/>
                <w:color w:val="auto"/>
              </w:rPr>
              <w:t>African American or Black</w:t>
            </w:r>
          </w:p>
        </w:tc>
        <w:tc>
          <w:tcPr>
            <w:tcW w:w="780" w:type="dxa"/>
            <w:vAlign w:val="bottom"/>
            <w:tcBorders>
              <w:bottom w:val="single" w:sz="8" w:color="F7F7F7"/>
            </w:tcBorders>
            <w:shd w:val="clear" w:color="auto" w:fill="F7F7F7"/>
          </w:tcPr>
          <w:p>
            <w:pPr>
              <w:jc w:val="center"/>
              <w:ind w:left="29"/>
              <w:spacing w:after="0"/>
              <w:rPr>
                <w:sz w:val="20"/>
                <w:szCs w:val="20"/>
                <w:color w:val="auto"/>
              </w:rPr>
            </w:pPr>
            <w:r>
              <w:rPr>
                <w:rFonts w:ascii="Arial" w:cs="Arial" w:eastAsia="Arial" w:hAnsi="Arial"/>
                <w:sz w:val="14"/>
                <w:szCs w:val="14"/>
                <w:color w:val="auto"/>
              </w:rPr>
              <w:t>1</w:t>
            </w:r>
          </w:p>
        </w:tc>
        <w:tc>
          <w:tcPr>
            <w:tcW w:w="500" w:type="dxa"/>
            <w:vAlign w:val="bottom"/>
            <w:tcBorders>
              <w:bottom w:val="single" w:sz="8" w:color="F7F7F7"/>
            </w:tcBorders>
            <w:shd w:val="clear" w:color="auto" w:fill="F7F7F7"/>
          </w:tcPr>
          <w:p>
            <w:pPr>
              <w:jc w:val="center"/>
              <w:spacing w:after="0"/>
              <w:rPr>
                <w:sz w:val="20"/>
                <w:szCs w:val="20"/>
                <w:color w:val="auto"/>
              </w:rPr>
            </w:pPr>
            <w:r>
              <w:rPr>
                <w:rFonts w:ascii="Arial" w:cs="Arial" w:eastAsia="Arial" w:hAnsi="Arial"/>
                <w:sz w:val="14"/>
                <w:szCs w:val="14"/>
                <w:color w:val="auto"/>
              </w:rPr>
              <w:t>0</w:t>
            </w:r>
          </w:p>
        </w:tc>
        <w:tc>
          <w:tcPr>
            <w:tcW w:w="920" w:type="dxa"/>
            <w:vAlign w:val="bottom"/>
            <w:tcBorders>
              <w:bottom w:val="single" w:sz="8" w:color="F7F7F7"/>
            </w:tcBorders>
            <w:shd w:val="clear" w:color="auto" w:fill="F7F7F7"/>
          </w:tcPr>
          <w:p>
            <w:pPr>
              <w:jc w:val="center"/>
              <w:spacing w:after="0"/>
              <w:rPr>
                <w:sz w:val="20"/>
                <w:szCs w:val="20"/>
                <w:color w:val="auto"/>
              </w:rPr>
            </w:pPr>
            <w:r>
              <w:rPr>
                <w:rFonts w:ascii="Arial" w:cs="Arial" w:eastAsia="Arial" w:hAnsi="Arial"/>
                <w:sz w:val="14"/>
                <w:szCs w:val="14"/>
                <w:color w:val="auto"/>
              </w:rPr>
              <w:t>0</w:t>
            </w:r>
          </w:p>
        </w:tc>
        <w:tc>
          <w:tcPr>
            <w:tcW w:w="860" w:type="dxa"/>
            <w:vAlign w:val="bottom"/>
            <w:tcBorders>
              <w:bottom w:val="single" w:sz="8" w:color="F7F7F7"/>
            </w:tcBorders>
            <w:shd w:val="clear" w:color="auto" w:fill="F7F7F7"/>
          </w:tcPr>
          <w:p>
            <w:pPr>
              <w:jc w:val="center"/>
              <w:ind w:right="30"/>
              <w:spacing w:after="0"/>
              <w:rPr>
                <w:sz w:val="20"/>
                <w:szCs w:val="20"/>
                <w:color w:val="auto"/>
              </w:rPr>
            </w:pPr>
            <w:r>
              <w:rPr>
                <w:rFonts w:ascii="Arial" w:cs="Arial" w:eastAsia="Arial" w:hAnsi="Arial"/>
                <w:sz w:val="14"/>
                <w:szCs w:val="14"/>
                <w:color w:val="auto"/>
              </w:rPr>
              <w:t>0</w:t>
            </w:r>
          </w:p>
        </w:tc>
      </w:tr>
      <w:tr>
        <w:trPr>
          <w:trHeight w:val="265"/>
        </w:trPr>
        <w:tc>
          <w:tcPr>
            <w:tcW w:w="140" w:type="dxa"/>
            <w:vAlign w:val="bottom"/>
            <w:tcBorders>
              <w:top w:val="single" w:sz="8" w:color="auto"/>
            </w:tcBorders>
          </w:tcPr>
          <w:p>
            <w:pPr>
              <w:spacing w:after="0"/>
              <w:rPr>
                <w:sz w:val="23"/>
                <w:szCs w:val="23"/>
                <w:color w:val="auto"/>
              </w:rPr>
            </w:pPr>
          </w:p>
        </w:tc>
        <w:tc>
          <w:tcPr>
            <w:tcW w:w="61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Alaskan Native or Native American</w:t>
            </w:r>
          </w:p>
        </w:tc>
        <w:tc>
          <w:tcPr>
            <w:tcW w:w="780" w:type="dxa"/>
            <w:vAlign w:val="bottom"/>
            <w:tcBorders>
              <w:top w:val="single" w:sz="8" w:color="auto"/>
            </w:tcBorders>
          </w:tcPr>
          <w:p>
            <w:pPr>
              <w:jc w:val="center"/>
              <w:ind w:left="29"/>
              <w:spacing w:after="0"/>
              <w:rPr>
                <w:sz w:val="20"/>
                <w:szCs w:val="20"/>
                <w:color w:val="auto"/>
              </w:rPr>
            </w:pPr>
            <w:r>
              <w:rPr>
                <w:rFonts w:ascii="Arial" w:cs="Arial" w:eastAsia="Arial" w:hAnsi="Arial"/>
                <w:sz w:val="14"/>
                <w:szCs w:val="14"/>
                <w:color w:val="auto"/>
              </w:rPr>
              <w:t>0</w:t>
            </w: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860" w:type="dxa"/>
            <w:vAlign w:val="bottom"/>
            <w:tcBorders>
              <w:top w:val="single" w:sz="8" w:color="auto"/>
            </w:tcBorders>
          </w:tcPr>
          <w:p>
            <w:pPr>
              <w:jc w:val="center"/>
              <w:ind w:right="30"/>
              <w:spacing w:after="0"/>
              <w:rPr>
                <w:sz w:val="20"/>
                <w:szCs w:val="20"/>
                <w:color w:val="auto"/>
              </w:rPr>
            </w:pPr>
            <w:r>
              <w:rPr>
                <w:rFonts w:ascii="Arial" w:cs="Arial" w:eastAsia="Arial" w:hAnsi="Arial"/>
                <w:sz w:val="14"/>
                <w:szCs w:val="14"/>
                <w:color w:val="auto"/>
              </w:rPr>
              <w:t>0</w:t>
            </w:r>
          </w:p>
        </w:tc>
      </w:tr>
      <w:tr>
        <w:trPr>
          <w:trHeight w:val="39"/>
        </w:trPr>
        <w:tc>
          <w:tcPr>
            <w:tcW w:w="140" w:type="dxa"/>
            <w:vAlign w:val="bottom"/>
            <w:tcBorders>
              <w:bottom w:val="single" w:sz="8" w:color="auto"/>
            </w:tcBorders>
          </w:tcPr>
          <w:p>
            <w:pPr>
              <w:spacing w:after="0"/>
              <w:rPr>
                <w:sz w:val="3"/>
                <w:szCs w:val="3"/>
                <w:color w:val="auto"/>
              </w:rPr>
            </w:pPr>
          </w:p>
        </w:tc>
        <w:tc>
          <w:tcPr>
            <w:tcW w:w="6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309"/>
        </w:trPr>
        <w:tc>
          <w:tcPr>
            <w:tcW w:w="140" w:type="dxa"/>
            <w:vAlign w:val="bottom"/>
            <w:tcBorders>
              <w:bottom w:val="single" w:sz="8" w:color="F7F7F7"/>
            </w:tcBorders>
            <w:shd w:val="clear" w:color="auto" w:fill="F7F7F7"/>
          </w:tcPr>
          <w:p>
            <w:pPr>
              <w:spacing w:after="0"/>
              <w:rPr>
                <w:sz w:val="24"/>
                <w:szCs w:val="24"/>
                <w:color w:val="auto"/>
              </w:rPr>
            </w:pPr>
          </w:p>
        </w:tc>
        <w:tc>
          <w:tcPr>
            <w:tcW w:w="6180" w:type="dxa"/>
            <w:vAlign w:val="bottom"/>
            <w:tcBorders>
              <w:bottom w:val="single" w:sz="8" w:color="F7F7F7"/>
            </w:tcBorders>
            <w:shd w:val="clear" w:color="auto" w:fill="F7F7F7"/>
          </w:tcPr>
          <w:p>
            <w:pPr>
              <w:spacing w:after="0"/>
              <w:rPr>
                <w:sz w:val="20"/>
                <w:szCs w:val="20"/>
                <w:color w:val="auto"/>
              </w:rPr>
            </w:pPr>
            <w:r>
              <w:rPr>
                <w:rFonts w:ascii="Arial" w:cs="Arial" w:eastAsia="Arial" w:hAnsi="Arial"/>
                <w:sz w:val="14"/>
                <w:szCs w:val="14"/>
                <w:color w:val="auto"/>
              </w:rPr>
              <w:t>Asian</w:t>
            </w:r>
          </w:p>
        </w:tc>
        <w:tc>
          <w:tcPr>
            <w:tcW w:w="780" w:type="dxa"/>
            <w:vAlign w:val="bottom"/>
            <w:tcBorders>
              <w:bottom w:val="single" w:sz="8" w:color="F7F7F7"/>
            </w:tcBorders>
            <w:shd w:val="clear" w:color="auto" w:fill="F7F7F7"/>
          </w:tcPr>
          <w:p>
            <w:pPr>
              <w:jc w:val="center"/>
              <w:ind w:left="29"/>
              <w:spacing w:after="0"/>
              <w:rPr>
                <w:sz w:val="20"/>
                <w:szCs w:val="20"/>
                <w:color w:val="auto"/>
              </w:rPr>
            </w:pPr>
            <w:r>
              <w:rPr>
                <w:rFonts w:ascii="Arial" w:cs="Arial" w:eastAsia="Arial" w:hAnsi="Arial"/>
                <w:sz w:val="14"/>
                <w:szCs w:val="14"/>
                <w:color w:val="auto"/>
              </w:rPr>
              <w:t>1</w:t>
            </w:r>
          </w:p>
        </w:tc>
        <w:tc>
          <w:tcPr>
            <w:tcW w:w="500" w:type="dxa"/>
            <w:vAlign w:val="bottom"/>
            <w:tcBorders>
              <w:bottom w:val="single" w:sz="8" w:color="F7F7F7"/>
            </w:tcBorders>
            <w:shd w:val="clear" w:color="auto" w:fill="F7F7F7"/>
          </w:tcPr>
          <w:p>
            <w:pPr>
              <w:jc w:val="center"/>
              <w:spacing w:after="0"/>
              <w:rPr>
                <w:sz w:val="20"/>
                <w:szCs w:val="20"/>
                <w:color w:val="auto"/>
              </w:rPr>
            </w:pPr>
            <w:r>
              <w:rPr>
                <w:rFonts w:ascii="Arial" w:cs="Arial" w:eastAsia="Arial" w:hAnsi="Arial"/>
                <w:sz w:val="14"/>
                <w:szCs w:val="14"/>
                <w:color w:val="auto"/>
              </w:rPr>
              <w:t>1</w:t>
            </w:r>
          </w:p>
        </w:tc>
        <w:tc>
          <w:tcPr>
            <w:tcW w:w="920" w:type="dxa"/>
            <w:vAlign w:val="bottom"/>
            <w:tcBorders>
              <w:bottom w:val="single" w:sz="8" w:color="F7F7F7"/>
            </w:tcBorders>
            <w:shd w:val="clear" w:color="auto" w:fill="F7F7F7"/>
          </w:tcPr>
          <w:p>
            <w:pPr>
              <w:jc w:val="center"/>
              <w:spacing w:after="0"/>
              <w:rPr>
                <w:sz w:val="20"/>
                <w:szCs w:val="20"/>
                <w:color w:val="auto"/>
              </w:rPr>
            </w:pPr>
            <w:r>
              <w:rPr>
                <w:rFonts w:ascii="Arial" w:cs="Arial" w:eastAsia="Arial" w:hAnsi="Arial"/>
                <w:sz w:val="14"/>
                <w:szCs w:val="14"/>
                <w:color w:val="auto"/>
              </w:rPr>
              <w:t>0</w:t>
            </w:r>
          </w:p>
        </w:tc>
        <w:tc>
          <w:tcPr>
            <w:tcW w:w="860" w:type="dxa"/>
            <w:vAlign w:val="bottom"/>
            <w:tcBorders>
              <w:bottom w:val="single" w:sz="8" w:color="F7F7F7"/>
            </w:tcBorders>
            <w:shd w:val="clear" w:color="auto" w:fill="F7F7F7"/>
          </w:tcPr>
          <w:p>
            <w:pPr>
              <w:jc w:val="center"/>
              <w:ind w:right="30"/>
              <w:spacing w:after="0"/>
              <w:rPr>
                <w:sz w:val="20"/>
                <w:szCs w:val="20"/>
                <w:color w:val="auto"/>
              </w:rPr>
            </w:pPr>
            <w:r>
              <w:rPr>
                <w:rFonts w:ascii="Arial" w:cs="Arial" w:eastAsia="Arial" w:hAnsi="Arial"/>
                <w:sz w:val="14"/>
                <w:szCs w:val="14"/>
                <w:color w:val="auto"/>
              </w:rPr>
              <w:t>0</w:t>
            </w:r>
          </w:p>
        </w:tc>
      </w:tr>
      <w:tr>
        <w:trPr>
          <w:trHeight w:val="265"/>
        </w:trPr>
        <w:tc>
          <w:tcPr>
            <w:tcW w:w="140" w:type="dxa"/>
            <w:vAlign w:val="bottom"/>
            <w:tcBorders>
              <w:top w:val="single" w:sz="8" w:color="auto"/>
            </w:tcBorders>
          </w:tcPr>
          <w:p>
            <w:pPr>
              <w:spacing w:after="0"/>
              <w:rPr>
                <w:sz w:val="23"/>
                <w:szCs w:val="23"/>
                <w:color w:val="auto"/>
              </w:rPr>
            </w:pPr>
          </w:p>
        </w:tc>
        <w:tc>
          <w:tcPr>
            <w:tcW w:w="61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Hispanic or Latinx</w:t>
            </w:r>
          </w:p>
        </w:tc>
        <w:tc>
          <w:tcPr>
            <w:tcW w:w="780" w:type="dxa"/>
            <w:vAlign w:val="bottom"/>
            <w:tcBorders>
              <w:top w:val="single" w:sz="8" w:color="auto"/>
            </w:tcBorders>
          </w:tcPr>
          <w:p>
            <w:pPr>
              <w:jc w:val="center"/>
              <w:ind w:left="29"/>
              <w:spacing w:after="0"/>
              <w:rPr>
                <w:sz w:val="20"/>
                <w:szCs w:val="20"/>
                <w:color w:val="auto"/>
              </w:rPr>
            </w:pPr>
            <w:r>
              <w:rPr>
                <w:rFonts w:ascii="Arial" w:cs="Arial" w:eastAsia="Arial" w:hAnsi="Arial"/>
                <w:sz w:val="14"/>
                <w:szCs w:val="14"/>
                <w:color w:val="auto"/>
              </w:rPr>
              <w:t>0</w:t>
            </w: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860" w:type="dxa"/>
            <w:vAlign w:val="bottom"/>
            <w:tcBorders>
              <w:top w:val="single" w:sz="8" w:color="auto"/>
            </w:tcBorders>
          </w:tcPr>
          <w:p>
            <w:pPr>
              <w:jc w:val="center"/>
              <w:ind w:right="30"/>
              <w:spacing w:after="0"/>
              <w:rPr>
                <w:sz w:val="20"/>
                <w:szCs w:val="20"/>
                <w:color w:val="auto"/>
              </w:rPr>
            </w:pPr>
            <w:r>
              <w:rPr>
                <w:rFonts w:ascii="Arial" w:cs="Arial" w:eastAsia="Arial" w:hAnsi="Arial"/>
                <w:sz w:val="14"/>
                <w:szCs w:val="14"/>
                <w:color w:val="auto"/>
              </w:rPr>
              <w:t>0</w:t>
            </w:r>
          </w:p>
        </w:tc>
      </w:tr>
      <w:tr>
        <w:trPr>
          <w:trHeight w:val="39"/>
        </w:trPr>
        <w:tc>
          <w:tcPr>
            <w:tcW w:w="140" w:type="dxa"/>
            <w:vAlign w:val="bottom"/>
            <w:tcBorders>
              <w:bottom w:val="single" w:sz="8" w:color="auto"/>
            </w:tcBorders>
          </w:tcPr>
          <w:p>
            <w:pPr>
              <w:spacing w:after="0"/>
              <w:rPr>
                <w:sz w:val="3"/>
                <w:szCs w:val="3"/>
                <w:color w:val="auto"/>
              </w:rPr>
            </w:pPr>
          </w:p>
        </w:tc>
        <w:tc>
          <w:tcPr>
            <w:tcW w:w="6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309"/>
        </w:trPr>
        <w:tc>
          <w:tcPr>
            <w:tcW w:w="140" w:type="dxa"/>
            <w:vAlign w:val="bottom"/>
            <w:tcBorders>
              <w:bottom w:val="single" w:sz="8" w:color="F7F7F7"/>
            </w:tcBorders>
            <w:shd w:val="clear" w:color="auto" w:fill="F7F7F7"/>
          </w:tcPr>
          <w:p>
            <w:pPr>
              <w:spacing w:after="0"/>
              <w:rPr>
                <w:sz w:val="24"/>
                <w:szCs w:val="24"/>
                <w:color w:val="auto"/>
              </w:rPr>
            </w:pPr>
          </w:p>
        </w:tc>
        <w:tc>
          <w:tcPr>
            <w:tcW w:w="6180" w:type="dxa"/>
            <w:vAlign w:val="bottom"/>
            <w:tcBorders>
              <w:bottom w:val="single" w:sz="8" w:color="F7F7F7"/>
            </w:tcBorders>
            <w:shd w:val="clear" w:color="auto" w:fill="F7F7F7"/>
          </w:tcPr>
          <w:p>
            <w:pPr>
              <w:spacing w:after="0"/>
              <w:rPr>
                <w:sz w:val="20"/>
                <w:szCs w:val="20"/>
                <w:color w:val="auto"/>
              </w:rPr>
            </w:pPr>
            <w:r>
              <w:rPr>
                <w:rFonts w:ascii="Arial" w:cs="Arial" w:eastAsia="Arial" w:hAnsi="Arial"/>
                <w:sz w:val="14"/>
                <w:szCs w:val="14"/>
                <w:color w:val="auto"/>
              </w:rPr>
              <w:t>Native Hawaiian or Pacific Islander</w:t>
            </w:r>
          </w:p>
        </w:tc>
        <w:tc>
          <w:tcPr>
            <w:tcW w:w="780" w:type="dxa"/>
            <w:vAlign w:val="bottom"/>
            <w:tcBorders>
              <w:bottom w:val="single" w:sz="8" w:color="F7F7F7"/>
            </w:tcBorders>
            <w:shd w:val="clear" w:color="auto" w:fill="F7F7F7"/>
          </w:tcPr>
          <w:p>
            <w:pPr>
              <w:jc w:val="center"/>
              <w:ind w:left="29"/>
              <w:spacing w:after="0"/>
              <w:rPr>
                <w:sz w:val="20"/>
                <w:szCs w:val="20"/>
                <w:color w:val="auto"/>
              </w:rPr>
            </w:pPr>
            <w:r>
              <w:rPr>
                <w:rFonts w:ascii="Arial" w:cs="Arial" w:eastAsia="Arial" w:hAnsi="Arial"/>
                <w:sz w:val="14"/>
                <w:szCs w:val="14"/>
                <w:color w:val="auto"/>
              </w:rPr>
              <w:t>0</w:t>
            </w:r>
          </w:p>
        </w:tc>
        <w:tc>
          <w:tcPr>
            <w:tcW w:w="500" w:type="dxa"/>
            <w:vAlign w:val="bottom"/>
            <w:tcBorders>
              <w:bottom w:val="single" w:sz="8" w:color="F7F7F7"/>
            </w:tcBorders>
            <w:shd w:val="clear" w:color="auto" w:fill="F7F7F7"/>
          </w:tcPr>
          <w:p>
            <w:pPr>
              <w:jc w:val="center"/>
              <w:spacing w:after="0"/>
              <w:rPr>
                <w:sz w:val="20"/>
                <w:szCs w:val="20"/>
                <w:color w:val="auto"/>
              </w:rPr>
            </w:pPr>
            <w:r>
              <w:rPr>
                <w:rFonts w:ascii="Arial" w:cs="Arial" w:eastAsia="Arial" w:hAnsi="Arial"/>
                <w:sz w:val="14"/>
                <w:szCs w:val="14"/>
                <w:color w:val="auto"/>
              </w:rPr>
              <w:t>0</w:t>
            </w:r>
          </w:p>
        </w:tc>
        <w:tc>
          <w:tcPr>
            <w:tcW w:w="920" w:type="dxa"/>
            <w:vAlign w:val="bottom"/>
            <w:tcBorders>
              <w:bottom w:val="single" w:sz="8" w:color="F7F7F7"/>
            </w:tcBorders>
            <w:shd w:val="clear" w:color="auto" w:fill="F7F7F7"/>
          </w:tcPr>
          <w:p>
            <w:pPr>
              <w:jc w:val="center"/>
              <w:spacing w:after="0"/>
              <w:rPr>
                <w:sz w:val="20"/>
                <w:szCs w:val="20"/>
                <w:color w:val="auto"/>
              </w:rPr>
            </w:pPr>
            <w:r>
              <w:rPr>
                <w:rFonts w:ascii="Arial" w:cs="Arial" w:eastAsia="Arial" w:hAnsi="Arial"/>
                <w:sz w:val="14"/>
                <w:szCs w:val="14"/>
                <w:color w:val="auto"/>
              </w:rPr>
              <w:t>0</w:t>
            </w:r>
          </w:p>
        </w:tc>
        <w:tc>
          <w:tcPr>
            <w:tcW w:w="860" w:type="dxa"/>
            <w:vAlign w:val="bottom"/>
            <w:tcBorders>
              <w:bottom w:val="single" w:sz="8" w:color="F7F7F7"/>
            </w:tcBorders>
            <w:shd w:val="clear" w:color="auto" w:fill="F7F7F7"/>
          </w:tcPr>
          <w:p>
            <w:pPr>
              <w:jc w:val="center"/>
              <w:ind w:right="30"/>
              <w:spacing w:after="0"/>
              <w:rPr>
                <w:sz w:val="20"/>
                <w:szCs w:val="20"/>
                <w:color w:val="auto"/>
              </w:rPr>
            </w:pPr>
            <w:r>
              <w:rPr>
                <w:rFonts w:ascii="Arial" w:cs="Arial" w:eastAsia="Arial" w:hAnsi="Arial"/>
                <w:sz w:val="14"/>
                <w:szCs w:val="14"/>
                <w:color w:val="auto"/>
              </w:rPr>
              <w:t>0</w:t>
            </w:r>
          </w:p>
        </w:tc>
      </w:tr>
      <w:tr>
        <w:trPr>
          <w:trHeight w:val="265"/>
        </w:trPr>
        <w:tc>
          <w:tcPr>
            <w:tcW w:w="140" w:type="dxa"/>
            <w:vAlign w:val="bottom"/>
            <w:tcBorders>
              <w:top w:val="single" w:sz="8" w:color="auto"/>
            </w:tcBorders>
          </w:tcPr>
          <w:p>
            <w:pPr>
              <w:spacing w:after="0"/>
              <w:rPr>
                <w:sz w:val="23"/>
                <w:szCs w:val="23"/>
                <w:color w:val="auto"/>
              </w:rPr>
            </w:pPr>
          </w:p>
        </w:tc>
        <w:tc>
          <w:tcPr>
            <w:tcW w:w="61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White</w:t>
            </w:r>
          </w:p>
        </w:tc>
        <w:tc>
          <w:tcPr>
            <w:tcW w:w="780" w:type="dxa"/>
            <w:vAlign w:val="bottom"/>
            <w:tcBorders>
              <w:top w:val="single" w:sz="8" w:color="auto"/>
            </w:tcBorders>
          </w:tcPr>
          <w:p>
            <w:pPr>
              <w:jc w:val="center"/>
              <w:ind w:left="29"/>
              <w:spacing w:after="0"/>
              <w:rPr>
                <w:sz w:val="20"/>
                <w:szCs w:val="20"/>
                <w:color w:val="auto"/>
              </w:rPr>
            </w:pPr>
            <w:r>
              <w:rPr>
                <w:rFonts w:ascii="Arial" w:cs="Arial" w:eastAsia="Arial" w:hAnsi="Arial"/>
                <w:sz w:val="14"/>
                <w:szCs w:val="14"/>
                <w:color w:val="auto"/>
              </w:rPr>
              <w:t>1</w:t>
            </w: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5</w:t>
            </w: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860" w:type="dxa"/>
            <w:vAlign w:val="bottom"/>
            <w:tcBorders>
              <w:top w:val="single" w:sz="8" w:color="auto"/>
            </w:tcBorders>
          </w:tcPr>
          <w:p>
            <w:pPr>
              <w:jc w:val="center"/>
              <w:ind w:right="30"/>
              <w:spacing w:after="0"/>
              <w:rPr>
                <w:sz w:val="20"/>
                <w:szCs w:val="20"/>
                <w:color w:val="auto"/>
              </w:rPr>
            </w:pPr>
            <w:r>
              <w:rPr>
                <w:rFonts w:ascii="Arial" w:cs="Arial" w:eastAsia="Arial" w:hAnsi="Arial"/>
                <w:sz w:val="14"/>
                <w:szCs w:val="14"/>
                <w:color w:val="auto"/>
              </w:rPr>
              <w:t>0</w:t>
            </w:r>
          </w:p>
        </w:tc>
      </w:tr>
      <w:tr>
        <w:trPr>
          <w:trHeight w:val="39"/>
        </w:trPr>
        <w:tc>
          <w:tcPr>
            <w:tcW w:w="140" w:type="dxa"/>
            <w:vAlign w:val="bottom"/>
            <w:tcBorders>
              <w:bottom w:val="single" w:sz="8" w:color="auto"/>
            </w:tcBorders>
          </w:tcPr>
          <w:p>
            <w:pPr>
              <w:spacing w:after="0"/>
              <w:rPr>
                <w:sz w:val="3"/>
                <w:szCs w:val="3"/>
                <w:color w:val="auto"/>
              </w:rPr>
            </w:pPr>
          </w:p>
        </w:tc>
        <w:tc>
          <w:tcPr>
            <w:tcW w:w="6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309"/>
        </w:trPr>
        <w:tc>
          <w:tcPr>
            <w:tcW w:w="140" w:type="dxa"/>
            <w:vAlign w:val="bottom"/>
            <w:tcBorders>
              <w:bottom w:val="single" w:sz="8" w:color="F7F7F7"/>
            </w:tcBorders>
            <w:shd w:val="clear" w:color="auto" w:fill="F7F7F7"/>
          </w:tcPr>
          <w:p>
            <w:pPr>
              <w:spacing w:after="0"/>
              <w:rPr>
                <w:sz w:val="24"/>
                <w:szCs w:val="24"/>
                <w:color w:val="auto"/>
              </w:rPr>
            </w:pPr>
          </w:p>
        </w:tc>
        <w:tc>
          <w:tcPr>
            <w:tcW w:w="6180" w:type="dxa"/>
            <w:vAlign w:val="bottom"/>
            <w:tcBorders>
              <w:bottom w:val="single" w:sz="8" w:color="F7F7F7"/>
            </w:tcBorders>
            <w:shd w:val="clear" w:color="auto" w:fill="F7F7F7"/>
          </w:tcPr>
          <w:p>
            <w:pPr>
              <w:spacing w:after="0"/>
              <w:rPr>
                <w:sz w:val="20"/>
                <w:szCs w:val="20"/>
                <w:color w:val="auto"/>
              </w:rPr>
            </w:pPr>
            <w:r>
              <w:rPr>
                <w:rFonts w:ascii="Arial" w:cs="Arial" w:eastAsia="Arial" w:hAnsi="Arial"/>
                <w:sz w:val="14"/>
                <w:szCs w:val="14"/>
                <w:color w:val="auto"/>
              </w:rPr>
              <w:t>Two or More Races or Ethnicities</w:t>
            </w:r>
          </w:p>
        </w:tc>
        <w:tc>
          <w:tcPr>
            <w:tcW w:w="780" w:type="dxa"/>
            <w:vAlign w:val="bottom"/>
            <w:tcBorders>
              <w:bottom w:val="single" w:sz="8" w:color="F7F7F7"/>
            </w:tcBorders>
            <w:shd w:val="clear" w:color="auto" w:fill="F7F7F7"/>
          </w:tcPr>
          <w:p>
            <w:pPr>
              <w:jc w:val="center"/>
              <w:ind w:left="29"/>
              <w:spacing w:after="0"/>
              <w:rPr>
                <w:sz w:val="20"/>
                <w:szCs w:val="20"/>
                <w:color w:val="auto"/>
              </w:rPr>
            </w:pPr>
            <w:r>
              <w:rPr>
                <w:rFonts w:ascii="Arial" w:cs="Arial" w:eastAsia="Arial" w:hAnsi="Arial"/>
                <w:sz w:val="14"/>
                <w:szCs w:val="14"/>
                <w:color w:val="auto"/>
              </w:rPr>
              <w:t>0</w:t>
            </w:r>
          </w:p>
        </w:tc>
        <w:tc>
          <w:tcPr>
            <w:tcW w:w="500" w:type="dxa"/>
            <w:vAlign w:val="bottom"/>
            <w:tcBorders>
              <w:bottom w:val="single" w:sz="8" w:color="F7F7F7"/>
            </w:tcBorders>
            <w:shd w:val="clear" w:color="auto" w:fill="F7F7F7"/>
          </w:tcPr>
          <w:p>
            <w:pPr>
              <w:jc w:val="center"/>
              <w:spacing w:after="0"/>
              <w:rPr>
                <w:sz w:val="20"/>
                <w:szCs w:val="20"/>
                <w:color w:val="auto"/>
              </w:rPr>
            </w:pPr>
            <w:r>
              <w:rPr>
                <w:rFonts w:ascii="Arial" w:cs="Arial" w:eastAsia="Arial" w:hAnsi="Arial"/>
                <w:sz w:val="14"/>
                <w:szCs w:val="14"/>
                <w:color w:val="auto"/>
              </w:rPr>
              <w:t>0</w:t>
            </w:r>
          </w:p>
        </w:tc>
        <w:tc>
          <w:tcPr>
            <w:tcW w:w="920" w:type="dxa"/>
            <w:vAlign w:val="bottom"/>
            <w:tcBorders>
              <w:bottom w:val="single" w:sz="8" w:color="F7F7F7"/>
            </w:tcBorders>
            <w:shd w:val="clear" w:color="auto" w:fill="F7F7F7"/>
          </w:tcPr>
          <w:p>
            <w:pPr>
              <w:jc w:val="center"/>
              <w:spacing w:after="0"/>
              <w:rPr>
                <w:sz w:val="20"/>
                <w:szCs w:val="20"/>
                <w:color w:val="auto"/>
              </w:rPr>
            </w:pPr>
            <w:r>
              <w:rPr>
                <w:rFonts w:ascii="Arial" w:cs="Arial" w:eastAsia="Arial" w:hAnsi="Arial"/>
                <w:sz w:val="14"/>
                <w:szCs w:val="14"/>
                <w:color w:val="auto"/>
              </w:rPr>
              <w:t>0</w:t>
            </w:r>
          </w:p>
        </w:tc>
        <w:tc>
          <w:tcPr>
            <w:tcW w:w="860" w:type="dxa"/>
            <w:vAlign w:val="bottom"/>
            <w:tcBorders>
              <w:bottom w:val="single" w:sz="8" w:color="F7F7F7"/>
            </w:tcBorders>
            <w:shd w:val="clear" w:color="auto" w:fill="F7F7F7"/>
          </w:tcPr>
          <w:p>
            <w:pPr>
              <w:jc w:val="center"/>
              <w:ind w:right="30"/>
              <w:spacing w:after="0"/>
              <w:rPr>
                <w:sz w:val="20"/>
                <w:szCs w:val="20"/>
                <w:color w:val="auto"/>
              </w:rPr>
            </w:pPr>
            <w:r>
              <w:rPr>
                <w:rFonts w:ascii="Arial" w:cs="Arial" w:eastAsia="Arial" w:hAnsi="Arial"/>
                <w:sz w:val="14"/>
                <w:szCs w:val="14"/>
                <w:color w:val="auto"/>
              </w:rPr>
              <w:t>0</w:t>
            </w:r>
          </w:p>
        </w:tc>
      </w:tr>
      <w:tr>
        <w:trPr>
          <w:trHeight w:val="265"/>
        </w:trPr>
        <w:tc>
          <w:tcPr>
            <w:tcW w:w="140" w:type="dxa"/>
            <w:vAlign w:val="bottom"/>
            <w:tcBorders>
              <w:top w:val="single" w:sz="8" w:color="auto"/>
            </w:tcBorders>
          </w:tcPr>
          <w:p>
            <w:pPr>
              <w:spacing w:after="0"/>
              <w:rPr>
                <w:sz w:val="23"/>
                <w:szCs w:val="23"/>
                <w:color w:val="auto"/>
              </w:rPr>
            </w:pPr>
          </w:p>
        </w:tc>
        <w:tc>
          <w:tcPr>
            <w:tcW w:w="61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LGBTQ+</w:t>
            </w:r>
          </w:p>
        </w:tc>
        <w:tc>
          <w:tcPr>
            <w:tcW w:w="780" w:type="dxa"/>
            <w:vAlign w:val="bottom"/>
            <w:tcBorders>
              <w:top w:val="single" w:sz="8" w:color="auto"/>
            </w:tcBorders>
          </w:tcPr>
          <w:p>
            <w:pPr>
              <w:jc w:val="right"/>
              <w:ind w:right="409"/>
              <w:spacing w:after="0"/>
              <w:rPr>
                <w:sz w:val="20"/>
                <w:szCs w:val="20"/>
                <w:color w:val="auto"/>
              </w:rPr>
            </w:pPr>
            <w:r>
              <w:rPr>
                <w:rFonts w:ascii="Arial" w:cs="Arial" w:eastAsia="Arial" w:hAnsi="Arial"/>
                <w:sz w:val="14"/>
                <w:szCs w:val="14"/>
                <w:color w:val="auto"/>
              </w:rPr>
              <w:t>0</w:t>
            </w:r>
          </w:p>
        </w:tc>
        <w:tc>
          <w:tcPr>
            <w:tcW w:w="50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r>
      <w:tr>
        <w:trPr>
          <w:trHeight w:val="39"/>
        </w:trPr>
        <w:tc>
          <w:tcPr>
            <w:tcW w:w="140" w:type="dxa"/>
            <w:vAlign w:val="bottom"/>
            <w:tcBorders>
              <w:bottom w:val="single" w:sz="8" w:color="auto"/>
            </w:tcBorders>
          </w:tcPr>
          <w:p>
            <w:pPr>
              <w:spacing w:after="0"/>
              <w:rPr>
                <w:sz w:val="3"/>
                <w:szCs w:val="3"/>
                <w:color w:val="auto"/>
              </w:rPr>
            </w:pPr>
          </w:p>
        </w:tc>
        <w:tc>
          <w:tcPr>
            <w:tcW w:w="6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84"/>
        </w:trPr>
        <w:tc>
          <w:tcPr>
            <w:tcW w:w="140" w:type="dxa"/>
            <w:vAlign w:val="bottom"/>
            <w:tcBorders>
              <w:bottom w:val="single" w:sz="8" w:color="F7F7F7"/>
            </w:tcBorders>
            <w:shd w:val="clear" w:color="auto" w:fill="F7F7F7"/>
          </w:tcPr>
          <w:p>
            <w:pPr>
              <w:spacing w:after="0"/>
              <w:rPr>
                <w:sz w:val="24"/>
                <w:szCs w:val="24"/>
                <w:color w:val="auto"/>
              </w:rPr>
            </w:pPr>
          </w:p>
        </w:tc>
        <w:tc>
          <w:tcPr>
            <w:tcW w:w="6180" w:type="dxa"/>
            <w:vAlign w:val="bottom"/>
            <w:tcBorders>
              <w:bottom w:val="single" w:sz="8" w:color="F7F7F7"/>
            </w:tcBorders>
            <w:shd w:val="clear" w:color="auto" w:fill="F7F7F7"/>
          </w:tcPr>
          <w:p>
            <w:pPr>
              <w:spacing w:after="0"/>
              <w:rPr>
                <w:sz w:val="20"/>
                <w:szCs w:val="20"/>
                <w:color w:val="auto"/>
              </w:rPr>
            </w:pPr>
            <w:r>
              <w:rPr>
                <w:rFonts w:ascii="Arial" w:cs="Arial" w:eastAsia="Arial" w:hAnsi="Arial"/>
                <w:sz w:val="14"/>
                <w:szCs w:val="14"/>
                <w:color w:val="auto"/>
              </w:rPr>
              <w:t>Did Not Disclose Demographic Background</w:t>
            </w:r>
          </w:p>
        </w:tc>
        <w:tc>
          <w:tcPr>
            <w:tcW w:w="780" w:type="dxa"/>
            <w:vAlign w:val="bottom"/>
            <w:tcBorders>
              <w:bottom w:val="single" w:sz="8" w:color="F7F7F7"/>
            </w:tcBorders>
            <w:shd w:val="clear" w:color="auto" w:fill="F7F7F7"/>
          </w:tcPr>
          <w:p>
            <w:pPr>
              <w:jc w:val="right"/>
              <w:ind w:right="409"/>
              <w:spacing w:after="0"/>
              <w:rPr>
                <w:sz w:val="20"/>
                <w:szCs w:val="20"/>
                <w:color w:val="auto"/>
              </w:rPr>
            </w:pPr>
            <w:r>
              <w:rPr>
                <w:rFonts w:ascii="Arial" w:cs="Arial" w:eastAsia="Arial" w:hAnsi="Arial"/>
                <w:sz w:val="14"/>
                <w:szCs w:val="14"/>
                <w:color w:val="auto"/>
              </w:rPr>
              <w:t>0</w:t>
            </w:r>
          </w:p>
        </w:tc>
        <w:tc>
          <w:tcPr>
            <w:tcW w:w="500" w:type="dxa"/>
            <w:vAlign w:val="bottom"/>
            <w:tcBorders>
              <w:bottom w:val="single" w:sz="8" w:color="F7F7F7"/>
            </w:tcBorders>
            <w:shd w:val="clear" w:color="auto" w:fill="F7F7F7"/>
          </w:tcPr>
          <w:p>
            <w:pPr>
              <w:spacing w:after="0"/>
              <w:rPr>
                <w:sz w:val="24"/>
                <w:szCs w:val="24"/>
                <w:color w:val="auto"/>
              </w:rPr>
            </w:pPr>
          </w:p>
        </w:tc>
        <w:tc>
          <w:tcPr>
            <w:tcW w:w="920" w:type="dxa"/>
            <w:vAlign w:val="bottom"/>
            <w:tcBorders>
              <w:bottom w:val="single" w:sz="8" w:color="F7F7F7"/>
            </w:tcBorders>
            <w:shd w:val="clear" w:color="auto" w:fill="F7F7F7"/>
          </w:tcPr>
          <w:p>
            <w:pPr>
              <w:spacing w:after="0"/>
              <w:rPr>
                <w:sz w:val="24"/>
                <w:szCs w:val="24"/>
                <w:color w:val="auto"/>
              </w:rPr>
            </w:pPr>
          </w:p>
        </w:tc>
        <w:tc>
          <w:tcPr>
            <w:tcW w:w="860" w:type="dxa"/>
            <w:vAlign w:val="bottom"/>
            <w:tcBorders>
              <w:bottom w:val="single" w:sz="8" w:color="F7F7F7"/>
            </w:tcBorders>
            <w:shd w:val="clear" w:color="auto" w:fill="F7F7F7"/>
          </w:tcPr>
          <w:p>
            <w:pPr>
              <w:spacing w:after="0"/>
              <w:rPr>
                <w:sz w:val="24"/>
                <w:szCs w:val="24"/>
                <w:color w:val="auto"/>
              </w:rPr>
            </w:pPr>
          </w:p>
        </w:tc>
      </w:tr>
      <w:tr>
        <w:trPr>
          <w:trHeight w:val="20"/>
        </w:trPr>
        <w:tc>
          <w:tcPr>
            <w:tcW w:w="140" w:type="dxa"/>
            <w:vAlign w:val="bottom"/>
            <w:shd w:val="clear" w:color="auto" w:fill="000000"/>
          </w:tcPr>
          <w:p>
            <w:pPr>
              <w:spacing w:after="0" w:line="20" w:lineRule="exact"/>
              <w:rPr>
                <w:sz w:val="1"/>
                <w:szCs w:val="1"/>
                <w:color w:val="auto"/>
              </w:rPr>
            </w:pPr>
          </w:p>
        </w:tc>
        <w:tc>
          <w:tcPr>
            <w:tcW w:w="6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21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Role of the Board in Risk Oversight</w:t>
      </w:r>
    </w:p>
    <w:p>
      <w:pPr>
        <w:spacing w:after="0" w:line="192" w:lineRule="exact"/>
        <w:rPr>
          <w:sz w:val="20"/>
          <w:szCs w:val="20"/>
          <w:color w:val="auto"/>
        </w:rPr>
      </w:pPr>
    </w:p>
    <w:p>
      <w:pPr>
        <w:ind w:left="660"/>
        <w:spacing w:after="0" w:line="265" w:lineRule="auto"/>
        <w:rPr>
          <w:sz w:val="20"/>
          <w:szCs w:val="20"/>
          <w:color w:val="auto"/>
        </w:rPr>
      </w:pPr>
      <w:r>
        <w:rPr>
          <w:rFonts w:ascii="Arial" w:cs="Arial" w:eastAsia="Arial" w:hAnsi="Arial"/>
          <w:sz w:val="16"/>
          <w:szCs w:val="16"/>
          <w:color w:val="auto"/>
        </w:rPr>
        <w:t>One of the Board’s key functions is informed oversight of our risk management process. The Board believes that its current leadership structure facilitates its risk oversight responsibilities. In particular, the Board believes the majority-independent Board and independent Board committees provide a well-functioning and effective balance to an experienced Chief Executive Officer. The Board does not have a standing risk management committee, but rather administers this oversight function directly through the Board as a whole, as well as through various Board standing committees that address risks inherent in their respective areas of oversight. For example, the Board acts as the ultimate decision-making body of the Company and advises and oversees management, who are responsible for the day-to-day operations and management of the Company. The Audit Committee monitors compliance with legal and regulatory requirements. The Nominating and Corporate Governance Committee monitors the effectiveness of our corporate governance guidelines and policies. The Compensation Committee assesses and monitors whether any of our compensation policies and programs has the potential to encourage excessive risk-taking.</w:t>
      </w:r>
    </w:p>
    <w:p>
      <w:pPr>
        <w:spacing w:after="0" w:line="209" w:lineRule="exact"/>
        <w:rPr>
          <w:sz w:val="20"/>
          <w:szCs w:val="20"/>
          <w:color w:val="auto"/>
        </w:rPr>
      </w:pPr>
    </w:p>
    <w:p>
      <w:pPr>
        <w:ind w:left="660" w:right="180"/>
        <w:spacing w:after="0" w:line="268" w:lineRule="auto"/>
        <w:rPr>
          <w:sz w:val="20"/>
          <w:szCs w:val="20"/>
          <w:color w:val="auto"/>
        </w:rPr>
      </w:pPr>
      <w:r>
        <w:rPr>
          <w:rFonts w:ascii="Arial" w:cs="Arial" w:eastAsia="Arial" w:hAnsi="Arial"/>
          <w:sz w:val="16"/>
          <w:szCs w:val="16"/>
          <w:color w:val="auto"/>
        </w:rPr>
        <w:t>It is the responsibility of the committee chairs to report findings regarding material risk exposures to the Board as quickly as possible. Our Chief Executive Officer, Chief Financial Officer and General Counsel coordinate between the Board and management with regard to the determination and implementation of responses to any problematic risk management issues. It is the responsibility of the committee chairs to report findings regarding material risk exposures to the Board as quickly as possible.</w:t>
      </w:r>
    </w:p>
    <w:p>
      <w:pPr>
        <w:sectPr>
          <w:pgSz w:w="11900" w:h="16838" w:orient="portrait"/>
          <w:cols w:equalWidth="0" w:num="1">
            <w:col w:w="10040"/>
          </w:cols>
          <w:pgMar w:left="580" w:top="131" w:right="1279" w:bottom="1440" w:gutter="0" w:footer="0" w:header="0"/>
        </w:sectPr>
      </w:pPr>
    </w:p>
    <w:p>
      <w:pPr>
        <w:spacing w:after="0" w:line="383" w:lineRule="exact"/>
        <w:rPr>
          <w:sz w:val="20"/>
          <w:szCs w:val="20"/>
          <w:color w:val="auto"/>
        </w:rPr>
      </w:pPr>
    </w:p>
    <w:p>
      <w:pPr>
        <w:ind w:left="660"/>
        <w:spacing w:after="0"/>
        <w:tabs>
          <w:tab w:leader="none" w:pos="9880" w:val="left"/>
        </w:tabs>
        <w:rPr>
          <w:sz w:val="20"/>
          <w:szCs w:val="20"/>
          <w:color w:val="auto"/>
        </w:rPr>
      </w:pPr>
      <w:r>
        <w:rPr>
          <w:rFonts w:ascii="Arial" w:cs="Arial" w:eastAsia="Arial" w:hAnsi="Arial"/>
          <w:sz w:val="13"/>
          <w:szCs w:val="13"/>
          <w:color w:val="auto"/>
        </w:rPr>
        <w:t>2022 Proxy Statement</w:t>
      </w:r>
      <w:r>
        <w:rPr>
          <w:sz w:val="20"/>
          <w:szCs w:val="20"/>
          <w:color w:val="auto"/>
        </w:rPr>
        <w:tab/>
      </w:r>
      <w:r>
        <w:rPr>
          <w:rFonts w:ascii="Arial" w:cs="Arial" w:eastAsia="Arial" w:hAnsi="Arial"/>
          <w:sz w:val="12"/>
          <w:szCs w:val="12"/>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1" w:right="1279"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60" w:right="340"/>
        <w:spacing w:after="0" w:line="278" w:lineRule="auto"/>
        <w:rPr>
          <w:sz w:val="20"/>
          <w:szCs w:val="20"/>
          <w:color w:val="auto"/>
        </w:rPr>
      </w:pPr>
      <w:r>
        <w:rPr>
          <w:rFonts w:ascii="Arial" w:cs="Arial" w:eastAsia="Arial" w:hAnsi="Arial"/>
          <w:sz w:val="16"/>
          <w:szCs w:val="16"/>
          <w:color w:val="auto"/>
        </w:rPr>
        <w:t>Our Chief Executive Officer, Chief Financial Officer and General Counsel coordinate between the Board and management with regard to the determination and implementation of responses to any problematic risk management issues.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Meetings of the Board of Directors</w:t>
      </w:r>
    </w:p>
    <w:p>
      <w:pPr>
        <w:spacing w:after="0" w:line="192" w:lineRule="exact"/>
        <w:rPr>
          <w:sz w:val="20"/>
          <w:szCs w:val="20"/>
          <w:color w:val="auto"/>
        </w:rPr>
      </w:pPr>
    </w:p>
    <w:p>
      <w:pPr>
        <w:ind w:left="660" w:right="40"/>
        <w:spacing w:after="0" w:line="267" w:lineRule="auto"/>
        <w:rPr>
          <w:sz w:val="20"/>
          <w:szCs w:val="20"/>
          <w:color w:val="auto"/>
        </w:rPr>
      </w:pPr>
      <w:r>
        <w:rPr>
          <w:rFonts w:ascii="Arial" w:cs="Arial" w:eastAsia="Arial" w:hAnsi="Arial"/>
          <w:sz w:val="16"/>
          <w:szCs w:val="16"/>
          <w:color w:val="auto"/>
        </w:rPr>
        <w:t>The Board oversees our business. It establishes overall policies and standards and reviews the performance of management. During the fiscal year ended December 31, 2021, the Board held 14 meetings. Each Board member attended 75% or more of the aggregate meetings of the Board and of the committees on which they served held during the period for which they were a director or committee member. Our directors are encouraged to attend our annual meetings of stockholders, but we do not currently have a policy relating to director attendance.</w:t>
      </w:r>
    </w:p>
    <w:p>
      <w:pPr>
        <w:spacing w:after="0" w:line="205" w:lineRule="exact"/>
        <w:rPr>
          <w:sz w:val="20"/>
          <w:szCs w:val="20"/>
          <w:color w:val="auto"/>
        </w:rPr>
      </w:pPr>
    </w:p>
    <w:p>
      <w:pPr>
        <w:ind w:left="660" w:right="40"/>
        <w:spacing w:after="0" w:line="271" w:lineRule="auto"/>
        <w:rPr>
          <w:sz w:val="20"/>
          <w:szCs w:val="20"/>
          <w:color w:val="auto"/>
        </w:rPr>
      </w:pPr>
      <w:r>
        <w:rPr>
          <w:rFonts w:ascii="Arial" w:cs="Arial" w:eastAsia="Arial" w:hAnsi="Arial"/>
          <w:sz w:val="16"/>
          <w:szCs w:val="16"/>
          <w:color w:val="auto"/>
        </w:rPr>
        <w:t>Our Independent Directors meet from time to time in executive session. The Board and each of our standing independent committees typically holds an executive session of non-management directors (all of whom are Independent Directors) as a part of every regularly scheduled quarterly meeting.</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Information Regarding Committees of the Board of Directors</w:t>
      </w:r>
    </w:p>
    <w:p>
      <w:pPr>
        <w:spacing w:after="0" w:line="192" w:lineRule="exact"/>
        <w:rPr>
          <w:sz w:val="20"/>
          <w:szCs w:val="20"/>
          <w:color w:val="auto"/>
        </w:rPr>
      </w:pPr>
    </w:p>
    <w:p>
      <w:pPr>
        <w:ind w:left="660"/>
        <w:spacing w:after="0" w:line="266" w:lineRule="auto"/>
        <w:rPr>
          <w:sz w:val="20"/>
          <w:szCs w:val="20"/>
          <w:color w:val="auto"/>
        </w:rPr>
      </w:pPr>
      <w:r>
        <w:rPr>
          <w:rFonts w:ascii="Arial" w:cs="Arial" w:eastAsia="Arial" w:hAnsi="Arial"/>
          <w:sz w:val="16"/>
          <w:szCs w:val="16"/>
          <w:color w:val="auto"/>
        </w:rPr>
        <w:t>The Board has a number of committees that perform certain functions for the Board. The current committees of the Board are the Audit Committee, the Compensation Committee, the Nominating and Corporate Governance Committee and the Executive Committee. Below is a description of each committee of the Board. Each of the committees has authority to engage legal counsel or other experts or consultants, as it deems appropriate to carry out its responsibilities. The Board has determined that each member of the Audit Committee, the Compensation Committee and the Nominating and Corporate Governance Committee meets the applicable Nasdaq listing standards and relevant securities and other laws, rules and regulations regarding “independence” and that each member is free of any relationship that would impair his or her individual exercise of independent judgment with regard to our Company.</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Audit Committee</w:t>
      </w:r>
    </w:p>
    <w:p>
      <w:pPr>
        <w:spacing w:after="0" w:line="192" w:lineRule="exact"/>
        <w:rPr>
          <w:sz w:val="20"/>
          <w:szCs w:val="20"/>
          <w:color w:val="auto"/>
        </w:rPr>
      </w:pPr>
    </w:p>
    <w:p>
      <w:pPr>
        <w:ind w:left="660"/>
        <w:spacing w:after="0" w:line="267" w:lineRule="auto"/>
        <w:rPr>
          <w:sz w:val="20"/>
          <w:szCs w:val="20"/>
          <w:color w:val="auto"/>
        </w:rPr>
      </w:pPr>
      <w:r>
        <w:rPr>
          <w:rFonts w:ascii="Arial" w:cs="Arial" w:eastAsia="Arial" w:hAnsi="Arial"/>
          <w:sz w:val="16"/>
          <w:szCs w:val="16"/>
          <w:color w:val="auto"/>
        </w:rPr>
        <w:t>The Board has a separately designated standing Audit Committee established in accordance with Section 3(a)(58) of the Exchange Act. The Audit Committee was established by the Board to assist the Board in its oversight of the integrity of our financial statements and internal controls, and our compliance with legal and regulatory requirements. In addition, the Audit Committee is responsible for the oversight of the qualification, independence and performance of our independent registered public accounting firm as well as the appointment of our independent registered public accounting firm.</w:t>
      </w:r>
    </w:p>
    <w:p>
      <w:pPr>
        <w:spacing w:after="0" w:line="205" w:lineRule="exact"/>
        <w:rPr>
          <w:sz w:val="20"/>
          <w:szCs w:val="20"/>
          <w:color w:val="auto"/>
        </w:rPr>
      </w:pPr>
    </w:p>
    <w:p>
      <w:pPr>
        <w:ind w:left="660" w:right="80"/>
        <w:spacing w:after="0" w:line="266" w:lineRule="auto"/>
        <w:rPr>
          <w:sz w:val="20"/>
          <w:szCs w:val="20"/>
          <w:color w:val="auto"/>
        </w:rPr>
      </w:pPr>
      <w:r>
        <w:rPr>
          <w:rFonts w:ascii="Arial" w:cs="Arial" w:eastAsia="Arial" w:hAnsi="Arial"/>
          <w:sz w:val="16"/>
          <w:szCs w:val="16"/>
          <w:color w:val="auto"/>
        </w:rPr>
        <w:t>The Audit Committee consists of Janet S. Wong, Glenn R. August and Frank Lindenberg, with Janet S. Wong serving as chairperson. Our Board has determined (i) that each of Janet S. Wong, Glenn R. August and Frank Lindenberg satisfies the requirements for independence and financial literacy under the rules and regulations of Nasdaq and the SEC and (ii) that Janet S. Wong qualifies as an “audit committee financial expert” as defined in the SEC rules and regulations and satisfies the financial sophistication requirements of Nasdaq. In making that determination, the Board relied on the past business experience of Janet S. Wong. Please see the description of the business experience for Janet S. Wong under the heading “Nominees for Director.” This designation does not impose any duties, obligations or liabilities that are greater than are generally imposed on members of our Audit Committee and our Board of Directors. Our Audit Committee is directly responsible for, among other things:</w:t>
      </w:r>
    </w:p>
    <w:p>
      <w:pPr>
        <w:spacing w:after="0" w:line="137" w:lineRule="exact"/>
        <w:rPr>
          <w:sz w:val="20"/>
          <w:szCs w:val="20"/>
          <w:color w:val="auto"/>
        </w:rPr>
      </w:pPr>
    </w:p>
    <w:p>
      <w:pPr>
        <w:ind w:left="820" w:hanging="166"/>
        <w:spacing w:after="0"/>
        <w:tabs>
          <w:tab w:leader="none" w:pos="820" w:val="left"/>
        </w:tabs>
        <w:numPr>
          <w:ilvl w:val="0"/>
          <w:numId w:val="15"/>
        </w:numPr>
        <w:rPr>
          <w:rFonts w:ascii="Arial" w:cs="Arial" w:eastAsia="Arial" w:hAnsi="Arial"/>
          <w:sz w:val="16"/>
          <w:szCs w:val="16"/>
          <w:color w:val="886B25"/>
        </w:rPr>
      </w:pPr>
      <w:r>
        <w:rPr>
          <w:rFonts w:ascii="Arial" w:cs="Arial" w:eastAsia="Arial" w:hAnsi="Arial"/>
          <w:sz w:val="16"/>
          <w:szCs w:val="16"/>
          <w:color w:val="auto"/>
        </w:rPr>
        <w:t>selecting and hiring our registered public accounting firm;</w:t>
      </w:r>
    </w:p>
    <w:p>
      <w:pPr>
        <w:spacing w:after="0" w:line="153" w:lineRule="exact"/>
        <w:rPr>
          <w:rFonts w:ascii="Arial" w:cs="Arial" w:eastAsia="Arial" w:hAnsi="Arial"/>
          <w:sz w:val="16"/>
          <w:szCs w:val="16"/>
          <w:color w:val="886B25"/>
        </w:rPr>
      </w:pPr>
    </w:p>
    <w:p>
      <w:pPr>
        <w:ind w:left="820" w:hanging="166"/>
        <w:spacing w:after="0"/>
        <w:tabs>
          <w:tab w:leader="none" w:pos="820" w:val="left"/>
        </w:tabs>
        <w:numPr>
          <w:ilvl w:val="0"/>
          <w:numId w:val="15"/>
        </w:numPr>
        <w:rPr>
          <w:rFonts w:ascii="Arial" w:cs="Arial" w:eastAsia="Arial" w:hAnsi="Arial"/>
          <w:sz w:val="16"/>
          <w:szCs w:val="16"/>
          <w:color w:val="886B25"/>
        </w:rPr>
      </w:pPr>
      <w:r>
        <w:rPr>
          <w:rFonts w:ascii="Arial" w:cs="Arial" w:eastAsia="Arial" w:hAnsi="Arial"/>
          <w:sz w:val="16"/>
          <w:szCs w:val="16"/>
          <w:color w:val="auto"/>
        </w:rPr>
        <w:t>evaluating the performance and independence of our registered public accounting firm;</w:t>
      </w:r>
    </w:p>
    <w:p>
      <w:pPr>
        <w:spacing w:after="0" w:line="167" w:lineRule="exact"/>
        <w:rPr>
          <w:rFonts w:ascii="Arial" w:cs="Arial" w:eastAsia="Arial" w:hAnsi="Arial"/>
          <w:sz w:val="16"/>
          <w:szCs w:val="16"/>
          <w:color w:val="886B25"/>
        </w:rPr>
      </w:pPr>
    </w:p>
    <w:p>
      <w:pPr>
        <w:ind w:left="820" w:hanging="166"/>
        <w:spacing w:after="0"/>
        <w:tabs>
          <w:tab w:leader="none" w:pos="820" w:val="left"/>
        </w:tabs>
        <w:numPr>
          <w:ilvl w:val="0"/>
          <w:numId w:val="15"/>
        </w:numPr>
        <w:rPr>
          <w:rFonts w:ascii="Arial" w:cs="Arial" w:eastAsia="Arial" w:hAnsi="Arial"/>
          <w:sz w:val="16"/>
          <w:szCs w:val="16"/>
          <w:color w:val="886B25"/>
        </w:rPr>
      </w:pPr>
      <w:r>
        <w:rPr>
          <w:rFonts w:ascii="Arial" w:cs="Arial" w:eastAsia="Arial" w:hAnsi="Arial"/>
          <w:sz w:val="16"/>
          <w:szCs w:val="16"/>
          <w:color w:val="auto"/>
        </w:rPr>
        <w:t>approving the audit and pre-approving any non-audit services to be performed by our registered public accounting firm;</w:t>
      </w:r>
    </w:p>
    <w:p>
      <w:pPr>
        <w:spacing w:after="0" w:line="167" w:lineRule="exact"/>
        <w:rPr>
          <w:rFonts w:ascii="Arial" w:cs="Arial" w:eastAsia="Arial" w:hAnsi="Arial"/>
          <w:sz w:val="16"/>
          <w:szCs w:val="16"/>
          <w:color w:val="886B25"/>
        </w:rPr>
      </w:pPr>
    </w:p>
    <w:p>
      <w:pPr>
        <w:ind w:left="820" w:right="460" w:hanging="166"/>
        <w:spacing w:after="0" w:line="295" w:lineRule="auto"/>
        <w:tabs>
          <w:tab w:leader="none" w:pos="820" w:val="left"/>
        </w:tabs>
        <w:numPr>
          <w:ilvl w:val="0"/>
          <w:numId w:val="15"/>
        </w:numPr>
        <w:rPr>
          <w:rFonts w:ascii="Arial" w:cs="Arial" w:eastAsia="Arial" w:hAnsi="Arial"/>
          <w:sz w:val="16"/>
          <w:szCs w:val="16"/>
          <w:color w:val="886B25"/>
        </w:rPr>
      </w:pPr>
      <w:r>
        <w:rPr>
          <w:rFonts w:ascii="Arial" w:cs="Arial" w:eastAsia="Arial" w:hAnsi="Arial"/>
          <w:sz w:val="16"/>
          <w:szCs w:val="16"/>
          <w:color w:val="auto"/>
        </w:rPr>
        <w:t>reviewing the integrity of our financial statements and related disclosures and reviewing our critical accounting policies and practices;</w:t>
      </w:r>
    </w:p>
    <w:p>
      <w:pPr>
        <w:spacing w:after="0" w:line="114" w:lineRule="exact"/>
        <w:rPr>
          <w:rFonts w:ascii="Arial" w:cs="Arial" w:eastAsia="Arial" w:hAnsi="Arial"/>
          <w:sz w:val="16"/>
          <w:szCs w:val="16"/>
          <w:color w:val="886B25"/>
        </w:rPr>
      </w:pPr>
    </w:p>
    <w:p>
      <w:pPr>
        <w:ind w:left="820" w:right="600" w:hanging="166"/>
        <w:spacing w:after="0" w:line="295" w:lineRule="auto"/>
        <w:tabs>
          <w:tab w:leader="none" w:pos="820" w:val="left"/>
        </w:tabs>
        <w:numPr>
          <w:ilvl w:val="0"/>
          <w:numId w:val="15"/>
        </w:numPr>
        <w:rPr>
          <w:rFonts w:ascii="Arial" w:cs="Arial" w:eastAsia="Arial" w:hAnsi="Arial"/>
          <w:sz w:val="16"/>
          <w:szCs w:val="16"/>
          <w:color w:val="886B25"/>
        </w:rPr>
      </w:pPr>
      <w:r>
        <w:rPr>
          <w:rFonts w:ascii="Arial" w:cs="Arial" w:eastAsia="Arial" w:hAnsi="Arial"/>
          <w:sz w:val="16"/>
          <w:szCs w:val="16"/>
          <w:color w:val="auto"/>
        </w:rPr>
        <w:t>reviewing the adequacy and effectiveness of our internal control policies and procedures and our disclosure controls and procedures;</w:t>
      </w:r>
    </w:p>
    <w:p>
      <w:pPr>
        <w:spacing w:after="0" w:line="101" w:lineRule="exact"/>
        <w:rPr>
          <w:rFonts w:ascii="Arial" w:cs="Arial" w:eastAsia="Arial" w:hAnsi="Arial"/>
          <w:sz w:val="16"/>
          <w:szCs w:val="16"/>
          <w:color w:val="886B25"/>
        </w:rPr>
      </w:pPr>
    </w:p>
    <w:p>
      <w:pPr>
        <w:ind w:left="820" w:hanging="166"/>
        <w:spacing w:after="0"/>
        <w:tabs>
          <w:tab w:leader="none" w:pos="820" w:val="left"/>
        </w:tabs>
        <w:numPr>
          <w:ilvl w:val="0"/>
          <w:numId w:val="15"/>
        </w:numPr>
        <w:rPr>
          <w:rFonts w:ascii="Arial" w:cs="Arial" w:eastAsia="Arial" w:hAnsi="Arial"/>
          <w:sz w:val="16"/>
          <w:szCs w:val="16"/>
          <w:color w:val="886B25"/>
        </w:rPr>
      </w:pPr>
      <w:r>
        <w:rPr>
          <w:rFonts w:ascii="Arial" w:cs="Arial" w:eastAsia="Arial" w:hAnsi="Arial"/>
          <w:sz w:val="16"/>
          <w:szCs w:val="16"/>
          <w:color w:val="auto"/>
        </w:rPr>
        <w:t>overseeing procedures for the treatment of complaints relating to accounting, internal accounting controls or audit matters;</w:t>
      </w:r>
    </w:p>
    <w:p>
      <w:pPr>
        <w:spacing w:after="0" w:line="167" w:lineRule="exact"/>
        <w:rPr>
          <w:rFonts w:ascii="Arial" w:cs="Arial" w:eastAsia="Arial" w:hAnsi="Arial"/>
          <w:sz w:val="16"/>
          <w:szCs w:val="16"/>
          <w:color w:val="886B25"/>
        </w:rPr>
      </w:pPr>
    </w:p>
    <w:p>
      <w:pPr>
        <w:ind w:left="820" w:right="640" w:hanging="166"/>
        <w:spacing w:after="0" w:line="295" w:lineRule="auto"/>
        <w:tabs>
          <w:tab w:leader="none" w:pos="820" w:val="left"/>
        </w:tabs>
        <w:numPr>
          <w:ilvl w:val="0"/>
          <w:numId w:val="15"/>
        </w:numPr>
        <w:rPr>
          <w:rFonts w:ascii="Arial" w:cs="Arial" w:eastAsia="Arial" w:hAnsi="Arial"/>
          <w:sz w:val="16"/>
          <w:szCs w:val="16"/>
          <w:color w:val="886B25"/>
        </w:rPr>
      </w:pPr>
      <w:r>
        <w:rPr>
          <w:rFonts w:ascii="Arial" w:cs="Arial" w:eastAsia="Arial" w:hAnsi="Arial"/>
          <w:sz w:val="16"/>
          <w:szCs w:val="16"/>
          <w:color w:val="auto"/>
        </w:rPr>
        <w:t>reviewing and discussing with management and the registered public accounting firm the results of the annual audit, our quarterly financial statements and our publicly filed reports;</w:t>
      </w:r>
    </w:p>
    <w:p>
      <w:pPr>
        <w:spacing w:after="0" w:line="114" w:lineRule="exact"/>
        <w:rPr>
          <w:rFonts w:ascii="Arial" w:cs="Arial" w:eastAsia="Arial" w:hAnsi="Arial"/>
          <w:sz w:val="16"/>
          <w:szCs w:val="16"/>
          <w:color w:val="886B25"/>
        </w:rPr>
      </w:pPr>
    </w:p>
    <w:p>
      <w:pPr>
        <w:ind w:left="820" w:hanging="166"/>
        <w:spacing w:after="0"/>
        <w:tabs>
          <w:tab w:leader="none" w:pos="820" w:val="left"/>
        </w:tabs>
        <w:numPr>
          <w:ilvl w:val="0"/>
          <w:numId w:val="15"/>
        </w:numPr>
        <w:rPr>
          <w:rFonts w:ascii="Arial" w:cs="Arial" w:eastAsia="Arial" w:hAnsi="Arial"/>
          <w:sz w:val="16"/>
          <w:szCs w:val="16"/>
          <w:color w:val="886B25"/>
        </w:rPr>
      </w:pPr>
      <w:r>
        <w:rPr>
          <w:rFonts w:ascii="Arial" w:cs="Arial" w:eastAsia="Arial" w:hAnsi="Arial"/>
          <w:sz w:val="16"/>
          <w:szCs w:val="16"/>
          <w:color w:val="auto"/>
        </w:rPr>
        <w:t>establishing procedures for employees to anonymously submit concerns about questionable accounting or audit matters;</w:t>
      </w:r>
    </w:p>
    <w:p>
      <w:pPr>
        <w:spacing w:after="0" w:line="200" w:lineRule="exact"/>
        <w:rPr>
          <w:sz w:val="20"/>
          <w:szCs w:val="20"/>
          <w:color w:val="auto"/>
        </w:rPr>
      </w:pPr>
    </w:p>
    <w:p>
      <w:pPr>
        <w:spacing w:after="0" w:line="213"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2"/>
          <w:szCs w:val="12"/>
          <w:b w:val="1"/>
          <w:bCs w:val="1"/>
          <w:color w:val="auto"/>
        </w:rPr>
        <w:t>18</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110490</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1" w:right="1279" w:bottom="1440" w:gutter="0" w:footer="0" w:header="0"/>
        </w:sectPr>
      </w:pPr>
    </w:p>
    <w:bookmarkStart w:id="27" w:name="page28"/>
    <w:bookmarkEnd w:id="27"/>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20" w:hanging="166"/>
        <w:spacing w:after="0"/>
        <w:tabs>
          <w:tab w:leader="none" w:pos="820" w:val="left"/>
        </w:tabs>
        <w:numPr>
          <w:ilvl w:val="0"/>
          <w:numId w:val="16"/>
        </w:numPr>
        <w:rPr>
          <w:rFonts w:ascii="Arial" w:cs="Arial" w:eastAsia="Arial" w:hAnsi="Arial"/>
          <w:sz w:val="16"/>
          <w:szCs w:val="16"/>
          <w:color w:val="886B25"/>
        </w:rPr>
      </w:pPr>
      <w:r>
        <w:rPr>
          <w:rFonts w:ascii="Arial" w:cs="Arial" w:eastAsia="Arial" w:hAnsi="Arial"/>
          <w:sz w:val="16"/>
          <w:szCs w:val="16"/>
          <w:color w:val="auto"/>
        </w:rPr>
        <w:t>reviewing and approving in advance any proposed related-person transactions; and</w:t>
      </w:r>
    </w:p>
    <w:p>
      <w:pPr>
        <w:spacing w:after="0" w:line="167" w:lineRule="exact"/>
        <w:rPr>
          <w:rFonts w:ascii="Arial" w:cs="Arial" w:eastAsia="Arial" w:hAnsi="Arial"/>
          <w:sz w:val="16"/>
          <w:szCs w:val="16"/>
          <w:color w:val="886B25"/>
        </w:rPr>
      </w:pPr>
    </w:p>
    <w:p>
      <w:pPr>
        <w:ind w:left="820" w:hanging="166"/>
        <w:spacing w:after="0"/>
        <w:tabs>
          <w:tab w:leader="none" w:pos="820" w:val="left"/>
        </w:tabs>
        <w:numPr>
          <w:ilvl w:val="0"/>
          <w:numId w:val="16"/>
        </w:numPr>
        <w:rPr>
          <w:rFonts w:ascii="Arial" w:cs="Arial" w:eastAsia="Arial" w:hAnsi="Arial"/>
          <w:sz w:val="16"/>
          <w:szCs w:val="16"/>
          <w:color w:val="886B25"/>
        </w:rPr>
      </w:pPr>
      <w:r>
        <w:rPr>
          <w:rFonts w:ascii="Arial" w:cs="Arial" w:eastAsia="Arial" w:hAnsi="Arial"/>
          <w:sz w:val="16"/>
          <w:szCs w:val="16"/>
          <w:color w:val="auto"/>
        </w:rPr>
        <w:t>preparing the audit committee report that the SEC requires in our annual proxy statement.</w:t>
      </w:r>
    </w:p>
    <w:p>
      <w:pPr>
        <w:spacing w:after="0" w:line="235" w:lineRule="exact"/>
        <w:rPr>
          <w:sz w:val="20"/>
          <w:szCs w:val="20"/>
          <w:color w:val="auto"/>
        </w:rPr>
      </w:pPr>
    </w:p>
    <w:p>
      <w:pPr>
        <w:ind w:left="660" w:right="720"/>
        <w:spacing w:after="0" w:line="266" w:lineRule="auto"/>
        <w:rPr>
          <w:sz w:val="20"/>
          <w:szCs w:val="20"/>
          <w:color w:val="auto"/>
        </w:rPr>
      </w:pPr>
      <w:r>
        <w:rPr>
          <w:rFonts w:ascii="Arial" w:cs="Arial" w:eastAsia="Arial" w:hAnsi="Arial"/>
          <w:sz w:val="16"/>
          <w:szCs w:val="16"/>
          <w:color w:val="auto"/>
        </w:rPr>
        <w:t>Our Audit Committee operates under a written charter that satisfies the applicable rules of the SEC and the listing standards of the Nasdaq. In 2021, the Audit Committee met ten times. The Audit Committee charter can be found in the Governance section of the Investors section of our website at https://ir.lucidmotors.com/governance/documents-and-charters. Information on or accessible through our website is not incorporated by reference in this Proxy Statement. The Audit Committee charter grants the Audit Committee authority to obtain, at our expense, advice and assistance from internal and external legal, accounting or other advisors and consultants and other external resources that the Audit Committee considers necessary or appropriate in the performance of its duties.</w:t>
      </w:r>
    </w:p>
    <w:p>
      <w:pPr>
        <w:spacing w:after="0" w:line="206" w:lineRule="exact"/>
        <w:rPr>
          <w:sz w:val="20"/>
          <w:szCs w:val="20"/>
          <w:color w:val="auto"/>
        </w:rPr>
      </w:pPr>
    </w:p>
    <w:p>
      <w:pPr>
        <w:ind w:left="660" w:right="740"/>
        <w:spacing w:after="0" w:line="278" w:lineRule="auto"/>
        <w:rPr>
          <w:sz w:val="20"/>
          <w:szCs w:val="20"/>
          <w:color w:val="auto"/>
        </w:rPr>
      </w:pPr>
      <w:r>
        <w:rPr>
          <w:rFonts w:ascii="Arial" w:cs="Arial" w:eastAsia="Arial" w:hAnsi="Arial"/>
          <w:sz w:val="16"/>
          <w:szCs w:val="16"/>
          <w:color w:val="auto"/>
        </w:rPr>
        <w:t>As required by its charter, the Audit Committee conducts a self-evaluation at least annually. The Audit Committee also reviews and assesses the adequacy of its charter at least annually and recommends any proposed changes to the Board for its consideration.</w:t>
      </w:r>
    </w:p>
    <w:p>
      <w:pPr>
        <w:spacing w:after="0" w:line="195" w:lineRule="exact"/>
        <w:rPr>
          <w:sz w:val="20"/>
          <w:szCs w:val="20"/>
          <w:color w:val="auto"/>
        </w:rPr>
      </w:pPr>
    </w:p>
    <w:p>
      <w:pPr>
        <w:ind w:left="660" w:right="680"/>
        <w:spacing w:after="0" w:line="271" w:lineRule="auto"/>
        <w:rPr>
          <w:sz w:val="20"/>
          <w:szCs w:val="20"/>
          <w:color w:val="auto"/>
        </w:rPr>
      </w:pPr>
      <w:r>
        <w:rPr>
          <w:rFonts w:ascii="Arial" w:cs="Arial" w:eastAsia="Arial" w:hAnsi="Arial"/>
          <w:sz w:val="16"/>
          <w:szCs w:val="16"/>
          <w:color w:val="auto"/>
        </w:rPr>
        <w:t>The Board annually reviews the Nasdaq listing standards’ definition of independence for Audit Committee members and has determined that all members of our Audit Committee are “independent” and “financially literate” under Nasdaq listing standards and that members of the Audit Committee received no compensation from the Company other than for service as a director.</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Compensation Committee</w:t>
      </w:r>
    </w:p>
    <w:p>
      <w:pPr>
        <w:spacing w:after="0" w:line="192" w:lineRule="exact"/>
        <w:rPr>
          <w:sz w:val="20"/>
          <w:szCs w:val="20"/>
          <w:color w:val="auto"/>
        </w:rPr>
      </w:pPr>
    </w:p>
    <w:p>
      <w:pPr>
        <w:ind w:left="660" w:right="840"/>
        <w:spacing w:after="0" w:line="268" w:lineRule="auto"/>
        <w:rPr>
          <w:sz w:val="20"/>
          <w:szCs w:val="20"/>
          <w:color w:val="auto"/>
        </w:rPr>
      </w:pPr>
      <w:r>
        <w:rPr>
          <w:rFonts w:ascii="Arial" w:cs="Arial" w:eastAsia="Arial" w:hAnsi="Arial"/>
          <w:sz w:val="16"/>
          <w:szCs w:val="16"/>
          <w:color w:val="auto"/>
        </w:rPr>
        <w:t>The Compensation Committee consists of Andrew Liveris, Frank Lindenberg and Anthony Posawatz, with Andrew Liveris serving as chairperson. Our Board has determined that each of Andrew Liveris, Frank Lindenberg and Anthony Posawatz satisfies the requirements for independence under the rules and regulations of Nasdaq and the SEC. Our Compensation Committee is responsible for, among other things:</w:t>
      </w:r>
    </w:p>
    <w:p>
      <w:pPr>
        <w:spacing w:after="0" w:line="137" w:lineRule="exact"/>
        <w:rPr>
          <w:sz w:val="20"/>
          <w:szCs w:val="20"/>
          <w:color w:val="auto"/>
        </w:rPr>
      </w:pPr>
    </w:p>
    <w:p>
      <w:pPr>
        <w:ind w:left="820" w:right="1000" w:hanging="166"/>
        <w:spacing w:after="0" w:line="295" w:lineRule="auto"/>
        <w:tabs>
          <w:tab w:leader="none" w:pos="820" w:val="left"/>
        </w:tabs>
        <w:numPr>
          <w:ilvl w:val="0"/>
          <w:numId w:val="17"/>
        </w:numPr>
        <w:rPr>
          <w:rFonts w:ascii="Arial" w:cs="Arial" w:eastAsia="Arial" w:hAnsi="Arial"/>
          <w:sz w:val="16"/>
          <w:szCs w:val="16"/>
          <w:color w:val="886B25"/>
        </w:rPr>
      </w:pPr>
      <w:r>
        <w:rPr>
          <w:rFonts w:ascii="Arial" w:cs="Arial" w:eastAsia="Arial" w:hAnsi="Arial"/>
          <w:sz w:val="16"/>
          <w:szCs w:val="16"/>
          <w:color w:val="auto"/>
        </w:rPr>
        <w:t>determining, or recommending to the Board for determination, the compensation of our executive officers, including our chief executive officer;</w:t>
      </w:r>
    </w:p>
    <w:p>
      <w:pPr>
        <w:spacing w:after="0" w:line="114" w:lineRule="exact"/>
        <w:rPr>
          <w:rFonts w:ascii="Arial" w:cs="Arial" w:eastAsia="Arial" w:hAnsi="Arial"/>
          <w:sz w:val="16"/>
          <w:szCs w:val="16"/>
          <w:color w:val="886B25"/>
        </w:rPr>
      </w:pPr>
    </w:p>
    <w:p>
      <w:pPr>
        <w:ind w:left="820" w:hanging="166"/>
        <w:spacing w:after="0"/>
        <w:tabs>
          <w:tab w:leader="none" w:pos="820" w:val="left"/>
        </w:tabs>
        <w:numPr>
          <w:ilvl w:val="0"/>
          <w:numId w:val="17"/>
        </w:numPr>
        <w:rPr>
          <w:rFonts w:ascii="Arial" w:cs="Arial" w:eastAsia="Arial" w:hAnsi="Arial"/>
          <w:sz w:val="16"/>
          <w:szCs w:val="16"/>
          <w:color w:val="886B25"/>
        </w:rPr>
      </w:pPr>
      <w:r>
        <w:rPr>
          <w:rFonts w:ascii="Arial" w:cs="Arial" w:eastAsia="Arial" w:hAnsi="Arial"/>
          <w:sz w:val="16"/>
          <w:szCs w:val="16"/>
          <w:color w:val="auto"/>
        </w:rPr>
        <w:t>administering our equity compensation plans;</w:t>
      </w:r>
    </w:p>
    <w:p>
      <w:pPr>
        <w:spacing w:after="0" w:line="167" w:lineRule="exact"/>
        <w:rPr>
          <w:rFonts w:ascii="Arial" w:cs="Arial" w:eastAsia="Arial" w:hAnsi="Arial"/>
          <w:sz w:val="16"/>
          <w:szCs w:val="16"/>
          <w:color w:val="886B25"/>
        </w:rPr>
      </w:pPr>
    </w:p>
    <w:p>
      <w:pPr>
        <w:ind w:left="820" w:hanging="166"/>
        <w:spacing w:after="0"/>
        <w:tabs>
          <w:tab w:leader="none" w:pos="820" w:val="left"/>
        </w:tabs>
        <w:numPr>
          <w:ilvl w:val="0"/>
          <w:numId w:val="17"/>
        </w:numPr>
        <w:rPr>
          <w:rFonts w:ascii="Arial" w:cs="Arial" w:eastAsia="Arial" w:hAnsi="Arial"/>
          <w:sz w:val="16"/>
          <w:szCs w:val="16"/>
          <w:color w:val="886B25"/>
        </w:rPr>
      </w:pPr>
      <w:r>
        <w:rPr>
          <w:rFonts w:ascii="Arial" w:cs="Arial" w:eastAsia="Arial" w:hAnsi="Arial"/>
          <w:sz w:val="16"/>
          <w:szCs w:val="16"/>
          <w:color w:val="auto"/>
        </w:rPr>
        <w:t>overseeing our overall compensation policies and practices, compensation plans, and benefits programs; and</w:t>
      </w:r>
    </w:p>
    <w:p>
      <w:pPr>
        <w:spacing w:after="0" w:line="167" w:lineRule="exact"/>
        <w:rPr>
          <w:rFonts w:ascii="Arial" w:cs="Arial" w:eastAsia="Arial" w:hAnsi="Arial"/>
          <w:sz w:val="16"/>
          <w:szCs w:val="16"/>
          <w:color w:val="886B25"/>
        </w:rPr>
      </w:pPr>
    </w:p>
    <w:p>
      <w:pPr>
        <w:ind w:left="820" w:hanging="166"/>
        <w:spacing w:after="0"/>
        <w:tabs>
          <w:tab w:leader="none" w:pos="820" w:val="left"/>
        </w:tabs>
        <w:numPr>
          <w:ilvl w:val="0"/>
          <w:numId w:val="17"/>
        </w:numPr>
        <w:rPr>
          <w:rFonts w:ascii="Arial" w:cs="Arial" w:eastAsia="Arial" w:hAnsi="Arial"/>
          <w:sz w:val="16"/>
          <w:szCs w:val="16"/>
          <w:color w:val="886B25"/>
        </w:rPr>
      </w:pPr>
      <w:r>
        <w:rPr>
          <w:rFonts w:ascii="Arial" w:cs="Arial" w:eastAsia="Arial" w:hAnsi="Arial"/>
          <w:sz w:val="16"/>
          <w:szCs w:val="16"/>
          <w:color w:val="auto"/>
        </w:rPr>
        <w:t>preparing the compensation committee report that the SEC requires in our annual proxy statement.</w:t>
      </w:r>
    </w:p>
    <w:p>
      <w:pPr>
        <w:spacing w:after="0" w:line="235" w:lineRule="exact"/>
        <w:rPr>
          <w:sz w:val="20"/>
          <w:szCs w:val="20"/>
          <w:color w:val="auto"/>
        </w:rPr>
      </w:pPr>
    </w:p>
    <w:p>
      <w:pPr>
        <w:ind w:left="660" w:right="720"/>
        <w:spacing w:after="0" w:line="265" w:lineRule="auto"/>
        <w:rPr>
          <w:sz w:val="20"/>
          <w:szCs w:val="20"/>
          <w:color w:val="auto"/>
        </w:rPr>
      </w:pPr>
      <w:r>
        <w:rPr>
          <w:rFonts w:ascii="Arial" w:cs="Arial" w:eastAsia="Arial" w:hAnsi="Arial"/>
          <w:sz w:val="16"/>
          <w:szCs w:val="16"/>
          <w:color w:val="auto"/>
        </w:rPr>
        <w:t>Our Compensation Committee operates under a written charter that satisfies the applicable rules of the SEC and the listing standards of the Nasdaq. During 2021, the Compensation Committee met four times. The Compensation Committee charter can be found in the Governance section of the Investors section of our website https://ir.lucidmotors.com/governance/documents-and-charters. Information on or accessible through our website is not incorporated by reference in this Proxy Statement. The Compensation Committee charter grants the Compensation Committee sole authority to retain or obtain the advice of a compensation consultant, legal counsel or other adviser, including the authority to approve the consultant’s reasonable compensation. The Compensation Committee may select such advisers, or receive advice from any other adviser, only after taking into consideration all factors relevant to that person’s independence from management, including those independence factors enumerated by Nasdaq rules.</w:t>
      </w:r>
    </w:p>
    <w:p>
      <w:pPr>
        <w:spacing w:after="0" w:line="210" w:lineRule="exact"/>
        <w:rPr>
          <w:sz w:val="20"/>
          <w:szCs w:val="20"/>
          <w:color w:val="auto"/>
        </w:rPr>
      </w:pPr>
    </w:p>
    <w:p>
      <w:pPr>
        <w:ind w:left="660" w:right="1460"/>
        <w:spacing w:after="0" w:line="278" w:lineRule="auto"/>
        <w:rPr>
          <w:sz w:val="20"/>
          <w:szCs w:val="20"/>
          <w:color w:val="auto"/>
        </w:rPr>
      </w:pPr>
      <w:r>
        <w:rPr>
          <w:rFonts w:ascii="Arial" w:cs="Arial" w:eastAsia="Arial" w:hAnsi="Arial"/>
          <w:sz w:val="16"/>
          <w:szCs w:val="16"/>
          <w:color w:val="auto"/>
        </w:rPr>
        <w:t>Under the Compensation Committee charter, the Compensation Committee may, in its discretion, delegate its duties to a subcommittee or to the Chair of the Compensation Committee.</w:t>
      </w:r>
    </w:p>
    <w:p>
      <w:pPr>
        <w:spacing w:after="0" w:line="208" w:lineRule="exact"/>
        <w:rPr>
          <w:sz w:val="20"/>
          <w:szCs w:val="20"/>
          <w:color w:val="auto"/>
        </w:rPr>
      </w:pPr>
    </w:p>
    <w:p>
      <w:pPr>
        <w:ind w:left="660" w:right="800"/>
        <w:spacing w:after="0" w:line="288" w:lineRule="auto"/>
        <w:rPr>
          <w:sz w:val="20"/>
          <w:szCs w:val="20"/>
          <w:color w:val="auto"/>
        </w:rPr>
      </w:pPr>
      <w:r>
        <w:rPr>
          <w:rFonts w:ascii="Arial" w:cs="Arial" w:eastAsia="Arial" w:hAnsi="Arial"/>
          <w:sz w:val="16"/>
          <w:szCs w:val="16"/>
          <w:color w:val="auto"/>
        </w:rPr>
        <w:t>As required by its charter, the Compensation Committee conducts a self-evaluation at least annually. The Compensation Committee also annually reviews and assesses the adequacy of its charter and recommends any proposed changes to the Board for its consideration.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Compensation Committee Processes and Procedures</w:t>
      </w:r>
    </w:p>
    <w:p>
      <w:pPr>
        <w:spacing w:after="0" w:line="205" w:lineRule="exact"/>
        <w:rPr>
          <w:sz w:val="20"/>
          <w:szCs w:val="20"/>
          <w:color w:val="auto"/>
        </w:rPr>
      </w:pPr>
    </w:p>
    <w:p>
      <w:pPr>
        <w:ind w:left="660" w:right="680"/>
        <w:spacing w:after="0" w:line="285" w:lineRule="auto"/>
        <w:rPr>
          <w:sz w:val="20"/>
          <w:szCs w:val="20"/>
          <w:color w:val="auto"/>
        </w:rPr>
      </w:pPr>
      <w:r>
        <w:rPr>
          <w:rFonts w:ascii="Arial" w:cs="Arial" w:eastAsia="Arial" w:hAnsi="Arial"/>
          <w:sz w:val="16"/>
          <w:szCs w:val="16"/>
          <w:color w:val="auto"/>
        </w:rPr>
        <w:t>The implementation of our compensation philosophy is carried out under the supervision of the Compensation Committee. The Compensation Committee charter requires that the Compensation Committee meet as often as it determines is appropriate to carry out its responsibilities under the charter. The agenda for each meeting is usually developed by the Chair of the Compensation Committee, in consultation with other Compensation Committee members, management and the Compensation Committee’s independent advisors. The Compensation Committee also meets regularly in executive session. Meetings may, at the discretion of</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900" w:type="dxa"/>
            <w:vAlign w:val="bottom"/>
          </w:tcPr>
          <w:p>
            <w:pPr>
              <w:ind w:left="660"/>
              <w:spacing w:after="0"/>
              <w:rPr>
                <w:sz w:val="20"/>
                <w:szCs w:val="20"/>
                <w:color w:val="auto"/>
              </w:rPr>
            </w:pPr>
            <w:r>
              <w:rPr>
                <w:rFonts w:ascii="Arial" w:cs="Arial" w:eastAsia="Arial" w:hAnsi="Arial"/>
                <w:sz w:val="13"/>
                <w:szCs w:val="13"/>
                <w:color w:val="auto"/>
              </w:rPr>
              <w:t>2022 Proxy Statement</w:t>
            </w:r>
          </w:p>
        </w:tc>
        <w:tc>
          <w:tcPr>
            <w:tcW w:w="4820" w:type="dxa"/>
            <w:vAlign w:val="bottom"/>
          </w:tcPr>
          <w:p>
            <w:pPr>
              <w:jc w:val="right"/>
              <w:ind w:right="617"/>
              <w:spacing w:after="0"/>
              <w:rPr>
                <w:sz w:val="20"/>
                <w:szCs w:val="20"/>
                <w:color w:val="auto"/>
              </w:rPr>
            </w:pPr>
            <w:r>
              <w:rPr>
                <w:rFonts w:ascii="Arial" w:cs="Arial" w:eastAsia="Arial" w:hAnsi="Arial"/>
                <w:sz w:val="13"/>
                <w:szCs w:val="13"/>
                <w:b w:val="1"/>
                <w:bCs w:val="1"/>
                <w:color w:val="auto"/>
              </w:rPr>
              <w:t>19</w:t>
            </w:r>
          </w:p>
        </w:tc>
      </w:tr>
      <w:tr>
        <w:trPr>
          <w:trHeight w:val="171"/>
        </w:trPr>
        <w:tc>
          <w:tcPr>
            <w:tcW w:w="5900" w:type="dxa"/>
            <w:vAlign w:val="bottom"/>
            <w:tcBorders>
              <w:bottom w:val="single" w:sz="8" w:color="9A9A9A"/>
            </w:tcBorders>
          </w:tcPr>
          <w:p>
            <w:pPr>
              <w:spacing w:after="0"/>
              <w:rPr>
                <w:sz w:val="14"/>
                <w:szCs w:val="14"/>
                <w:color w:val="auto"/>
              </w:rPr>
            </w:pPr>
          </w:p>
        </w:tc>
        <w:tc>
          <w:tcPr>
            <w:tcW w:w="48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28" w:name="page29"/>
    <w:bookmarkEnd w:id="28"/>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60" w:right="20"/>
        <w:spacing w:after="0" w:line="267" w:lineRule="auto"/>
        <w:rPr>
          <w:sz w:val="20"/>
          <w:szCs w:val="20"/>
          <w:color w:val="auto"/>
        </w:rPr>
      </w:pPr>
      <w:r>
        <w:rPr>
          <w:rFonts w:ascii="Arial" w:cs="Arial" w:eastAsia="Arial" w:hAnsi="Arial"/>
          <w:sz w:val="16"/>
          <w:szCs w:val="16"/>
          <w:color w:val="auto"/>
        </w:rPr>
        <w:t>the Compensation Committee, include other directors or members of management in addition to the Compensation Committee’s independent advisors, for the purpose of providing analysis and information to assist management with their recommendations on various compensation matters. Management does not participate in the executive sessions of the Compensation Committee. For a description of the role of our management and any compensation consultants for executive compensation decisions for fiscal 2021, please see the section entitled “Compensation Discussion and Analysis.”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Compensation Committee Interlocks and Insider Participation</w:t>
      </w:r>
    </w:p>
    <w:p>
      <w:pPr>
        <w:spacing w:after="0" w:line="192" w:lineRule="exact"/>
        <w:rPr>
          <w:sz w:val="20"/>
          <w:szCs w:val="20"/>
          <w:color w:val="auto"/>
        </w:rPr>
      </w:pPr>
    </w:p>
    <w:p>
      <w:pPr>
        <w:ind w:left="660" w:right="600"/>
        <w:spacing w:after="0" w:line="278" w:lineRule="auto"/>
        <w:rPr>
          <w:sz w:val="20"/>
          <w:szCs w:val="20"/>
          <w:color w:val="auto"/>
        </w:rPr>
      </w:pPr>
      <w:r>
        <w:rPr>
          <w:rFonts w:ascii="Arial" w:cs="Arial" w:eastAsia="Arial" w:hAnsi="Arial"/>
          <w:sz w:val="16"/>
          <w:szCs w:val="16"/>
          <w:color w:val="auto"/>
        </w:rPr>
        <w:t>None of our executive officers currently serves, or has served during the last year, as a member of the board of directors or compensation committee of any entity that has one or more executive officers serving as a member of our Board.</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Nominating and Corporate Governance Committee</w:t>
      </w:r>
    </w:p>
    <w:p>
      <w:pPr>
        <w:spacing w:after="0" w:line="192" w:lineRule="exact"/>
        <w:rPr>
          <w:sz w:val="20"/>
          <w:szCs w:val="20"/>
          <w:color w:val="auto"/>
        </w:rPr>
      </w:pPr>
    </w:p>
    <w:p>
      <w:pPr>
        <w:ind w:left="660"/>
        <w:spacing w:after="0" w:line="266" w:lineRule="auto"/>
        <w:rPr>
          <w:sz w:val="20"/>
          <w:szCs w:val="20"/>
          <w:color w:val="auto"/>
        </w:rPr>
      </w:pPr>
      <w:r>
        <w:rPr>
          <w:rFonts w:ascii="Arial" w:cs="Arial" w:eastAsia="Arial" w:hAnsi="Arial"/>
          <w:sz w:val="16"/>
          <w:szCs w:val="16"/>
          <w:color w:val="auto"/>
        </w:rPr>
        <w:t>The Nominating and Corporate Governance Committee is generally responsible for identifying qualified Board candidates, recommending director nominees and appointments to Board committees, evaluating Board performance and overseeing our Corporate Governance Guidelines. The nominating and corporate governance committee consists of Turqi Alnowaiser, Glenn R. August and Nichelle Maynard-Elliott, with Turqi Alnowaiser serving as chairperson. Our Board has determined that each of Turqi Alnowaiser, Glenn R. August and Nichelle Maynard-Elliott satisfies the requirements for independence under the rules and regulations of Nasdaq and the SEC. Our Nominating and Corporate Governance Committee is responsible for, among other things:</w:t>
      </w:r>
    </w:p>
    <w:p>
      <w:pPr>
        <w:spacing w:after="0" w:line="140" w:lineRule="exact"/>
        <w:rPr>
          <w:sz w:val="20"/>
          <w:szCs w:val="20"/>
          <w:color w:val="auto"/>
        </w:rPr>
      </w:pPr>
    </w:p>
    <w:p>
      <w:pPr>
        <w:ind w:left="820" w:right="180" w:hanging="166"/>
        <w:spacing w:after="0" w:line="295" w:lineRule="auto"/>
        <w:tabs>
          <w:tab w:leader="none" w:pos="820" w:val="left"/>
        </w:tabs>
        <w:numPr>
          <w:ilvl w:val="0"/>
          <w:numId w:val="18"/>
        </w:numPr>
        <w:rPr>
          <w:rFonts w:ascii="Arial" w:cs="Arial" w:eastAsia="Arial" w:hAnsi="Arial"/>
          <w:sz w:val="16"/>
          <w:szCs w:val="16"/>
          <w:color w:val="886B25"/>
        </w:rPr>
      </w:pPr>
      <w:r>
        <w:rPr>
          <w:rFonts w:ascii="Arial" w:cs="Arial" w:eastAsia="Arial" w:hAnsi="Arial"/>
          <w:sz w:val="16"/>
          <w:szCs w:val="16"/>
          <w:color w:val="auto"/>
        </w:rPr>
        <w:t>identifying and recommending candidates for membership on our Board, including the consideration of nominees submitted by stockholders, and to each of the Board’s committees;</w:t>
      </w:r>
    </w:p>
    <w:p>
      <w:pPr>
        <w:spacing w:after="0" w:line="101" w:lineRule="exact"/>
        <w:rPr>
          <w:rFonts w:ascii="Arial" w:cs="Arial" w:eastAsia="Arial" w:hAnsi="Arial"/>
          <w:sz w:val="16"/>
          <w:szCs w:val="16"/>
          <w:color w:val="886B25"/>
        </w:rPr>
      </w:pPr>
    </w:p>
    <w:p>
      <w:pPr>
        <w:ind w:left="820" w:right="720" w:hanging="166"/>
        <w:spacing w:after="0" w:line="295" w:lineRule="auto"/>
        <w:tabs>
          <w:tab w:leader="none" w:pos="820" w:val="left"/>
        </w:tabs>
        <w:numPr>
          <w:ilvl w:val="0"/>
          <w:numId w:val="18"/>
        </w:numPr>
        <w:rPr>
          <w:rFonts w:ascii="Arial" w:cs="Arial" w:eastAsia="Arial" w:hAnsi="Arial"/>
          <w:sz w:val="16"/>
          <w:szCs w:val="16"/>
          <w:color w:val="886B25"/>
        </w:rPr>
      </w:pPr>
      <w:r>
        <w:rPr>
          <w:rFonts w:ascii="Arial" w:cs="Arial" w:eastAsia="Arial" w:hAnsi="Arial"/>
          <w:sz w:val="16"/>
          <w:szCs w:val="16"/>
          <w:color w:val="auto"/>
        </w:rPr>
        <w:t>evaluating and making recommendations regarding the composition, organization and governance of our Board and its committees;</w:t>
      </w:r>
    </w:p>
    <w:p>
      <w:pPr>
        <w:spacing w:after="0" w:line="114" w:lineRule="exact"/>
        <w:rPr>
          <w:rFonts w:ascii="Arial" w:cs="Arial" w:eastAsia="Arial" w:hAnsi="Arial"/>
          <w:sz w:val="16"/>
          <w:szCs w:val="16"/>
          <w:color w:val="886B25"/>
        </w:rPr>
      </w:pPr>
    </w:p>
    <w:p>
      <w:pPr>
        <w:ind w:left="820" w:right="420" w:hanging="166"/>
        <w:spacing w:after="0" w:line="295" w:lineRule="auto"/>
        <w:tabs>
          <w:tab w:leader="none" w:pos="820" w:val="left"/>
        </w:tabs>
        <w:numPr>
          <w:ilvl w:val="0"/>
          <w:numId w:val="18"/>
        </w:numPr>
        <w:rPr>
          <w:rFonts w:ascii="Arial" w:cs="Arial" w:eastAsia="Arial" w:hAnsi="Arial"/>
          <w:sz w:val="16"/>
          <w:szCs w:val="16"/>
          <w:color w:val="886B25"/>
        </w:rPr>
      </w:pPr>
      <w:r>
        <w:rPr>
          <w:rFonts w:ascii="Arial" w:cs="Arial" w:eastAsia="Arial" w:hAnsi="Arial"/>
          <w:sz w:val="16"/>
          <w:szCs w:val="16"/>
          <w:color w:val="auto"/>
        </w:rPr>
        <w:t>reviewing and making recommendations with regard to our corporate governance guidelines and compliance with laws and regulations;</w:t>
      </w:r>
    </w:p>
    <w:p>
      <w:pPr>
        <w:spacing w:after="0" w:line="114" w:lineRule="exact"/>
        <w:rPr>
          <w:rFonts w:ascii="Arial" w:cs="Arial" w:eastAsia="Arial" w:hAnsi="Arial"/>
          <w:sz w:val="16"/>
          <w:szCs w:val="16"/>
          <w:color w:val="886B25"/>
        </w:rPr>
      </w:pPr>
    </w:p>
    <w:p>
      <w:pPr>
        <w:ind w:left="820" w:right="340" w:hanging="166"/>
        <w:spacing w:after="0" w:line="295" w:lineRule="auto"/>
        <w:tabs>
          <w:tab w:leader="none" w:pos="820" w:val="left"/>
        </w:tabs>
        <w:numPr>
          <w:ilvl w:val="0"/>
          <w:numId w:val="18"/>
        </w:numPr>
        <w:rPr>
          <w:rFonts w:ascii="Arial" w:cs="Arial" w:eastAsia="Arial" w:hAnsi="Arial"/>
          <w:sz w:val="16"/>
          <w:szCs w:val="16"/>
          <w:color w:val="886B25"/>
        </w:rPr>
      </w:pPr>
      <w:r>
        <w:rPr>
          <w:rFonts w:ascii="Arial" w:cs="Arial" w:eastAsia="Arial" w:hAnsi="Arial"/>
          <w:sz w:val="16"/>
          <w:szCs w:val="16"/>
          <w:color w:val="auto"/>
        </w:rPr>
        <w:t>reviewing conflicts of interest of our directors and officers and proposed waivers of our corporate governance guidelines and code of business conducts and ethics; and</w:t>
      </w:r>
    </w:p>
    <w:p>
      <w:pPr>
        <w:spacing w:after="0" w:line="114" w:lineRule="exact"/>
        <w:rPr>
          <w:rFonts w:ascii="Arial" w:cs="Arial" w:eastAsia="Arial" w:hAnsi="Arial"/>
          <w:sz w:val="16"/>
          <w:szCs w:val="16"/>
          <w:color w:val="886B25"/>
        </w:rPr>
      </w:pPr>
    </w:p>
    <w:p>
      <w:pPr>
        <w:ind w:left="820" w:hanging="166"/>
        <w:spacing w:after="0"/>
        <w:tabs>
          <w:tab w:leader="none" w:pos="820" w:val="left"/>
        </w:tabs>
        <w:numPr>
          <w:ilvl w:val="0"/>
          <w:numId w:val="18"/>
        </w:numPr>
        <w:rPr>
          <w:rFonts w:ascii="Arial" w:cs="Arial" w:eastAsia="Arial" w:hAnsi="Arial"/>
          <w:sz w:val="16"/>
          <w:szCs w:val="16"/>
          <w:color w:val="886B25"/>
        </w:rPr>
      </w:pPr>
      <w:r>
        <w:rPr>
          <w:rFonts w:ascii="Arial" w:cs="Arial" w:eastAsia="Arial" w:hAnsi="Arial"/>
          <w:sz w:val="16"/>
          <w:szCs w:val="16"/>
          <w:color w:val="auto"/>
        </w:rPr>
        <w:t>evaluating the performance of our Board and its committees.</w:t>
      </w:r>
    </w:p>
    <w:p>
      <w:pPr>
        <w:spacing w:after="0" w:line="235" w:lineRule="exact"/>
        <w:rPr>
          <w:sz w:val="20"/>
          <w:szCs w:val="20"/>
          <w:color w:val="auto"/>
        </w:rPr>
      </w:pPr>
    </w:p>
    <w:p>
      <w:pPr>
        <w:ind w:left="660"/>
        <w:spacing w:after="0" w:line="268" w:lineRule="auto"/>
        <w:rPr>
          <w:sz w:val="20"/>
          <w:szCs w:val="20"/>
          <w:color w:val="auto"/>
        </w:rPr>
      </w:pPr>
      <w:r>
        <w:rPr>
          <w:rFonts w:ascii="Arial" w:cs="Arial" w:eastAsia="Arial" w:hAnsi="Arial"/>
          <w:sz w:val="16"/>
          <w:szCs w:val="16"/>
          <w:color w:val="auto"/>
        </w:rPr>
        <w:t>During 2021, the Nominating and Corporate Governance Committee met two times. Our Nominating and Corporate Governance Committee operates under a written charter that satisfies the applicable rules of the SEC and the listing standards of the Nasdaq. A detailed discussion of the Nominating and Corporate Governance Committee’s procedures for recommending candidates for election as a director appears below under the caption “Procedures of the Nominating and Corporate Governance Committee.”</w:t>
      </w:r>
    </w:p>
    <w:p>
      <w:pPr>
        <w:spacing w:after="0" w:line="218" w:lineRule="exact"/>
        <w:rPr>
          <w:sz w:val="20"/>
          <w:szCs w:val="20"/>
          <w:color w:val="auto"/>
        </w:rPr>
      </w:pPr>
    </w:p>
    <w:p>
      <w:pPr>
        <w:ind w:left="660"/>
        <w:spacing w:after="0" w:line="284" w:lineRule="auto"/>
        <w:rPr>
          <w:sz w:val="20"/>
          <w:szCs w:val="20"/>
          <w:color w:val="auto"/>
        </w:rPr>
      </w:pPr>
      <w:r>
        <w:rPr>
          <w:rFonts w:ascii="Arial" w:cs="Arial" w:eastAsia="Arial" w:hAnsi="Arial"/>
          <w:sz w:val="16"/>
          <w:szCs w:val="16"/>
          <w:color w:val="auto"/>
        </w:rPr>
        <w:t>The Nominating and Corporate Governance Committee charter can be found in the Governance section of the Investors section of our website at https://ir.lucidmotors.com/governance/documents-and-charters. The Nominating and Corporate Governance Committee charter complies with the guidelines established by Nasdaq. Information on or accessible through our website is not incorporated by reference in this Proxy Statement. The charter of the Nominating and Corporate Governance Committee grants the Nominating and Corporate Governance Committee authority to retain and terminate any advisers, including search firms to identify director candidates, compensation consultants as to director compensation and legal counsel, including sole authority to approve all such advisers’ fees and other retention terms.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Procedures of the Nominating and Corporate Governance Committee</w:t>
      </w:r>
    </w:p>
    <w:p>
      <w:pPr>
        <w:spacing w:after="0" w:line="205" w:lineRule="exact"/>
        <w:rPr>
          <w:sz w:val="20"/>
          <w:szCs w:val="20"/>
          <w:color w:val="auto"/>
        </w:rPr>
      </w:pPr>
    </w:p>
    <w:p>
      <w:pPr>
        <w:ind w:left="660" w:right="20"/>
        <w:spacing w:after="0" w:line="284" w:lineRule="auto"/>
        <w:rPr>
          <w:sz w:val="20"/>
          <w:szCs w:val="20"/>
          <w:color w:val="auto"/>
        </w:rPr>
      </w:pPr>
      <w:r>
        <w:rPr>
          <w:rFonts w:ascii="Arial" w:cs="Arial" w:eastAsia="Arial" w:hAnsi="Arial"/>
          <w:sz w:val="16"/>
          <w:szCs w:val="16"/>
          <w:color w:val="auto"/>
        </w:rPr>
        <w:t>In connection with nominating directors for election at the Annual Meeting and periodically throughout the year, the Nominating and Corporate Governance Committee considers the composition of the Board and each committee of the Board to evaluate its effectiveness and whether changes should be considered to either the Board or any of the committees. In support of this process, the Board has determined that the Board as a whole must have the right diversity, mix of characteristics and skills for the optimal functioning of the Board in its oversight of our Company. The Board considers the following factors and qualifications, without limitation:</w:t>
      </w:r>
    </w:p>
    <w:p>
      <w:pPr>
        <w:spacing w:after="0" w:line="125" w:lineRule="exact"/>
        <w:rPr>
          <w:sz w:val="20"/>
          <w:szCs w:val="20"/>
          <w:color w:val="auto"/>
        </w:rPr>
      </w:pPr>
    </w:p>
    <w:p>
      <w:pPr>
        <w:ind w:left="820" w:hanging="166"/>
        <w:spacing w:after="0"/>
        <w:tabs>
          <w:tab w:leader="none" w:pos="820" w:val="left"/>
        </w:tabs>
        <w:numPr>
          <w:ilvl w:val="0"/>
          <w:numId w:val="19"/>
        </w:numPr>
        <w:rPr>
          <w:rFonts w:ascii="Arial" w:cs="Arial" w:eastAsia="Arial" w:hAnsi="Arial"/>
          <w:sz w:val="16"/>
          <w:szCs w:val="16"/>
          <w:color w:val="886B25"/>
        </w:rPr>
      </w:pPr>
      <w:r>
        <w:rPr>
          <w:rFonts w:ascii="Arial" w:cs="Arial" w:eastAsia="Arial" w:hAnsi="Arial"/>
          <w:sz w:val="16"/>
          <w:szCs w:val="16"/>
          <w:color w:val="auto"/>
        </w:rPr>
        <w:t>the appropriate size and the diversity of the Board;</w:t>
      </w:r>
    </w:p>
    <w:p>
      <w:pPr>
        <w:spacing w:after="0" w:line="167" w:lineRule="exact"/>
        <w:rPr>
          <w:rFonts w:ascii="Arial" w:cs="Arial" w:eastAsia="Arial" w:hAnsi="Arial"/>
          <w:sz w:val="16"/>
          <w:szCs w:val="16"/>
          <w:color w:val="886B25"/>
        </w:rPr>
      </w:pPr>
    </w:p>
    <w:p>
      <w:pPr>
        <w:ind w:left="820" w:hanging="166"/>
        <w:spacing w:after="0"/>
        <w:tabs>
          <w:tab w:leader="none" w:pos="820" w:val="left"/>
        </w:tabs>
        <w:numPr>
          <w:ilvl w:val="0"/>
          <w:numId w:val="19"/>
        </w:numPr>
        <w:rPr>
          <w:rFonts w:ascii="Arial" w:cs="Arial" w:eastAsia="Arial" w:hAnsi="Arial"/>
          <w:sz w:val="16"/>
          <w:szCs w:val="16"/>
          <w:color w:val="886B25"/>
        </w:rPr>
      </w:pPr>
      <w:r>
        <w:rPr>
          <w:rFonts w:ascii="Arial" w:cs="Arial" w:eastAsia="Arial" w:hAnsi="Arial"/>
          <w:sz w:val="16"/>
          <w:szCs w:val="16"/>
          <w:color w:val="auto"/>
        </w:rPr>
        <w:t>the needs of the Board with respect to the particular talents and experience of its directors;</w:t>
      </w:r>
    </w:p>
    <w:p>
      <w:pPr>
        <w:spacing w:after="0" w:line="200" w:lineRule="exact"/>
        <w:rPr>
          <w:sz w:val="20"/>
          <w:szCs w:val="20"/>
          <w:color w:val="auto"/>
        </w:rPr>
      </w:pPr>
    </w:p>
    <w:p>
      <w:pPr>
        <w:spacing w:after="0" w:line="213"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2"/>
          <w:szCs w:val="12"/>
          <w:b w:val="1"/>
          <w:bCs w:val="1"/>
          <w:color w:val="auto"/>
        </w:rPr>
        <w:t>20</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110490</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1" w:right="1279" w:bottom="1440" w:gutter="0" w:footer="0" w:header="0"/>
        </w:sectPr>
      </w:pPr>
    </w:p>
    <w:bookmarkStart w:id="29" w:name="page30"/>
    <w:bookmarkEnd w:id="29"/>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20" w:right="180" w:hanging="166"/>
        <w:spacing w:after="0" w:line="288" w:lineRule="auto"/>
        <w:tabs>
          <w:tab w:leader="none" w:pos="820" w:val="left"/>
        </w:tabs>
        <w:numPr>
          <w:ilvl w:val="0"/>
          <w:numId w:val="20"/>
        </w:numPr>
        <w:rPr>
          <w:rFonts w:ascii="Arial" w:cs="Arial" w:eastAsia="Arial" w:hAnsi="Arial"/>
          <w:sz w:val="16"/>
          <w:szCs w:val="16"/>
          <w:color w:val="886B25"/>
        </w:rPr>
      </w:pPr>
      <w:r>
        <w:rPr>
          <w:rFonts w:ascii="Arial" w:cs="Arial" w:eastAsia="Arial" w:hAnsi="Arial"/>
          <w:sz w:val="16"/>
          <w:szCs w:val="16"/>
          <w:color w:val="auto"/>
        </w:rPr>
        <w:t>the knowledge, skills and experience of nominees, including experience in the industry in which we operate, business, finance, management or public service, in light of prevailing business conditions and the knowledge, skills and experience already possessed by other members of the Board;</w:t>
      </w:r>
    </w:p>
    <w:p>
      <w:pPr>
        <w:spacing w:after="0" w:line="120" w:lineRule="exact"/>
        <w:rPr>
          <w:rFonts w:ascii="Arial" w:cs="Arial" w:eastAsia="Arial" w:hAnsi="Arial"/>
          <w:sz w:val="16"/>
          <w:szCs w:val="16"/>
          <w:color w:val="886B25"/>
        </w:rPr>
      </w:pPr>
    </w:p>
    <w:p>
      <w:pPr>
        <w:ind w:left="820" w:hanging="166"/>
        <w:spacing w:after="0"/>
        <w:tabs>
          <w:tab w:leader="none" w:pos="820" w:val="left"/>
        </w:tabs>
        <w:numPr>
          <w:ilvl w:val="0"/>
          <w:numId w:val="20"/>
        </w:numPr>
        <w:rPr>
          <w:rFonts w:ascii="Arial" w:cs="Arial" w:eastAsia="Arial" w:hAnsi="Arial"/>
          <w:sz w:val="16"/>
          <w:szCs w:val="16"/>
          <w:color w:val="886B25"/>
        </w:rPr>
      </w:pPr>
      <w:r>
        <w:rPr>
          <w:rFonts w:ascii="Arial" w:cs="Arial" w:eastAsia="Arial" w:hAnsi="Arial"/>
          <w:sz w:val="16"/>
          <w:szCs w:val="16"/>
          <w:color w:val="auto"/>
        </w:rPr>
        <w:t>familiarity with domestic and international business matters;</w:t>
      </w:r>
    </w:p>
    <w:p>
      <w:pPr>
        <w:spacing w:after="0" w:line="167" w:lineRule="exact"/>
        <w:rPr>
          <w:rFonts w:ascii="Arial" w:cs="Arial" w:eastAsia="Arial" w:hAnsi="Arial"/>
          <w:sz w:val="16"/>
          <w:szCs w:val="16"/>
          <w:color w:val="886B25"/>
        </w:rPr>
      </w:pPr>
    </w:p>
    <w:p>
      <w:pPr>
        <w:ind w:left="820" w:hanging="166"/>
        <w:spacing w:after="0"/>
        <w:tabs>
          <w:tab w:leader="none" w:pos="820" w:val="left"/>
        </w:tabs>
        <w:numPr>
          <w:ilvl w:val="0"/>
          <w:numId w:val="20"/>
        </w:numPr>
        <w:rPr>
          <w:rFonts w:ascii="Arial" w:cs="Arial" w:eastAsia="Arial" w:hAnsi="Arial"/>
          <w:sz w:val="16"/>
          <w:szCs w:val="16"/>
          <w:color w:val="886B25"/>
        </w:rPr>
      </w:pPr>
      <w:r>
        <w:rPr>
          <w:rFonts w:ascii="Arial" w:cs="Arial" w:eastAsia="Arial" w:hAnsi="Arial"/>
          <w:sz w:val="16"/>
          <w:szCs w:val="16"/>
          <w:color w:val="auto"/>
        </w:rPr>
        <w:t>familiarity and experience with legal and regulatory requirements; and</w:t>
      </w:r>
    </w:p>
    <w:p>
      <w:pPr>
        <w:spacing w:after="0" w:line="167" w:lineRule="exact"/>
        <w:rPr>
          <w:rFonts w:ascii="Arial" w:cs="Arial" w:eastAsia="Arial" w:hAnsi="Arial"/>
          <w:sz w:val="16"/>
          <w:szCs w:val="16"/>
          <w:color w:val="886B25"/>
        </w:rPr>
      </w:pPr>
    </w:p>
    <w:p>
      <w:pPr>
        <w:ind w:left="820" w:hanging="166"/>
        <w:spacing w:after="0"/>
        <w:tabs>
          <w:tab w:leader="none" w:pos="820" w:val="left"/>
        </w:tabs>
        <w:numPr>
          <w:ilvl w:val="0"/>
          <w:numId w:val="20"/>
        </w:numPr>
        <w:rPr>
          <w:rFonts w:ascii="Arial" w:cs="Arial" w:eastAsia="Arial" w:hAnsi="Arial"/>
          <w:sz w:val="16"/>
          <w:szCs w:val="16"/>
          <w:color w:val="886B25"/>
        </w:rPr>
      </w:pPr>
      <w:r>
        <w:rPr>
          <w:rFonts w:ascii="Arial" w:cs="Arial" w:eastAsia="Arial" w:hAnsi="Arial"/>
          <w:sz w:val="16"/>
          <w:szCs w:val="16"/>
          <w:color w:val="auto"/>
        </w:rPr>
        <w:t>experience with accounting rules and practices.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Considerations in Evaluating Director Nominees</w:t>
      </w:r>
    </w:p>
    <w:p>
      <w:pPr>
        <w:spacing w:after="0" w:line="205" w:lineRule="exact"/>
        <w:rPr>
          <w:sz w:val="20"/>
          <w:szCs w:val="20"/>
          <w:color w:val="auto"/>
        </w:rPr>
      </w:pPr>
    </w:p>
    <w:p>
      <w:pPr>
        <w:ind w:left="660" w:right="80"/>
        <w:spacing w:after="0" w:line="283" w:lineRule="auto"/>
        <w:rPr>
          <w:sz w:val="20"/>
          <w:szCs w:val="20"/>
          <w:color w:val="auto"/>
        </w:rPr>
      </w:pPr>
      <w:r>
        <w:rPr>
          <w:rFonts w:ascii="Arial" w:cs="Arial" w:eastAsia="Arial" w:hAnsi="Arial"/>
          <w:sz w:val="16"/>
          <w:szCs w:val="16"/>
          <w:color w:val="auto"/>
        </w:rPr>
        <w:t>Pursuant to the Nominating and Corporate Governance Committee charter and subject to the Investor Rights Agreement, the Nominating and Corporate Governance Committee periodically reviews the composition of the Board in light of current challenges and needs of the Board and the Company, and determines whether it may be appropriate to add or remove individuals after considering issues of judgment, diversity, skills, background and experience. Although the Nominating and Corporate Governance Committee does not have a formal policy regarding diversity on the Board, the Nominating and Corporate Governance Committee is sensitive to the importance of nominating persons with different perspectives and experience to enhance the deliberation and decision-making processes of the Board. The Nominating and Corporate Governance Committee also considers applicable laws and regulations, such as recently enacted legislation in California which requires exchange-listed companies headquartered in California with boards with six or more members to have a minimum of three women directors by December 31, 2021, boards to have a minimum of one director from an underrepresented community by December 31, 2021 and boards with between five and eight members to have a minimum of two directors from underrepresented communities by December 31, 2022.</w:t>
      </w:r>
    </w:p>
    <w:p>
      <w:pPr>
        <w:spacing w:after="0" w:line="206" w:lineRule="exact"/>
        <w:rPr>
          <w:sz w:val="20"/>
          <w:szCs w:val="20"/>
          <w:color w:val="auto"/>
        </w:rPr>
      </w:pPr>
    </w:p>
    <w:p>
      <w:pPr>
        <w:ind w:left="660"/>
        <w:spacing w:after="0" w:line="283" w:lineRule="auto"/>
        <w:rPr>
          <w:sz w:val="20"/>
          <w:szCs w:val="20"/>
          <w:color w:val="auto"/>
        </w:rPr>
      </w:pPr>
      <w:r>
        <w:rPr>
          <w:rFonts w:ascii="Arial" w:cs="Arial" w:eastAsia="Arial" w:hAnsi="Arial"/>
          <w:sz w:val="16"/>
          <w:szCs w:val="16"/>
          <w:color w:val="auto"/>
        </w:rPr>
        <w:t>Once the Nominating and Corporate Governance Committee and the Board determine that it is appropriate to add a new director, either as a replacement or as a new position, subject to the Investor Rights Agreement, the Nominating and Corporate Governance Committee uses a flexible set of procedures in selecting individual director candidates. This flexibility allows the Nominating and Corporate Governance Committee to adjust the process to best satisfy the objectives it is attempting to accomplish in any director search. The first step in the general process is to identify the type of candidate the Nominating and Corporate Governance Committee may desire for a particular opening, including establishing the specific target skill areas, experiences and backgrounds that are to be the focus of a director search. The Nominating and Corporate Governance Committee may consider candidates recommended by management, by members of the Nominating and Corporate Governance Committee, by the Board, by stockholders or by a third party it may engage to conduct a search for possible candidates. In considering candidates submitted by stockholders, the Nominating and Corporate Governance Committee will take into consideration the needs of the Board, the qualifications of the candidate and our obligations under the Investor Rights Agreement.</w:t>
      </w:r>
    </w:p>
    <w:p>
      <w:pPr>
        <w:spacing w:after="0" w:line="206" w:lineRule="exact"/>
        <w:rPr>
          <w:sz w:val="20"/>
          <w:szCs w:val="20"/>
          <w:color w:val="auto"/>
        </w:rPr>
      </w:pPr>
    </w:p>
    <w:p>
      <w:pPr>
        <w:ind w:left="660" w:right="80"/>
        <w:spacing w:after="0" w:line="284" w:lineRule="auto"/>
        <w:rPr>
          <w:sz w:val="20"/>
          <w:szCs w:val="20"/>
          <w:color w:val="auto"/>
        </w:rPr>
      </w:pPr>
      <w:r>
        <w:rPr>
          <w:rFonts w:ascii="Arial" w:cs="Arial" w:eastAsia="Arial" w:hAnsi="Arial"/>
          <w:sz w:val="16"/>
          <w:szCs w:val="16"/>
          <w:color w:val="auto"/>
        </w:rPr>
        <w:t>Once candidates are identified, the Nominating and Corporate Governance Committee conducts an evaluation of qualified candidates. The evaluation generally includes interviews and background and reference checks. There is no difference in the evaluation process of a candidate recommended by a stockholder as compared to the evaluation process of a candidate identified by any of the other means described above. In identifying and evaluating potential nominees to serve as directors, the Nominating and Corporate Governance Committee will examine each nominee on a case-by-case basis regardless of who recommended the nominee and take into account all factors it considers appropriate.</w:t>
      </w:r>
    </w:p>
    <w:p>
      <w:pPr>
        <w:spacing w:after="0" w:line="206" w:lineRule="exact"/>
        <w:rPr>
          <w:sz w:val="20"/>
          <w:szCs w:val="20"/>
          <w:color w:val="auto"/>
        </w:rPr>
      </w:pPr>
    </w:p>
    <w:p>
      <w:pPr>
        <w:ind w:left="660" w:right="140"/>
        <w:spacing w:after="0" w:line="285" w:lineRule="auto"/>
        <w:rPr>
          <w:sz w:val="20"/>
          <w:szCs w:val="20"/>
          <w:color w:val="auto"/>
        </w:rPr>
      </w:pPr>
      <w:r>
        <w:rPr>
          <w:rFonts w:ascii="Arial" w:cs="Arial" w:eastAsia="Arial" w:hAnsi="Arial"/>
          <w:sz w:val="16"/>
          <w:szCs w:val="16"/>
          <w:color w:val="auto"/>
        </w:rPr>
        <w:t>If the Nominating and Corporate Governance Committee determines that a candidate should be nominated as a candidate for election to the Board, the candidate’s nomination is then recommended to the Board, and the directors may in turn conduct their own review to the extent they deem appropriate. When the Board has agreed upon a candidate, such candidate is recommended to the stockholders for election at an annual meeting of stockholders or appointed as a director by a vote of the Board as appropriate.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Stockholder Nominations to the Board of Directors</w:t>
      </w:r>
    </w:p>
    <w:p>
      <w:pPr>
        <w:spacing w:after="0" w:line="205" w:lineRule="exact"/>
        <w:rPr>
          <w:sz w:val="20"/>
          <w:szCs w:val="20"/>
          <w:color w:val="auto"/>
        </w:rPr>
      </w:pPr>
    </w:p>
    <w:p>
      <w:pPr>
        <w:ind w:left="660" w:right="20"/>
        <w:spacing w:after="0" w:line="283" w:lineRule="auto"/>
        <w:rPr>
          <w:sz w:val="20"/>
          <w:szCs w:val="20"/>
          <w:color w:val="auto"/>
        </w:rPr>
      </w:pPr>
      <w:r>
        <w:rPr>
          <w:rFonts w:ascii="Arial" w:cs="Arial" w:eastAsia="Arial" w:hAnsi="Arial"/>
          <w:sz w:val="16"/>
          <w:szCs w:val="16"/>
          <w:color w:val="auto"/>
        </w:rPr>
        <w:t>In order for a stockholder to have a candidate considered by the Nominating and Corporate Governance Committee, a stockholder should submit a written recommendation that includes (A) as to each person whom the stockholder proposes to nominate for election or reelection as a director: (1) all information relating to such person that is required to be disclosed in solicitations of proxies for election of directors, or is otherwise required, in each case pursuant to Regulation 14A under the Exchange Act including such person’s written consent to being named in the proxy statement as a nominee and to serving as a director if elected; and (2) a reasonably detailed description of any compensatory, payment or other financial agreement, arrangement or understanding that such person has with any other person or entity other than the Company including the amount of any payment or payments received or receivable thereunder, in each case in connection with candidacy or service as a director of the Company</w:t>
      </w:r>
    </w:p>
    <w:p>
      <w:pPr>
        <w:sectPr>
          <w:pgSz w:w="11900" w:h="16838" w:orient="portrait"/>
          <w:cols w:equalWidth="0" w:num="1">
            <w:col w:w="10040"/>
          </w:cols>
          <w:pgMar w:left="580" w:top="131" w:right="1279" w:bottom="1440" w:gutter="0" w:footer="0" w:header="0"/>
        </w:sectPr>
      </w:pPr>
    </w:p>
    <w:p>
      <w:pPr>
        <w:spacing w:after="0" w:line="374" w:lineRule="exact"/>
        <w:rPr>
          <w:sz w:val="20"/>
          <w:szCs w:val="20"/>
          <w:color w:val="auto"/>
        </w:rPr>
      </w:pPr>
    </w:p>
    <w:p>
      <w:pPr>
        <w:ind w:left="660"/>
        <w:spacing w:after="0"/>
        <w:tabs>
          <w:tab w:leader="none" w:pos="9880" w:val="left"/>
        </w:tabs>
        <w:rPr>
          <w:sz w:val="20"/>
          <w:szCs w:val="20"/>
          <w:color w:val="auto"/>
        </w:rPr>
      </w:pPr>
      <w:r>
        <w:rPr>
          <w:rFonts w:ascii="Arial" w:cs="Arial" w:eastAsia="Arial" w:hAnsi="Arial"/>
          <w:sz w:val="13"/>
          <w:szCs w:val="13"/>
          <w:color w:val="auto"/>
        </w:rPr>
        <w:t>2022 Proxy Statement</w:t>
      </w:r>
      <w:r>
        <w:rPr>
          <w:sz w:val="20"/>
          <w:szCs w:val="20"/>
          <w:color w:val="auto"/>
        </w:rPr>
        <w:tab/>
      </w:r>
      <w:r>
        <w:rPr>
          <w:rFonts w:ascii="Arial" w:cs="Arial" w:eastAsia="Arial" w:hAnsi="Arial"/>
          <w:sz w:val="12"/>
          <w:szCs w:val="12"/>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1" w:right="1279"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60" w:right="100"/>
        <w:spacing w:after="0" w:line="266" w:lineRule="auto"/>
        <w:rPr>
          <w:sz w:val="20"/>
          <w:szCs w:val="20"/>
          <w:color w:val="auto"/>
        </w:rPr>
      </w:pPr>
      <w:r>
        <w:rPr>
          <w:rFonts w:ascii="Arial" w:cs="Arial" w:eastAsia="Arial" w:hAnsi="Arial"/>
          <w:sz w:val="16"/>
          <w:szCs w:val="16"/>
          <w:color w:val="auto"/>
        </w:rPr>
        <w:t>(a “Third-Party Compensation Arrangement”), (B)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text of the proposed amendment), the reasons for conducting such business and any material interest in such business of such stockholder and the beneficial owner, if any, on whose behalf the proposal is made and (C) as to the stockholder giving the notice and the beneficial owner, if any, on whose behalf the proposal is made:</w:t>
      </w:r>
    </w:p>
    <w:p>
      <w:pPr>
        <w:spacing w:after="0" w:line="221" w:lineRule="exact"/>
        <w:rPr>
          <w:sz w:val="20"/>
          <w:szCs w:val="20"/>
          <w:color w:val="auto"/>
        </w:rPr>
      </w:pPr>
    </w:p>
    <w:p>
      <w:pPr>
        <w:ind w:left="980" w:hanging="326"/>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name and address of such stockholder (as they appear on the Company’s books) and any such beneficial owner;</w:t>
      </w:r>
    </w:p>
    <w:p>
      <w:pPr>
        <w:spacing w:after="0" w:line="248" w:lineRule="exact"/>
        <w:rPr>
          <w:rFonts w:ascii="Arial" w:cs="Arial" w:eastAsia="Arial" w:hAnsi="Arial"/>
          <w:sz w:val="16"/>
          <w:szCs w:val="16"/>
          <w:color w:val="auto"/>
        </w:rPr>
      </w:pPr>
    </w:p>
    <w:p>
      <w:pPr>
        <w:ind w:left="980" w:hanging="326"/>
        <w:spacing w:after="0" w:line="295"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 each class or series, the number of shares of capital stock of the Company that are held of record or are beneficially owned by such stockholder and by any such beneficial owner;</w:t>
      </w:r>
    </w:p>
    <w:p>
      <w:pPr>
        <w:spacing w:after="0" w:line="195" w:lineRule="exact"/>
        <w:rPr>
          <w:rFonts w:ascii="Arial" w:cs="Arial" w:eastAsia="Arial" w:hAnsi="Arial"/>
          <w:sz w:val="16"/>
          <w:szCs w:val="16"/>
          <w:color w:val="auto"/>
        </w:rPr>
      </w:pPr>
    </w:p>
    <w:p>
      <w:pPr>
        <w:jc w:val="both"/>
        <w:ind w:left="980" w:right="180" w:hanging="326"/>
        <w:spacing w:after="0" w:line="288"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description of any agreement, arrangement or understanding between or among such stockholder and any such beneficial owner, any of their respective affiliates or associates, and any other person or persons (including their names) in connection with the proposal of such nomination or other business;</w:t>
      </w:r>
    </w:p>
    <w:p>
      <w:pPr>
        <w:spacing w:after="0" w:line="188" w:lineRule="exact"/>
        <w:rPr>
          <w:rFonts w:ascii="Arial" w:cs="Arial" w:eastAsia="Arial" w:hAnsi="Arial"/>
          <w:sz w:val="16"/>
          <w:szCs w:val="16"/>
          <w:color w:val="auto"/>
        </w:rPr>
      </w:pPr>
    </w:p>
    <w:p>
      <w:pPr>
        <w:ind w:left="980" w:right="20" w:hanging="326"/>
        <w:spacing w:after="0" w:line="284"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description of any agreement, arrangement or understanding (including,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or any other agreement, arrangement or understanding that has been made, the effect or intent of which is to create or mitigate loss to, manage risk or benefit of share price changes for, or increase or decrease the voting power of, such stockholder or any such beneficial owner or any such nominee with respect to the Company’s securities;</w:t>
      </w:r>
    </w:p>
    <w:p>
      <w:pPr>
        <w:spacing w:after="0" w:line="205" w:lineRule="exact"/>
        <w:rPr>
          <w:rFonts w:ascii="Arial" w:cs="Arial" w:eastAsia="Arial" w:hAnsi="Arial"/>
          <w:sz w:val="16"/>
          <w:szCs w:val="16"/>
          <w:color w:val="auto"/>
        </w:rPr>
      </w:pPr>
    </w:p>
    <w:p>
      <w:pPr>
        <w:ind w:left="980" w:hanging="326"/>
        <w:spacing w:after="0" w:line="295"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representation that the stockholder is a holder of record of stock of the Company entitled to vote at such meeting and intends to appear in person or by proxy at the meeting to bring such nomination or other business before the meeting;</w:t>
      </w:r>
    </w:p>
    <w:p>
      <w:pPr>
        <w:spacing w:after="0" w:line="195" w:lineRule="exact"/>
        <w:rPr>
          <w:rFonts w:ascii="Arial" w:cs="Arial" w:eastAsia="Arial" w:hAnsi="Arial"/>
          <w:sz w:val="16"/>
          <w:szCs w:val="16"/>
          <w:color w:val="auto"/>
        </w:rPr>
      </w:pPr>
    </w:p>
    <w:p>
      <w:pPr>
        <w:ind w:left="980" w:hanging="326"/>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representation as to whether such stockholder or any such beneficial owner intends or is part of a group that intends to</w:t>
      </w:r>
    </w:p>
    <w:p>
      <w:pPr>
        <w:spacing w:after="0" w:line="32" w:lineRule="exact"/>
        <w:rPr>
          <w:rFonts w:ascii="Arial" w:cs="Arial" w:eastAsia="Arial" w:hAnsi="Arial"/>
          <w:sz w:val="16"/>
          <w:szCs w:val="16"/>
          <w:color w:val="auto"/>
        </w:rPr>
      </w:pPr>
    </w:p>
    <w:p>
      <w:pPr>
        <w:ind w:left="980" w:right="220"/>
        <w:spacing w:after="0" w:line="288" w:lineRule="auto"/>
        <w:rPr>
          <w:rFonts w:ascii="Arial" w:cs="Arial" w:eastAsia="Arial" w:hAnsi="Arial"/>
          <w:sz w:val="16"/>
          <w:szCs w:val="16"/>
          <w:color w:val="auto"/>
        </w:rPr>
      </w:pPr>
      <w:r>
        <w:rPr>
          <w:rFonts w:ascii="Arial" w:cs="Arial" w:eastAsia="Arial" w:hAnsi="Arial"/>
          <w:sz w:val="16"/>
          <w:szCs w:val="16"/>
          <w:color w:val="auto"/>
        </w:rPr>
        <w:t>(i) deliver a proxy statement and/or form of proxy to holders of at least the percentage of the voting power of the Company’s outstanding capital stock required to approve or adopt the proposal or to elect each such nominee and/or (ii) otherwise to solicit proxies from stockholders in support of such proposal or nomination;</w:t>
      </w:r>
    </w:p>
    <w:p>
      <w:pPr>
        <w:spacing w:after="0" w:line="201" w:lineRule="exact"/>
        <w:rPr>
          <w:rFonts w:ascii="Arial" w:cs="Arial" w:eastAsia="Arial" w:hAnsi="Arial"/>
          <w:sz w:val="16"/>
          <w:szCs w:val="16"/>
          <w:color w:val="auto"/>
        </w:rPr>
      </w:pPr>
    </w:p>
    <w:p>
      <w:pPr>
        <w:ind w:left="980" w:right="80" w:hanging="326"/>
        <w:spacing w:after="0" w:line="288"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other information relating to such stockholder, beneficial owner, if any, or director nominee or proposed business that would be required to be disclosed in a proxy statement or other filing required to be made in connection with the solicitation of proxies in support of such nominee or proposal pursuant to Section 14 of the Exchange Act; and</w:t>
      </w:r>
    </w:p>
    <w:p>
      <w:pPr>
        <w:spacing w:after="0" w:line="201" w:lineRule="exact"/>
        <w:rPr>
          <w:rFonts w:ascii="Arial" w:cs="Arial" w:eastAsia="Arial" w:hAnsi="Arial"/>
          <w:sz w:val="16"/>
          <w:szCs w:val="16"/>
          <w:color w:val="auto"/>
        </w:rPr>
      </w:pPr>
    </w:p>
    <w:p>
      <w:pPr>
        <w:ind w:left="980" w:right="560" w:hanging="326"/>
        <w:spacing w:after="0" w:line="295"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such other information relating to any proposed item of business as the Company may reasonably require to determine whether such proposed item of business is a proper matter for stockholder action.</w:t>
      </w:r>
    </w:p>
    <w:p>
      <w:pPr>
        <w:spacing w:after="0" w:line="196" w:lineRule="exact"/>
        <w:rPr>
          <w:sz w:val="20"/>
          <w:szCs w:val="20"/>
          <w:color w:val="auto"/>
        </w:rPr>
      </w:pPr>
    </w:p>
    <w:p>
      <w:pPr>
        <w:ind w:left="660" w:right="500"/>
        <w:spacing w:after="0" w:line="295" w:lineRule="auto"/>
        <w:rPr>
          <w:sz w:val="20"/>
          <w:szCs w:val="20"/>
          <w:color w:val="auto"/>
        </w:rPr>
      </w:pPr>
      <w:r>
        <w:rPr>
          <w:rFonts w:ascii="Arial" w:cs="Arial" w:eastAsia="Arial" w:hAnsi="Arial"/>
          <w:sz w:val="16"/>
          <w:szCs w:val="16"/>
          <w:color w:val="auto"/>
        </w:rPr>
        <w:t>Stockholder recommendations should be addressed to the Nominating and Corporate Governance Committee in care of our Secretary at 7373 Gateway Boulevard, Newark, CA 94560.</w:t>
      </w:r>
    </w:p>
    <w:p>
      <w:pPr>
        <w:spacing w:after="0" w:line="196" w:lineRule="exact"/>
        <w:rPr>
          <w:sz w:val="20"/>
          <w:szCs w:val="20"/>
          <w:color w:val="auto"/>
        </w:rPr>
      </w:pPr>
    </w:p>
    <w:p>
      <w:pPr>
        <w:ind w:left="660" w:right="120"/>
        <w:spacing w:after="0" w:line="295" w:lineRule="auto"/>
        <w:rPr>
          <w:sz w:val="20"/>
          <w:szCs w:val="20"/>
          <w:color w:val="auto"/>
        </w:rPr>
      </w:pPr>
      <w:r>
        <w:rPr>
          <w:rFonts w:ascii="Arial" w:cs="Arial" w:eastAsia="Arial" w:hAnsi="Arial"/>
          <w:sz w:val="16"/>
          <w:szCs w:val="16"/>
          <w:color w:val="auto"/>
        </w:rPr>
        <w:t>Each of the current directors have been recommended by the Nominating and Corporate Governance Committee to the Board for reelection as our directors at the Annual Meeting, and the Board has approved such recommendations.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Executive Committee</w:t>
      </w:r>
    </w:p>
    <w:p>
      <w:pPr>
        <w:spacing w:after="0" w:line="205" w:lineRule="exact"/>
        <w:rPr>
          <w:sz w:val="20"/>
          <w:szCs w:val="20"/>
          <w:color w:val="auto"/>
        </w:rPr>
      </w:pPr>
    </w:p>
    <w:p>
      <w:pPr>
        <w:ind w:left="660" w:right="60"/>
        <w:spacing w:after="0" w:line="286" w:lineRule="auto"/>
        <w:rPr>
          <w:sz w:val="20"/>
          <w:szCs w:val="20"/>
          <w:color w:val="auto"/>
        </w:rPr>
      </w:pPr>
      <w:r>
        <w:rPr>
          <w:rFonts w:ascii="Arial" w:cs="Arial" w:eastAsia="Arial" w:hAnsi="Arial"/>
          <w:sz w:val="16"/>
          <w:szCs w:val="16"/>
          <w:color w:val="auto"/>
        </w:rPr>
        <w:t>The executive committee consists of Andrew Liveris, Turqi Alnowaiser, Nancy Gioia, Anthony Posawatz and Peter Rawlinson, with Andrew Liveris serving as chairperson. The executive committee reviews, discusses with management and makes recommendations regarding the implementation and execution of our business plan, operational performance and certain other matters and approves transactions below certain thresholds set by our Board.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Stockholder Communications with the Board of Directors</w:t>
      </w:r>
    </w:p>
    <w:p>
      <w:pPr>
        <w:spacing w:after="0" w:line="205" w:lineRule="exact"/>
        <w:rPr>
          <w:sz w:val="20"/>
          <w:szCs w:val="20"/>
          <w:color w:val="auto"/>
        </w:rPr>
      </w:pPr>
    </w:p>
    <w:p>
      <w:pPr>
        <w:jc w:val="both"/>
        <w:ind w:left="660" w:right="140"/>
        <w:spacing w:after="0" w:line="286" w:lineRule="auto"/>
        <w:rPr>
          <w:sz w:val="20"/>
          <w:szCs w:val="20"/>
          <w:color w:val="auto"/>
        </w:rPr>
      </w:pPr>
      <w:r>
        <w:rPr>
          <w:rFonts w:ascii="Arial" w:cs="Arial" w:eastAsia="Arial" w:hAnsi="Arial"/>
          <w:sz w:val="16"/>
          <w:szCs w:val="16"/>
          <w:color w:val="auto"/>
        </w:rPr>
        <w:t>Our relationship with our stockholders is an important part of our corporate governance program. Engaging with our stockholders helps us to understand how they view us, to set goals and expectations for our performance, and to identify emerging issues that may affect our strategies, corporate governance, compensation practices or other aspects of our operations. Our stockholder and investor outreach include investor road shows, analyst meetings, and investor conferences and meetings. We also</w:t>
      </w:r>
    </w:p>
    <w:p>
      <w:pPr>
        <w:sectPr>
          <w:pgSz w:w="11900" w:h="16838" w:orient="portrait"/>
          <w:cols w:equalWidth="0" w:num="1">
            <w:col w:w="10040"/>
          </w:cols>
          <w:pgMar w:left="580" w:top="131" w:right="1279" w:bottom="1440" w:gutter="0" w:footer="0" w:header="0"/>
        </w:sectPr>
      </w:pPr>
    </w:p>
    <w:p>
      <w:pPr>
        <w:spacing w:after="0" w:line="368"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2"/>
          <w:szCs w:val="12"/>
          <w:b w:val="1"/>
          <w:bCs w:val="1"/>
          <w:color w:val="auto"/>
        </w:rPr>
        <w:t>22</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110490</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1" w:right="1279"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60" w:right="140"/>
        <w:spacing w:after="0" w:line="288" w:lineRule="auto"/>
        <w:rPr>
          <w:sz w:val="20"/>
          <w:szCs w:val="20"/>
          <w:color w:val="auto"/>
        </w:rPr>
      </w:pPr>
      <w:r>
        <w:rPr>
          <w:rFonts w:ascii="Arial" w:cs="Arial" w:eastAsia="Arial" w:hAnsi="Arial"/>
          <w:sz w:val="16"/>
          <w:szCs w:val="16"/>
          <w:color w:val="auto"/>
        </w:rPr>
        <w:t>communicate with stockholders and other stakeholders through various media, including our annual report and SEC filings, proxy statement, news releases and our website. Our conference calls for quarterly earnings releases are open to all. These calls are available in real time and as archived webcasts on our website for a period of time.</w:t>
      </w:r>
    </w:p>
    <w:p>
      <w:pPr>
        <w:spacing w:after="0" w:line="202" w:lineRule="exact"/>
        <w:rPr>
          <w:sz w:val="20"/>
          <w:szCs w:val="20"/>
          <w:color w:val="auto"/>
        </w:rPr>
      </w:pPr>
    </w:p>
    <w:p>
      <w:pPr>
        <w:ind w:left="660" w:right="40"/>
        <w:spacing w:after="0" w:line="286" w:lineRule="auto"/>
        <w:rPr>
          <w:sz w:val="20"/>
          <w:szCs w:val="20"/>
          <w:color w:val="auto"/>
        </w:rPr>
      </w:pPr>
      <w:r>
        <w:rPr>
          <w:rFonts w:ascii="Arial" w:cs="Arial" w:eastAsia="Arial" w:hAnsi="Arial"/>
          <w:sz w:val="16"/>
          <w:szCs w:val="16"/>
          <w:color w:val="auto"/>
        </w:rPr>
        <w:t>The Board has adopted a process for stockholders and others to send communications to the Board or any director. All such communications should be sent by mail addressed to the Board or any particular director at 7373 Gateway Boulevard, Newark, CA 94560, c/o Jonathan Butler, General Counsel &amp; Secretary. All communications received by Jonathan Butler will be sent directly to the Board or any particular director.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Code of Business Conduct and Ethics</w:t>
      </w:r>
    </w:p>
    <w:p>
      <w:pPr>
        <w:spacing w:after="0" w:line="205" w:lineRule="exact"/>
        <w:rPr>
          <w:sz w:val="20"/>
          <w:szCs w:val="20"/>
          <w:color w:val="auto"/>
        </w:rPr>
      </w:pPr>
    </w:p>
    <w:p>
      <w:pPr>
        <w:ind w:left="660" w:right="80"/>
        <w:spacing w:after="0" w:line="284" w:lineRule="auto"/>
        <w:rPr>
          <w:sz w:val="20"/>
          <w:szCs w:val="20"/>
          <w:color w:val="auto"/>
        </w:rPr>
      </w:pPr>
      <w:r>
        <w:rPr>
          <w:rFonts w:ascii="Arial" w:cs="Arial" w:eastAsia="Arial" w:hAnsi="Arial"/>
          <w:sz w:val="16"/>
          <w:szCs w:val="16"/>
          <w:color w:val="auto"/>
        </w:rPr>
        <w:t>Our Board of Directors has adopted a code of ethics that applies to all of our employees, officers and directors, including our Chief Executive Officer, Chief Financial Officer and other executive and senior financial officers. The full text of our code of business conduct and ethics is available in the Governance section of the Investors section of our website at https://ir.lucidmotors.com/governance/documents-and-charters. Information on or accessible through our website is not incorporated by reference in this Proxy Statement. We intend to disclose future amendments to our code of business conduct and ethics, or any waivers of such code, on our website or in public filings.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Involvement in Certain Legal Proceedings</w:t>
      </w:r>
    </w:p>
    <w:p>
      <w:pPr>
        <w:spacing w:after="0" w:line="205" w:lineRule="exact"/>
        <w:rPr>
          <w:sz w:val="20"/>
          <w:szCs w:val="20"/>
          <w:color w:val="auto"/>
        </w:rPr>
      </w:pPr>
    </w:p>
    <w:p>
      <w:pPr>
        <w:ind w:left="660" w:right="320"/>
        <w:spacing w:after="0" w:line="295" w:lineRule="auto"/>
        <w:rPr>
          <w:sz w:val="20"/>
          <w:szCs w:val="20"/>
          <w:color w:val="auto"/>
        </w:rPr>
      </w:pPr>
      <w:r>
        <w:rPr>
          <w:rFonts w:ascii="Arial" w:cs="Arial" w:eastAsia="Arial" w:hAnsi="Arial"/>
          <w:sz w:val="16"/>
          <w:szCs w:val="16"/>
          <w:color w:val="auto"/>
        </w:rPr>
        <w:t>Tony Posawatz, one of our non-employee directors, served as President and Chief Executive Officer of Fisker Automotive from 2012 to 2013. In late 2013, after Mr. Posawatz had left his position, Fisker Automotive filed for bankruptcy protection.</w:t>
      </w:r>
    </w:p>
    <w:p>
      <w:pPr>
        <w:spacing w:after="0" w:line="196" w:lineRule="exact"/>
        <w:rPr>
          <w:sz w:val="20"/>
          <w:szCs w:val="20"/>
          <w:color w:val="auto"/>
        </w:rPr>
      </w:pPr>
    </w:p>
    <w:p>
      <w:pPr>
        <w:ind w:left="660" w:right="20"/>
        <w:spacing w:after="0" w:line="286" w:lineRule="auto"/>
        <w:rPr>
          <w:sz w:val="20"/>
          <w:szCs w:val="20"/>
          <w:color w:val="auto"/>
        </w:rPr>
      </w:pPr>
      <w:r>
        <w:rPr>
          <w:rFonts w:ascii="Arial" w:cs="Arial" w:eastAsia="Arial" w:hAnsi="Arial"/>
          <w:sz w:val="16"/>
          <w:szCs w:val="16"/>
          <w:color w:val="auto"/>
        </w:rPr>
        <w:t>There are no material proceedings to which any director, officer or affiliate of the Company, any owner of record or beneficially of more than 5% of any class of voting securities of the Company, any associate of any such director, officer, affiliate of the Company, or security holder is a party adverse to the Company or any of its subsidiaries or has a material interest adverse to the Company or any of its subsidiaries.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Report of the Audit Committee of the Board of Directors</w:t>
      </w:r>
    </w:p>
    <w:p>
      <w:pPr>
        <w:spacing w:after="0" w:line="205" w:lineRule="exact"/>
        <w:rPr>
          <w:sz w:val="20"/>
          <w:szCs w:val="20"/>
          <w:color w:val="auto"/>
        </w:rPr>
      </w:pPr>
    </w:p>
    <w:p>
      <w:pPr>
        <w:ind w:left="660" w:right="40"/>
        <w:spacing w:after="0" w:line="282" w:lineRule="auto"/>
        <w:rPr>
          <w:sz w:val="20"/>
          <w:szCs w:val="20"/>
          <w:color w:val="auto"/>
        </w:rPr>
      </w:pPr>
      <w:r>
        <w:rPr>
          <w:rFonts w:ascii="Arial" w:cs="Arial" w:eastAsia="Arial" w:hAnsi="Arial"/>
          <w:sz w:val="16"/>
          <w:szCs w:val="16"/>
          <w:color w:val="auto"/>
        </w:rPr>
        <w:t>The Audit Committee reviews the Company’s financial reporting process on behalf of the Board. Management has the primary responsibility for the preparation and integrity of the consolidated financial statements and the reporting process, including establishing and monitoring the system of internal financial controls. In this context, during fiscal year 2021, the Audit Committee met and held discussions with management and GT, the Company’s independent registered public accounting firm. Management has represented to the Audit Committee that the Company’s consolidated financial statements for the fiscal year ended December 31, 2021, were prepared in accordance with U.S. generally accepted accounting principles, and the Audit Committee has reviewed and discussed the audited financial statements of the Company with management of the Company and with GT. In addition, the Audit Committee has discussed with GT the matters required to be discussed by the applicable requirements of the Public Company Accounting Oversight Board (the “PCAOB”) AS 1301, Communications with Audit Committees, and the SEC. The Audit Committee has received from GT the written disclosures regarding the auditor’s independence required by applicable requirements of PCAOB Ethics and Independence Rule 3526, Communication with Audit Committees Concerning Independence, and has discussed with GT the independence of GT from the Company and its management. Based on the foregoing, the Audit Committee has recommended to the Board, and the Board has approved, that the audited consolidated financial statements be included in the Company’s Annual Report on Form 10-K for the fiscal year ended December 31, 2021, for filing with the SEC. The Audit Committee and the Board have also recommended the selection of GT as the Company’s independent registered public accounting firm for the fiscal year ending December 31, 2022.</w:t>
      </w:r>
    </w:p>
    <w:p>
      <w:pPr>
        <w:spacing w:after="0" w:line="213" w:lineRule="exact"/>
        <w:rPr>
          <w:sz w:val="20"/>
          <w:szCs w:val="20"/>
          <w:color w:val="auto"/>
        </w:rPr>
      </w:pPr>
    </w:p>
    <w:p>
      <w:pPr>
        <w:ind w:left="660"/>
        <w:spacing w:after="0" w:line="286" w:lineRule="auto"/>
        <w:rPr>
          <w:sz w:val="20"/>
          <w:szCs w:val="20"/>
          <w:color w:val="auto"/>
        </w:rPr>
      </w:pPr>
      <w:r>
        <w:rPr>
          <w:rFonts w:ascii="Arial" w:cs="Arial" w:eastAsia="Arial" w:hAnsi="Arial"/>
          <w:sz w:val="16"/>
          <w:szCs w:val="16"/>
          <w:color w:val="auto"/>
        </w:rPr>
        <w:t>The material in this report is not deemed “soliciting material,” is not deemed “filed” with the SEC, is not subject to Regulation 14A or 14C or to the liabilities of Section 18 of the Securities Exchange Act of 1934, as amended, and is not to be incorporated by reference into any filing of the Company under the Securities Act of 1933, as amended, whether made before or after the date hereof and irrespective of any general incorporation language in any such filing.</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Janet S. Wong, Chair</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Glenn R. August</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Frank Lindenberg</w:t>
      </w:r>
    </w:p>
    <w:p>
      <w:pPr>
        <w:sectPr>
          <w:pgSz w:w="11900" w:h="16838" w:orient="portrait"/>
          <w:cols w:equalWidth="0" w:num="1">
            <w:col w:w="10040"/>
          </w:cols>
          <w:pgMar w:left="580" w:top="131"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60"/>
        <w:spacing w:after="0"/>
        <w:tabs>
          <w:tab w:leader="none" w:pos="9880" w:val="left"/>
        </w:tabs>
        <w:rPr>
          <w:sz w:val="20"/>
          <w:szCs w:val="20"/>
          <w:color w:val="auto"/>
        </w:rPr>
      </w:pPr>
      <w:r>
        <w:rPr>
          <w:rFonts w:ascii="Arial" w:cs="Arial" w:eastAsia="Arial" w:hAnsi="Arial"/>
          <w:sz w:val="13"/>
          <w:szCs w:val="13"/>
          <w:color w:val="auto"/>
        </w:rPr>
        <w:t>2022 Proxy Statement</w:t>
      </w:r>
      <w:r>
        <w:rPr>
          <w:sz w:val="20"/>
          <w:szCs w:val="20"/>
          <w:color w:val="auto"/>
        </w:rPr>
        <w:tab/>
      </w:r>
      <w:r>
        <w:rPr>
          <w:rFonts w:ascii="Arial" w:cs="Arial" w:eastAsia="Arial" w:hAnsi="Arial"/>
          <w:sz w:val="12"/>
          <w:szCs w:val="12"/>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1" w:right="1279"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-96520</wp:posOffset>
            </wp:positionV>
            <wp:extent cx="6489065" cy="254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8906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60"/>
        <w:spacing w:after="0"/>
        <w:rPr>
          <w:sz w:val="20"/>
          <w:szCs w:val="20"/>
          <w:color w:val="auto"/>
        </w:rPr>
      </w:pPr>
      <w:r>
        <w:rPr>
          <w:rFonts w:ascii="Arial" w:cs="Arial" w:eastAsia="Arial" w:hAnsi="Arial"/>
          <w:sz w:val="27"/>
          <w:szCs w:val="27"/>
          <w:b w:val="1"/>
          <w:bCs w:val="1"/>
          <w:color w:val="auto"/>
        </w:rPr>
        <w:t>Proposal No. 2</w:t>
      </w:r>
    </w:p>
    <w:p>
      <w:pPr>
        <w:spacing w:after="0" w:line="40" w:lineRule="exact"/>
        <w:rPr>
          <w:sz w:val="20"/>
          <w:szCs w:val="20"/>
          <w:color w:val="auto"/>
        </w:rPr>
      </w:pPr>
    </w:p>
    <w:p>
      <w:pPr>
        <w:ind w:left="660" w:right="420"/>
        <w:spacing w:after="0" w:line="239" w:lineRule="auto"/>
        <w:rPr>
          <w:sz w:val="20"/>
          <w:szCs w:val="20"/>
          <w:color w:val="auto"/>
        </w:rPr>
      </w:pPr>
      <w:r>
        <w:rPr>
          <w:rFonts w:ascii="Arial" w:cs="Arial" w:eastAsia="Arial" w:hAnsi="Arial"/>
          <w:sz w:val="36"/>
          <w:szCs w:val="36"/>
          <w:b w:val="1"/>
          <w:bCs w:val="1"/>
          <w:color w:val="auto"/>
        </w:rPr>
        <w:t>Ratification of the Selection of the Independent Registered Public Accounting Firm</w:t>
      </w:r>
    </w:p>
    <w:p>
      <w:pPr>
        <w:spacing w:after="0" w:line="339" w:lineRule="exact"/>
        <w:rPr>
          <w:sz w:val="20"/>
          <w:szCs w:val="20"/>
          <w:color w:val="auto"/>
        </w:rPr>
      </w:pPr>
    </w:p>
    <w:p>
      <w:pPr>
        <w:ind w:left="660" w:right="180"/>
        <w:spacing w:after="0" w:line="285" w:lineRule="auto"/>
        <w:rPr>
          <w:sz w:val="20"/>
          <w:szCs w:val="20"/>
          <w:color w:val="auto"/>
        </w:rPr>
      </w:pPr>
      <w:r>
        <w:rPr>
          <w:rFonts w:ascii="Arial" w:cs="Arial" w:eastAsia="Arial" w:hAnsi="Arial"/>
          <w:sz w:val="16"/>
          <w:szCs w:val="16"/>
          <w:color w:val="auto"/>
        </w:rPr>
        <w:t>On March 26, 2022, our Audit Committee selected GT as our independent registered public accounting firm for the fiscal year ending December 31, 2022. GT has served as our independent registered public accounting firm since the Closing of the Merger on July 23, 2021 and as the independent registered public accounting firm of our predecessor, Legacy Lucid, since October 13, 2020. Representatives of GT plan to attend the Annual Meeting and will be available to answer appropriate questions from stockholders. They will have the opportunity to make a statement if they desire to do so.</w:t>
      </w:r>
    </w:p>
    <w:p>
      <w:pPr>
        <w:spacing w:after="0" w:line="204" w:lineRule="exact"/>
        <w:rPr>
          <w:sz w:val="20"/>
          <w:szCs w:val="20"/>
          <w:color w:val="auto"/>
        </w:rPr>
      </w:pPr>
    </w:p>
    <w:p>
      <w:pPr>
        <w:ind w:left="660" w:right="40"/>
        <w:spacing w:after="0" w:line="284" w:lineRule="auto"/>
        <w:rPr>
          <w:sz w:val="20"/>
          <w:szCs w:val="20"/>
          <w:color w:val="auto"/>
        </w:rPr>
      </w:pPr>
      <w:r>
        <w:rPr>
          <w:rFonts w:ascii="Arial" w:cs="Arial" w:eastAsia="Arial" w:hAnsi="Arial"/>
          <w:sz w:val="16"/>
          <w:szCs w:val="16"/>
          <w:color w:val="auto"/>
        </w:rPr>
        <w:t>Neither our Bylaws nor other governing documents or law require stockholder ratification of the selection of GT as our independent registered public accounting firm. However, the Board is submitting the selection of GT to the stockholders for ratification as a matter of good corporate practice. If the stockholders fail to ratify the selection, the Audit Committee will reconsider whether to retain GT. Even if the selection is ratified, the Audit Committee in its discretion may direct the appointment of a different independent registered public accounting firm at any time during the year if the Audit Committee determines that such a change would be in the best interest of the Company and its stockholders.</w:t>
      </w:r>
    </w:p>
    <w:p>
      <w:pPr>
        <w:sectPr>
          <w:pgSz w:w="11900" w:h="16838" w:orient="portrait"/>
          <w:cols w:equalWidth="0" w:num="1">
            <w:col w:w="10040"/>
          </w:cols>
          <w:pgMar w:left="580" w:top="131"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2"/>
          <w:szCs w:val="12"/>
          <w:b w:val="1"/>
          <w:bCs w:val="1"/>
          <w:color w:val="auto"/>
        </w:rPr>
        <w:t>24</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110490</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1" w:right="1279"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Independent Registered Public Accounting Firm</w:t>
      </w:r>
    </w:p>
    <w:p>
      <w:pPr>
        <w:spacing w:after="0" w:line="205" w:lineRule="exact"/>
        <w:rPr>
          <w:sz w:val="20"/>
          <w:szCs w:val="20"/>
          <w:color w:val="auto"/>
        </w:rPr>
      </w:pPr>
    </w:p>
    <w:p>
      <w:pPr>
        <w:ind w:left="660" w:right="960"/>
        <w:spacing w:after="0" w:line="295" w:lineRule="auto"/>
        <w:rPr>
          <w:sz w:val="20"/>
          <w:szCs w:val="20"/>
          <w:color w:val="auto"/>
        </w:rPr>
      </w:pPr>
      <w:r>
        <w:rPr>
          <w:rFonts w:ascii="Arial" w:cs="Arial" w:eastAsia="Arial" w:hAnsi="Arial"/>
          <w:sz w:val="16"/>
          <w:szCs w:val="16"/>
          <w:color w:val="auto"/>
        </w:rPr>
        <w:t>The following is a summary of the fees and services provided by GT to Lucid and its predecessor, Legacy Lucid, for fiscal years 2020 and 2021:</w:t>
      </w:r>
    </w:p>
    <w:p>
      <w:pPr>
        <w:spacing w:after="0" w:line="234" w:lineRule="exact"/>
        <w:rPr>
          <w:sz w:val="20"/>
          <w:szCs w:val="20"/>
          <w:color w:val="auto"/>
        </w:rPr>
      </w:pPr>
    </w:p>
    <w:tbl>
      <w:tblPr>
        <w:tblLayout w:type="fixed"/>
        <w:tblInd w:w="660" w:type="dxa"/>
        <w:tblCellMar>
          <w:top w:w="0" w:type="dxa"/>
          <w:left w:w="0" w:type="dxa"/>
          <w:bottom w:w="0" w:type="dxa"/>
          <w:right w:w="0" w:type="dxa"/>
        </w:tblCellMar>
      </w:tblPr>
      <w:tr>
        <w:trPr>
          <w:trHeight w:val="248"/>
        </w:trPr>
        <w:tc>
          <w:tcPr>
            <w:tcW w:w="6360" w:type="dxa"/>
            <w:vAlign w:val="bottom"/>
            <w:shd w:val="clear" w:color="auto" w:fill="000000"/>
          </w:tcPr>
          <w:p>
            <w:pPr>
              <w:spacing w:after="0"/>
              <w:rPr>
                <w:sz w:val="21"/>
                <w:szCs w:val="21"/>
                <w:color w:val="auto"/>
              </w:rPr>
            </w:pPr>
          </w:p>
        </w:tc>
        <w:tc>
          <w:tcPr>
            <w:tcW w:w="3020" w:type="dxa"/>
            <w:vAlign w:val="bottom"/>
            <w:gridSpan w:val="2"/>
            <w:shd w:val="clear" w:color="auto" w:fill="000000"/>
          </w:tcPr>
          <w:p>
            <w:pPr>
              <w:jc w:val="right"/>
              <w:ind w:right="1011"/>
              <w:spacing w:after="0"/>
              <w:rPr>
                <w:sz w:val="20"/>
                <w:szCs w:val="20"/>
                <w:color w:val="auto"/>
              </w:rPr>
            </w:pPr>
            <w:r>
              <w:rPr>
                <w:rFonts w:ascii="Arial" w:cs="Arial" w:eastAsia="Arial" w:hAnsi="Arial"/>
                <w:sz w:val="13"/>
                <w:szCs w:val="13"/>
                <w:b w:val="1"/>
                <w:bCs w:val="1"/>
                <w:color w:val="FEFEFE"/>
              </w:rPr>
              <w:t>Fiscal Year Ended</w:t>
            </w:r>
          </w:p>
        </w:tc>
      </w:tr>
      <w:tr>
        <w:trPr>
          <w:trHeight w:val="168"/>
        </w:trPr>
        <w:tc>
          <w:tcPr>
            <w:tcW w:w="6360" w:type="dxa"/>
            <w:vAlign w:val="bottom"/>
            <w:shd w:val="clear" w:color="auto" w:fill="000000"/>
          </w:tcPr>
          <w:p>
            <w:pPr>
              <w:spacing w:after="0"/>
              <w:rPr>
                <w:sz w:val="14"/>
                <w:szCs w:val="14"/>
                <w:color w:val="auto"/>
              </w:rPr>
            </w:pPr>
          </w:p>
        </w:tc>
        <w:tc>
          <w:tcPr>
            <w:tcW w:w="980" w:type="dxa"/>
            <w:vAlign w:val="bottom"/>
            <w:shd w:val="clear" w:color="auto" w:fill="000000"/>
          </w:tcPr>
          <w:p>
            <w:pPr>
              <w:spacing w:after="0"/>
              <w:rPr>
                <w:sz w:val="14"/>
                <w:szCs w:val="14"/>
                <w:color w:val="auto"/>
              </w:rPr>
            </w:pPr>
          </w:p>
        </w:tc>
        <w:tc>
          <w:tcPr>
            <w:tcW w:w="2040" w:type="dxa"/>
            <w:vAlign w:val="bottom"/>
            <w:shd w:val="clear" w:color="auto" w:fill="000000"/>
          </w:tcPr>
          <w:p>
            <w:pPr>
              <w:jc w:val="right"/>
              <w:ind w:right="1131"/>
              <w:spacing w:after="0"/>
              <w:rPr>
                <w:sz w:val="20"/>
                <w:szCs w:val="20"/>
                <w:color w:val="auto"/>
              </w:rPr>
            </w:pPr>
            <w:r>
              <w:rPr>
                <w:rFonts w:ascii="Arial" w:cs="Arial" w:eastAsia="Arial" w:hAnsi="Arial"/>
                <w:sz w:val="13"/>
                <w:szCs w:val="13"/>
                <w:b w:val="1"/>
                <w:bCs w:val="1"/>
                <w:color w:val="FEFEFE"/>
                <w:w w:val="96"/>
              </w:rPr>
              <w:t>December 31,</w:t>
            </w:r>
          </w:p>
        </w:tc>
      </w:tr>
      <w:tr>
        <w:trPr>
          <w:trHeight w:val="131"/>
        </w:trPr>
        <w:tc>
          <w:tcPr>
            <w:tcW w:w="6360" w:type="dxa"/>
            <w:vAlign w:val="bottom"/>
            <w:shd w:val="clear" w:color="auto" w:fill="000000"/>
          </w:tcPr>
          <w:p>
            <w:pPr>
              <w:spacing w:after="0"/>
              <w:rPr>
                <w:sz w:val="11"/>
                <w:szCs w:val="11"/>
                <w:color w:val="auto"/>
              </w:rPr>
            </w:pPr>
          </w:p>
        </w:tc>
        <w:tc>
          <w:tcPr>
            <w:tcW w:w="980" w:type="dxa"/>
            <w:vAlign w:val="bottom"/>
            <w:shd w:val="clear" w:color="auto" w:fill="000000"/>
          </w:tcPr>
          <w:p>
            <w:pPr>
              <w:spacing w:after="0"/>
              <w:rPr>
                <w:sz w:val="11"/>
                <w:szCs w:val="11"/>
                <w:color w:val="auto"/>
              </w:rPr>
            </w:pPr>
          </w:p>
        </w:tc>
        <w:tc>
          <w:tcPr>
            <w:tcW w:w="2040" w:type="dxa"/>
            <w:vAlign w:val="bottom"/>
            <w:shd w:val="clear" w:color="auto" w:fill="000000"/>
          </w:tcPr>
          <w:p>
            <w:pPr>
              <w:spacing w:after="0"/>
              <w:rPr>
                <w:sz w:val="11"/>
                <w:szCs w:val="11"/>
                <w:color w:val="auto"/>
              </w:rPr>
            </w:pPr>
          </w:p>
        </w:tc>
      </w:tr>
      <w:tr>
        <w:trPr>
          <w:trHeight w:val="288"/>
        </w:trPr>
        <w:tc>
          <w:tcPr>
            <w:tcW w:w="6360" w:type="dxa"/>
            <w:vAlign w:val="bottom"/>
            <w:shd w:val="clear" w:color="auto" w:fill="000000"/>
          </w:tcPr>
          <w:p>
            <w:pPr>
              <w:ind w:left="160"/>
              <w:spacing w:after="0"/>
              <w:rPr>
                <w:sz w:val="20"/>
                <w:szCs w:val="20"/>
                <w:color w:val="auto"/>
              </w:rPr>
            </w:pPr>
            <w:r>
              <w:rPr>
                <w:rFonts w:ascii="Arial" w:cs="Arial" w:eastAsia="Arial" w:hAnsi="Arial"/>
                <w:sz w:val="13"/>
                <w:szCs w:val="13"/>
                <w:b w:val="1"/>
                <w:bCs w:val="1"/>
                <w:color w:val="FEFEFE"/>
              </w:rPr>
              <w:t>Description of Services Provided by GT</w:t>
            </w:r>
          </w:p>
        </w:tc>
        <w:tc>
          <w:tcPr>
            <w:tcW w:w="980" w:type="dxa"/>
            <w:vAlign w:val="bottom"/>
            <w:shd w:val="clear" w:color="auto" w:fill="000000"/>
          </w:tcPr>
          <w:p>
            <w:pPr>
              <w:jc w:val="right"/>
              <w:ind w:right="131"/>
              <w:spacing w:after="0"/>
              <w:rPr>
                <w:sz w:val="20"/>
                <w:szCs w:val="20"/>
                <w:color w:val="auto"/>
              </w:rPr>
            </w:pPr>
            <w:r>
              <w:rPr>
                <w:rFonts w:ascii="Arial" w:cs="Arial" w:eastAsia="Arial" w:hAnsi="Arial"/>
                <w:sz w:val="13"/>
                <w:szCs w:val="13"/>
                <w:b w:val="1"/>
                <w:bCs w:val="1"/>
                <w:color w:val="FEFEFE"/>
              </w:rPr>
              <w:t>2020</w:t>
            </w:r>
          </w:p>
        </w:tc>
        <w:tc>
          <w:tcPr>
            <w:tcW w:w="2040" w:type="dxa"/>
            <w:vAlign w:val="bottom"/>
            <w:shd w:val="clear" w:color="auto" w:fill="000000"/>
          </w:tcPr>
          <w:p>
            <w:pPr>
              <w:jc w:val="right"/>
              <w:ind w:right="651"/>
              <w:spacing w:after="0"/>
              <w:rPr>
                <w:sz w:val="20"/>
                <w:szCs w:val="20"/>
                <w:color w:val="auto"/>
              </w:rPr>
            </w:pPr>
            <w:r>
              <w:rPr>
                <w:rFonts w:ascii="Arial" w:cs="Arial" w:eastAsia="Arial" w:hAnsi="Arial"/>
                <w:sz w:val="13"/>
                <w:szCs w:val="13"/>
                <w:b w:val="1"/>
                <w:bCs w:val="1"/>
                <w:color w:val="FEFEFE"/>
              </w:rPr>
              <w:t>2021</w:t>
            </w:r>
          </w:p>
        </w:tc>
      </w:tr>
      <w:tr>
        <w:trPr>
          <w:trHeight w:val="124"/>
        </w:trPr>
        <w:tc>
          <w:tcPr>
            <w:tcW w:w="6360" w:type="dxa"/>
            <w:vAlign w:val="bottom"/>
            <w:shd w:val="clear" w:color="auto" w:fill="000000"/>
          </w:tcPr>
          <w:p>
            <w:pPr>
              <w:spacing w:after="0"/>
              <w:rPr>
                <w:sz w:val="10"/>
                <w:szCs w:val="10"/>
                <w:color w:val="auto"/>
              </w:rPr>
            </w:pPr>
          </w:p>
        </w:tc>
        <w:tc>
          <w:tcPr>
            <w:tcW w:w="980" w:type="dxa"/>
            <w:vAlign w:val="bottom"/>
            <w:shd w:val="clear" w:color="auto" w:fill="000000"/>
          </w:tcPr>
          <w:p>
            <w:pPr>
              <w:spacing w:after="0"/>
              <w:rPr>
                <w:sz w:val="10"/>
                <w:szCs w:val="10"/>
                <w:color w:val="auto"/>
              </w:rPr>
            </w:pPr>
          </w:p>
        </w:tc>
        <w:tc>
          <w:tcPr>
            <w:tcW w:w="2040" w:type="dxa"/>
            <w:vAlign w:val="bottom"/>
            <w:shd w:val="clear" w:color="auto" w:fill="000000"/>
          </w:tcPr>
          <w:p>
            <w:pPr>
              <w:spacing w:after="0"/>
              <w:rPr>
                <w:sz w:val="10"/>
                <w:szCs w:val="10"/>
                <w:color w:val="auto"/>
              </w:rPr>
            </w:pPr>
          </w:p>
        </w:tc>
      </w:tr>
      <w:tr>
        <w:trPr>
          <w:trHeight w:val="364"/>
        </w:trPr>
        <w:tc>
          <w:tcPr>
            <w:tcW w:w="6360" w:type="dxa"/>
            <w:vAlign w:val="bottom"/>
          </w:tcPr>
          <w:p>
            <w:pPr>
              <w:ind w:left="160"/>
              <w:spacing w:after="0"/>
              <w:rPr>
                <w:sz w:val="20"/>
                <w:szCs w:val="20"/>
                <w:color w:val="auto"/>
              </w:rPr>
            </w:pPr>
            <w:r>
              <w:rPr>
                <w:rFonts w:ascii="Arial" w:cs="Arial" w:eastAsia="Arial" w:hAnsi="Arial"/>
                <w:sz w:val="14"/>
                <w:szCs w:val="14"/>
                <w:color w:val="auto"/>
              </w:rPr>
              <w:t>Audit Fees</w:t>
            </w:r>
            <w:r>
              <w:rPr>
                <w:rFonts w:ascii="Arial" w:cs="Arial" w:eastAsia="Arial" w:hAnsi="Arial"/>
                <w:sz w:val="17"/>
                <w:szCs w:val="17"/>
                <w:color w:val="auto"/>
                <w:vertAlign w:val="superscript"/>
              </w:rPr>
              <w:t>(1)</w:t>
            </w:r>
          </w:p>
        </w:tc>
        <w:tc>
          <w:tcPr>
            <w:tcW w:w="980" w:type="dxa"/>
            <w:vAlign w:val="bottom"/>
          </w:tcPr>
          <w:p>
            <w:pPr>
              <w:jc w:val="right"/>
              <w:spacing w:after="0"/>
              <w:rPr>
                <w:sz w:val="20"/>
                <w:szCs w:val="20"/>
                <w:color w:val="auto"/>
              </w:rPr>
            </w:pPr>
            <w:r>
              <w:rPr>
                <w:rFonts w:ascii="Arial" w:cs="Arial" w:eastAsia="Arial" w:hAnsi="Arial"/>
                <w:sz w:val="14"/>
                <w:szCs w:val="14"/>
                <w:color w:val="auto"/>
              </w:rPr>
              <w:t>$ 327,000</w:t>
            </w:r>
          </w:p>
        </w:tc>
        <w:tc>
          <w:tcPr>
            <w:tcW w:w="2040" w:type="dxa"/>
            <w:vAlign w:val="bottom"/>
          </w:tcPr>
          <w:p>
            <w:pPr>
              <w:jc w:val="right"/>
              <w:ind w:right="411"/>
              <w:spacing w:after="0"/>
              <w:rPr>
                <w:sz w:val="20"/>
                <w:szCs w:val="20"/>
                <w:color w:val="auto"/>
              </w:rPr>
            </w:pPr>
            <w:r>
              <w:rPr>
                <w:rFonts w:ascii="Arial" w:cs="Arial" w:eastAsia="Arial" w:hAnsi="Arial"/>
                <w:sz w:val="14"/>
                <w:szCs w:val="14"/>
                <w:color w:val="auto"/>
              </w:rPr>
              <w:t>$ 2,043,000</w:t>
            </w:r>
          </w:p>
        </w:tc>
      </w:tr>
      <w:tr>
        <w:trPr>
          <w:trHeight w:val="68"/>
        </w:trPr>
        <w:tc>
          <w:tcPr>
            <w:tcW w:w="63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r>
      <w:tr>
        <w:trPr>
          <w:trHeight w:val="292"/>
        </w:trPr>
        <w:tc>
          <w:tcPr>
            <w:tcW w:w="6360" w:type="dxa"/>
            <w:vAlign w:val="bottom"/>
            <w:shd w:val="clear" w:color="auto" w:fill="F7F7F7"/>
          </w:tcPr>
          <w:p>
            <w:pPr>
              <w:ind w:left="160"/>
              <w:spacing w:after="0"/>
              <w:rPr>
                <w:sz w:val="20"/>
                <w:szCs w:val="20"/>
                <w:color w:val="auto"/>
              </w:rPr>
            </w:pPr>
            <w:r>
              <w:rPr>
                <w:rFonts w:ascii="Arial" w:cs="Arial" w:eastAsia="Arial" w:hAnsi="Arial"/>
                <w:sz w:val="14"/>
                <w:szCs w:val="14"/>
                <w:color w:val="auto"/>
              </w:rPr>
              <w:t>Audit Related Fees</w:t>
            </w:r>
          </w:p>
        </w:tc>
        <w:tc>
          <w:tcPr>
            <w:tcW w:w="98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2040" w:type="dxa"/>
            <w:vAlign w:val="bottom"/>
            <w:shd w:val="clear" w:color="auto" w:fill="F7F7F7"/>
          </w:tcPr>
          <w:p>
            <w:pPr>
              <w:jc w:val="right"/>
              <w:ind w:right="411"/>
              <w:spacing w:after="0"/>
              <w:rPr>
                <w:sz w:val="20"/>
                <w:szCs w:val="20"/>
                <w:color w:val="auto"/>
              </w:rPr>
            </w:pPr>
            <w:r>
              <w:rPr>
                <w:rFonts w:ascii="Arial" w:cs="Arial" w:eastAsia="Arial" w:hAnsi="Arial"/>
                <w:sz w:val="14"/>
                <w:szCs w:val="14"/>
                <w:color w:val="auto"/>
              </w:rPr>
              <w:t>—</w:t>
            </w:r>
          </w:p>
        </w:tc>
      </w:tr>
      <w:tr>
        <w:trPr>
          <w:trHeight w:val="93"/>
        </w:trPr>
        <w:tc>
          <w:tcPr>
            <w:tcW w:w="6360" w:type="dxa"/>
            <w:vAlign w:val="bottom"/>
            <w:tcBorders>
              <w:bottom w:val="single" w:sz="8" w:color="auto"/>
            </w:tcBorders>
            <w:shd w:val="clear" w:color="auto" w:fill="F7F7F7"/>
          </w:tcPr>
          <w:p>
            <w:pPr>
              <w:spacing w:after="0"/>
              <w:rPr>
                <w:sz w:val="8"/>
                <w:szCs w:val="8"/>
                <w:color w:val="auto"/>
              </w:rPr>
            </w:pPr>
          </w:p>
        </w:tc>
        <w:tc>
          <w:tcPr>
            <w:tcW w:w="980" w:type="dxa"/>
            <w:vAlign w:val="bottom"/>
            <w:tcBorders>
              <w:bottom w:val="single" w:sz="8" w:color="auto"/>
            </w:tcBorders>
            <w:shd w:val="clear" w:color="auto" w:fill="F7F7F7"/>
          </w:tcPr>
          <w:p>
            <w:pPr>
              <w:spacing w:after="0"/>
              <w:rPr>
                <w:sz w:val="8"/>
                <w:szCs w:val="8"/>
                <w:color w:val="auto"/>
              </w:rPr>
            </w:pPr>
          </w:p>
        </w:tc>
        <w:tc>
          <w:tcPr>
            <w:tcW w:w="2040" w:type="dxa"/>
            <w:vAlign w:val="bottom"/>
            <w:tcBorders>
              <w:bottom w:val="single" w:sz="8" w:color="auto"/>
            </w:tcBorders>
            <w:shd w:val="clear" w:color="auto" w:fill="F7F7F7"/>
          </w:tcPr>
          <w:p>
            <w:pPr>
              <w:spacing w:after="0"/>
              <w:rPr>
                <w:sz w:val="8"/>
                <w:szCs w:val="8"/>
                <w:color w:val="auto"/>
              </w:rPr>
            </w:pPr>
          </w:p>
        </w:tc>
      </w:tr>
      <w:tr>
        <w:trPr>
          <w:trHeight w:val="292"/>
        </w:trPr>
        <w:tc>
          <w:tcPr>
            <w:tcW w:w="6360" w:type="dxa"/>
            <w:vAlign w:val="bottom"/>
          </w:tcPr>
          <w:p>
            <w:pPr>
              <w:ind w:left="160"/>
              <w:spacing w:after="0"/>
              <w:rPr>
                <w:sz w:val="20"/>
                <w:szCs w:val="20"/>
                <w:color w:val="auto"/>
              </w:rPr>
            </w:pPr>
            <w:r>
              <w:rPr>
                <w:rFonts w:ascii="Arial" w:cs="Arial" w:eastAsia="Arial" w:hAnsi="Arial"/>
                <w:sz w:val="14"/>
                <w:szCs w:val="14"/>
                <w:color w:val="auto"/>
              </w:rPr>
              <w:t>Tax Fees</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040" w:type="dxa"/>
            <w:vAlign w:val="bottom"/>
          </w:tcPr>
          <w:p>
            <w:pPr>
              <w:jc w:val="right"/>
              <w:ind w:right="411"/>
              <w:spacing w:after="0"/>
              <w:rPr>
                <w:sz w:val="20"/>
                <w:szCs w:val="20"/>
                <w:color w:val="auto"/>
              </w:rPr>
            </w:pPr>
            <w:r>
              <w:rPr>
                <w:rFonts w:ascii="Arial" w:cs="Arial" w:eastAsia="Arial" w:hAnsi="Arial"/>
                <w:sz w:val="14"/>
                <w:szCs w:val="14"/>
                <w:color w:val="auto"/>
              </w:rPr>
              <w:t>—</w:t>
            </w:r>
          </w:p>
        </w:tc>
      </w:tr>
      <w:tr>
        <w:trPr>
          <w:trHeight w:val="93"/>
        </w:trPr>
        <w:tc>
          <w:tcPr>
            <w:tcW w:w="63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r>
      <w:tr>
        <w:trPr>
          <w:trHeight w:val="292"/>
        </w:trPr>
        <w:tc>
          <w:tcPr>
            <w:tcW w:w="6360" w:type="dxa"/>
            <w:vAlign w:val="bottom"/>
            <w:shd w:val="clear" w:color="auto" w:fill="F7F7F7"/>
          </w:tcPr>
          <w:p>
            <w:pPr>
              <w:ind w:left="160"/>
              <w:spacing w:after="0"/>
              <w:rPr>
                <w:sz w:val="20"/>
                <w:szCs w:val="20"/>
                <w:color w:val="auto"/>
              </w:rPr>
            </w:pPr>
            <w:r>
              <w:rPr>
                <w:rFonts w:ascii="Arial" w:cs="Arial" w:eastAsia="Arial" w:hAnsi="Arial"/>
                <w:sz w:val="14"/>
                <w:szCs w:val="14"/>
                <w:color w:val="auto"/>
              </w:rPr>
              <w:t>All Other Fees</w:t>
            </w:r>
          </w:p>
        </w:tc>
        <w:tc>
          <w:tcPr>
            <w:tcW w:w="98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2040" w:type="dxa"/>
            <w:vAlign w:val="bottom"/>
            <w:shd w:val="clear" w:color="auto" w:fill="F7F7F7"/>
          </w:tcPr>
          <w:p>
            <w:pPr>
              <w:jc w:val="right"/>
              <w:ind w:right="411"/>
              <w:spacing w:after="0"/>
              <w:rPr>
                <w:sz w:val="20"/>
                <w:szCs w:val="20"/>
                <w:color w:val="auto"/>
              </w:rPr>
            </w:pPr>
            <w:r>
              <w:rPr>
                <w:rFonts w:ascii="Arial" w:cs="Arial" w:eastAsia="Arial" w:hAnsi="Arial"/>
                <w:sz w:val="14"/>
                <w:szCs w:val="14"/>
                <w:color w:val="auto"/>
              </w:rPr>
              <w:t>—</w:t>
            </w:r>
          </w:p>
        </w:tc>
      </w:tr>
      <w:tr>
        <w:trPr>
          <w:trHeight w:val="93"/>
        </w:trPr>
        <w:tc>
          <w:tcPr>
            <w:tcW w:w="6360" w:type="dxa"/>
            <w:vAlign w:val="bottom"/>
            <w:tcBorders>
              <w:bottom w:val="single" w:sz="8" w:color="auto"/>
            </w:tcBorders>
            <w:shd w:val="clear" w:color="auto" w:fill="F7F7F7"/>
          </w:tcPr>
          <w:p>
            <w:pPr>
              <w:spacing w:after="0"/>
              <w:rPr>
                <w:sz w:val="8"/>
                <w:szCs w:val="8"/>
                <w:color w:val="auto"/>
              </w:rPr>
            </w:pPr>
          </w:p>
        </w:tc>
        <w:tc>
          <w:tcPr>
            <w:tcW w:w="980" w:type="dxa"/>
            <w:vAlign w:val="bottom"/>
            <w:tcBorders>
              <w:bottom w:val="single" w:sz="8" w:color="auto"/>
            </w:tcBorders>
            <w:shd w:val="clear" w:color="auto" w:fill="F7F7F7"/>
          </w:tcPr>
          <w:p>
            <w:pPr>
              <w:spacing w:after="0"/>
              <w:rPr>
                <w:sz w:val="8"/>
                <w:szCs w:val="8"/>
                <w:color w:val="auto"/>
              </w:rPr>
            </w:pPr>
          </w:p>
        </w:tc>
        <w:tc>
          <w:tcPr>
            <w:tcW w:w="2040" w:type="dxa"/>
            <w:vAlign w:val="bottom"/>
            <w:tcBorders>
              <w:bottom w:val="single" w:sz="8" w:color="auto"/>
            </w:tcBorders>
            <w:shd w:val="clear" w:color="auto" w:fill="F7F7F7"/>
          </w:tcPr>
          <w:p>
            <w:pPr>
              <w:spacing w:after="0"/>
              <w:rPr>
                <w:sz w:val="8"/>
                <w:szCs w:val="8"/>
                <w:color w:val="auto"/>
              </w:rPr>
            </w:pPr>
          </w:p>
        </w:tc>
      </w:tr>
      <w:tr>
        <w:trPr>
          <w:trHeight w:val="292"/>
        </w:trPr>
        <w:tc>
          <w:tcPr>
            <w:tcW w:w="6360" w:type="dxa"/>
            <w:vAlign w:val="bottom"/>
          </w:tcPr>
          <w:p>
            <w:pPr>
              <w:ind w:left="160"/>
              <w:spacing w:after="0"/>
              <w:rPr>
                <w:sz w:val="20"/>
                <w:szCs w:val="20"/>
                <w:color w:val="auto"/>
              </w:rPr>
            </w:pPr>
            <w:r>
              <w:rPr>
                <w:rFonts w:ascii="Arial" w:cs="Arial" w:eastAsia="Arial" w:hAnsi="Arial"/>
                <w:sz w:val="14"/>
                <w:szCs w:val="14"/>
                <w:color w:val="auto"/>
              </w:rPr>
              <w:t>TOTAL</w:t>
            </w:r>
          </w:p>
        </w:tc>
        <w:tc>
          <w:tcPr>
            <w:tcW w:w="980" w:type="dxa"/>
            <w:vAlign w:val="bottom"/>
          </w:tcPr>
          <w:p>
            <w:pPr>
              <w:jc w:val="right"/>
              <w:spacing w:after="0"/>
              <w:rPr>
                <w:sz w:val="20"/>
                <w:szCs w:val="20"/>
                <w:color w:val="auto"/>
              </w:rPr>
            </w:pPr>
            <w:r>
              <w:rPr>
                <w:rFonts w:ascii="Arial" w:cs="Arial" w:eastAsia="Arial" w:hAnsi="Arial"/>
                <w:sz w:val="14"/>
                <w:szCs w:val="14"/>
                <w:color w:val="auto"/>
              </w:rPr>
              <w:t>$ 327,000</w:t>
            </w:r>
          </w:p>
        </w:tc>
        <w:tc>
          <w:tcPr>
            <w:tcW w:w="2040" w:type="dxa"/>
            <w:vAlign w:val="bottom"/>
          </w:tcPr>
          <w:p>
            <w:pPr>
              <w:jc w:val="right"/>
              <w:ind w:right="411"/>
              <w:spacing w:after="0"/>
              <w:rPr>
                <w:sz w:val="20"/>
                <w:szCs w:val="20"/>
                <w:color w:val="auto"/>
              </w:rPr>
            </w:pPr>
            <w:r>
              <w:rPr>
                <w:rFonts w:ascii="Arial" w:cs="Arial" w:eastAsia="Arial" w:hAnsi="Arial"/>
                <w:sz w:val="14"/>
                <w:szCs w:val="14"/>
                <w:color w:val="auto"/>
              </w:rPr>
              <w:t>$ 2,043,000</w:t>
            </w:r>
          </w:p>
        </w:tc>
      </w:tr>
      <w:tr>
        <w:trPr>
          <w:trHeight w:val="93"/>
        </w:trPr>
        <w:tc>
          <w:tcPr>
            <w:tcW w:w="63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r>
    </w:tbl>
    <w:p>
      <w:pPr>
        <w:spacing w:after="0" w:line="280" w:lineRule="exact"/>
        <w:rPr>
          <w:sz w:val="20"/>
          <w:szCs w:val="20"/>
          <w:color w:val="auto"/>
        </w:rPr>
      </w:pPr>
    </w:p>
    <w:p>
      <w:pPr>
        <w:ind w:left="780" w:right="940" w:hanging="126"/>
        <w:spacing w:after="0" w:line="222" w:lineRule="auto"/>
        <w:tabs>
          <w:tab w:leader="none" w:pos="780" w:val="left"/>
        </w:tabs>
        <w:numPr>
          <w:ilvl w:val="0"/>
          <w:numId w:val="22"/>
        </w:numPr>
        <w:rPr>
          <w:rFonts w:ascii="Arial" w:cs="Arial" w:eastAsia="Arial" w:hAnsi="Arial"/>
          <w:sz w:val="15"/>
          <w:szCs w:val="15"/>
          <w:color w:val="auto"/>
          <w:vertAlign w:val="superscript"/>
        </w:rPr>
      </w:pPr>
      <w:r>
        <w:rPr>
          <w:rFonts w:ascii="Arial" w:cs="Arial" w:eastAsia="Arial" w:hAnsi="Arial"/>
          <w:sz w:val="10"/>
          <w:szCs w:val="10"/>
          <w:color w:val="auto"/>
        </w:rPr>
        <w:t>Audit fees for GT for 2020 and 2021 were for professional services rendered for the audits of our financial statements, review of interim financial statements, assistance with registration statements filed with the SEC and services that are normally provided by GT in connection with statutory and regulatory filings or engagements. Fees for the year ended December 31, 2021 included approximately $486,000 billed in connection with our business combination with Churchill which closed on July 23, 2021.</w:t>
      </w:r>
    </w:p>
    <w:p>
      <w:pPr>
        <w:spacing w:after="0" w:line="227" w:lineRule="exact"/>
        <w:rPr>
          <w:sz w:val="20"/>
          <w:szCs w:val="20"/>
          <w:color w:val="auto"/>
        </w:rPr>
      </w:pPr>
    </w:p>
    <w:p>
      <w:pPr>
        <w:ind w:left="660" w:right="1000"/>
        <w:spacing w:after="0" w:line="286" w:lineRule="auto"/>
        <w:rPr>
          <w:sz w:val="20"/>
          <w:szCs w:val="20"/>
          <w:color w:val="auto"/>
        </w:rPr>
      </w:pPr>
      <w:r>
        <w:rPr>
          <w:rFonts w:ascii="Arial" w:cs="Arial" w:eastAsia="Arial" w:hAnsi="Arial"/>
          <w:sz w:val="16"/>
          <w:szCs w:val="16"/>
          <w:color w:val="auto"/>
        </w:rPr>
        <w:t>The Audit Committee or a delegate thereof pre-approves the scope of the audit and non-audit services provided by our independent registered public accounting firm, as well as all associated fees and terms, pursuant to pre-approval policies and procedures established by the Audit Committee. The Audit Committee evaluates the independent registered public accounting firm’s qualifications, performance and independence, and presents its conclusions to the full Board on at least an annual basis.</w:t>
      </w:r>
    </w:p>
    <w:p>
      <w:pPr>
        <w:spacing w:after="0" w:line="203" w:lineRule="exact"/>
        <w:rPr>
          <w:sz w:val="20"/>
          <w:szCs w:val="20"/>
          <w:color w:val="auto"/>
        </w:rPr>
      </w:pPr>
    </w:p>
    <w:p>
      <w:pPr>
        <w:jc w:val="both"/>
        <w:ind w:left="660" w:right="760"/>
        <w:spacing w:after="0" w:line="295" w:lineRule="auto"/>
        <w:rPr>
          <w:sz w:val="20"/>
          <w:szCs w:val="20"/>
          <w:color w:val="auto"/>
        </w:rPr>
      </w:pPr>
      <w:r>
        <w:rPr>
          <w:rFonts w:ascii="Arial" w:cs="Arial" w:eastAsia="Arial" w:hAnsi="Arial"/>
          <w:sz w:val="16"/>
          <w:szCs w:val="16"/>
          <w:color w:val="auto"/>
        </w:rPr>
        <w:t>All of the services provided by GT since the Closing of the Merger in July 2021, and fees for such services, were pre- approved by the Audit Committee in accordance with these standards.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Change in Accountants</w:t>
      </w:r>
    </w:p>
    <w:p>
      <w:pPr>
        <w:spacing w:after="0" w:line="36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Marcum LLP</w:t>
      </w:r>
    </w:p>
    <w:p>
      <w:pPr>
        <w:spacing w:after="0" w:line="205" w:lineRule="exact"/>
        <w:rPr>
          <w:sz w:val="20"/>
          <w:szCs w:val="20"/>
          <w:color w:val="auto"/>
        </w:rPr>
      </w:pPr>
    </w:p>
    <w:p>
      <w:pPr>
        <w:jc w:val="both"/>
        <w:ind w:left="660" w:right="780"/>
        <w:spacing w:after="0" w:line="288" w:lineRule="auto"/>
        <w:rPr>
          <w:sz w:val="20"/>
          <w:szCs w:val="20"/>
          <w:color w:val="auto"/>
        </w:rPr>
      </w:pPr>
      <w:r>
        <w:rPr>
          <w:rFonts w:ascii="Arial" w:cs="Arial" w:eastAsia="Arial" w:hAnsi="Arial"/>
          <w:sz w:val="16"/>
          <w:szCs w:val="16"/>
          <w:color w:val="auto"/>
        </w:rPr>
        <w:t>On July 23, 2021, the Board dismissed Marcum LLP (“Marcum”), Churchill’s independent registered public accounting firm prior to the Closing of the Merger, as our independent registered public accounting firm effective following completion of our review of the quarter ended June 30, 2021, which consisted only of the accounts of Churchill prior to the Closing of the Merger.</w:t>
      </w:r>
    </w:p>
    <w:p>
      <w:pPr>
        <w:spacing w:after="0" w:line="202" w:lineRule="exact"/>
        <w:rPr>
          <w:sz w:val="20"/>
          <w:szCs w:val="20"/>
          <w:color w:val="auto"/>
        </w:rPr>
      </w:pPr>
    </w:p>
    <w:p>
      <w:pPr>
        <w:ind w:left="660" w:right="680"/>
        <w:spacing w:after="0" w:line="286" w:lineRule="auto"/>
        <w:rPr>
          <w:sz w:val="20"/>
          <w:szCs w:val="20"/>
          <w:color w:val="auto"/>
        </w:rPr>
      </w:pPr>
      <w:r>
        <w:rPr>
          <w:rFonts w:ascii="Arial" w:cs="Arial" w:eastAsia="Arial" w:hAnsi="Arial"/>
          <w:sz w:val="16"/>
          <w:szCs w:val="16"/>
          <w:color w:val="auto"/>
        </w:rPr>
        <w:t>The audit report of Marcum on Churchill’s, our legal predecessor, balance sheet as of December 31, 2020 and the statements of operations, changes in stockholders’ equity and cash flows for the period from April 30, 2020 (inception) to December 31, 2020, did not contain an adverse opinion or a disclaimer of opinion and was not qualified or modified as to uncertainties, audit scope or accounting principles.</w:t>
      </w:r>
    </w:p>
    <w:p>
      <w:pPr>
        <w:spacing w:after="0" w:line="203" w:lineRule="exact"/>
        <w:rPr>
          <w:sz w:val="20"/>
          <w:szCs w:val="20"/>
          <w:color w:val="auto"/>
        </w:rPr>
      </w:pPr>
    </w:p>
    <w:p>
      <w:pPr>
        <w:ind w:left="660" w:right="680"/>
        <w:spacing w:after="0" w:line="286" w:lineRule="auto"/>
        <w:rPr>
          <w:sz w:val="20"/>
          <w:szCs w:val="20"/>
          <w:color w:val="auto"/>
        </w:rPr>
      </w:pPr>
      <w:r>
        <w:rPr>
          <w:rFonts w:ascii="Arial" w:cs="Arial" w:eastAsia="Arial" w:hAnsi="Arial"/>
          <w:sz w:val="16"/>
          <w:szCs w:val="16"/>
          <w:color w:val="auto"/>
        </w:rPr>
        <w:t>During the period from April 30, 2020 (inception) to December 31, 2020 and subsequent interim period through July 23, 2021, there were no disagreements between Churchill and Marcum on any matter of accounting principles or practices, financial disclosure or auditing scope or procedure, which disagreements, if not resolved to the satisfaction of Marcum, would have caused it to make reference to the subject matter of the disagreements in its reports on Churchill’s financial statements for such period.</w:t>
      </w:r>
    </w:p>
    <w:p>
      <w:pPr>
        <w:spacing w:after="0" w:line="203" w:lineRule="exact"/>
        <w:rPr>
          <w:sz w:val="20"/>
          <w:szCs w:val="20"/>
          <w:color w:val="auto"/>
        </w:rPr>
      </w:pPr>
    </w:p>
    <w:p>
      <w:pPr>
        <w:ind w:left="660" w:right="860"/>
        <w:spacing w:after="0" w:line="284" w:lineRule="auto"/>
        <w:rPr>
          <w:sz w:val="20"/>
          <w:szCs w:val="20"/>
          <w:color w:val="auto"/>
        </w:rPr>
      </w:pPr>
      <w:r>
        <w:rPr>
          <w:rFonts w:ascii="Arial" w:cs="Arial" w:eastAsia="Arial" w:hAnsi="Arial"/>
          <w:sz w:val="16"/>
          <w:szCs w:val="16"/>
          <w:color w:val="auto"/>
        </w:rPr>
        <w:t>During the period from April 30, 2020 (inception) to December 31, 2020 and subsequent interim period through July 23, 2021, on May 14, 2021, following the issuance of the statement regarding the accounting and reporting considerations for warrants issued by special purpose acquisition companies entitled “Staff Statement on Accounting and Reporting Considerations for Warrants Issued by Special Purpose Acquisition Companies (“SPACs”)” by the SEC, Churchill’s management and the audit committee of Churchill’s board of directors, after consultation with management and a discussion with Marcum, concluded that Churchill’s financial statements for the period ended December 31, 2020, and the financial statements as of August 3, 2020 and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900" w:type="dxa"/>
            <w:vAlign w:val="bottom"/>
          </w:tcPr>
          <w:p>
            <w:pPr>
              <w:ind w:left="660"/>
              <w:spacing w:after="0"/>
              <w:rPr>
                <w:sz w:val="20"/>
                <w:szCs w:val="20"/>
                <w:color w:val="auto"/>
              </w:rPr>
            </w:pPr>
            <w:r>
              <w:rPr>
                <w:rFonts w:ascii="Arial" w:cs="Arial" w:eastAsia="Arial" w:hAnsi="Arial"/>
                <w:sz w:val="13"/>
                <w:szCs w:val="13"/>
                <w:color w:val="auto"/>
              </w:rPr>
              <w:t>2022 Proxy Statement</w:t>
            </w:r>
          </w:p>
        </w:tc>
        <w:tc>
          <w:tcPr>
            <w:tcW w:w="4820" w:type="dxa"/>
            <w:vAlign w:val="bottom"/>
          </w:tcPr>
          <w:p>
            <w:pPr>
              <w:jc w:val="right"/>
              <w:ind w:right="617"/>
              <w:spacing w:after="0"/>
              <w:rPr>
                <w:sz w:val="20"/>
                <w:szCs w:val="20"/>
                <w:color w:val="auto"/>
              </w:rPr>
            </w:pPr>
            <w:r>
              <w:rPr>
                <w:rFonts w:ascii="Arial" w:cs="Arial" w:eastAsia="Arial" w:hAnsi="Arial"/>
                <w:sz w:val="13"/>
                <w:szCs w:val="13"/>
                <w:b w:val="1"/>
                <w:bCs w:val="1"/>
                <w:color w:val="auto"/>
              </w:rPr>
              <w:t>25</w:t>
            </w:r>
          </w:p>
        </w:tc>
      </w:tr>
      <w:tr>
        <w:trPr>
          <w:trHeight w:val="171"/>
        </w:trPr>
        <w:tc>
          <w:tcPr>
            <w:tcW w:w="5900" w:type="dxa"/>
            <w:vAlign w:val="bottom"/>
            <w:tcBorders>
              <w:bottom w:val="single" w:sz="8" w:color="9A9A9A"/>
            </w:tcBorders>
          </w:tcPr>
          <w:p>
            <w:pPr>
              <w:spacing w:after="0"/>
              <w:rPr>
                <w:sz w:val="14"/>
                <w:szCs w:val="14"/>
                <w:color w:val="auto"/>
              </w:rPr>
            </w:pPr>
          </w:p>
        </w:tc>
        <w:tc>
          <w:tcPr>
            <w:tcW w:w="48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34" w:name="page35"/>
    <w:bookmarkEnd w:id="34"/>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660" w:right="120"/>
        <w:spacing w:after="0" w:line="288" w:lineRule="auto"/>
        <w:rPr>
          <w:sz w:val="20"/>
          <w:szCs w:val="20"/>
          <w:color w:val="auto"/>
        </w:rPr>
      </w:pPr>
      <w:r>
        <w:rPr>
          <w:rFonts w:ascii="Arial" w:cs="Arial" w:eastAsia="Arial" w:hAnsi="Arial"/>
          <w:sz w:val="16"/>
          <w:szCs w:val="16"/>
          <w:color w:val="auto"/>
        </w:rPr>
        <w:t>as of and for the period ended September 30, 2020 (the “Original Financial Statements”) should no longer be relied upon and are to be restated in order to correct a classification error. The Original Financial Statements were restated in the financial statements accompanying Churchill’s Annual Report on Form 10-K/A filed with the SEC on May 14, 2021.</w:t>
      </w:r>
    </w:p>
    <w:p>
      <w:pPr>
        <w:spacing w:after="0" w:line="202" w:lineRule="exact"/>
        <w:rPr>
          <w:sz w:val="20"/>
          <w:szCs w:val="20"/>
          <w:color w:val="auto"/>
        </w:rPr>
      </w:pPr>
    </w:p>
    <w:p>
      <w:pPr>
        <w:jc w:val="both"/>
        <w:ind w:left="660" w:right="280"/>
        <w:spacing w:after="0" w:line="288" w:lineRule="auto"/>
        <w:rPr>
          <w:sz w:val="20"/>
          <w:szCs w:val="20"/>
          <w:color w:val="auto"/>
        </w:rPr>
      </w:pPr>
      <w:r>
        <w:rPr>
          <w:rFonts w:ascii="Arial" w:cs="Arial" w:eastAsia="Arial" w:hAnsi="Arial"/>
          <w:sz w:val="16"/>
          <w:szCs w:val="16"/>
          <w:color w:val="auto"/>
        </w:rPr>
        <w:t>As part of such process, Churchill identified a material weakness in its internal controls over financial reporting, solely related to Churchill’s accounting for warrants. There were no other “reportable events” (as defined in Item 304(a)(1)(v) of Regulation S-K under the Exchange Act).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Deloitte &amp; Touche LLP</w:t>
      </w:r>
    </w:p>
    <w:p>
      <w:pPr>
        <w:spacing w:after="0" w:line="205" w:lineRule="exact"/>
        <w:rPr>
          <w:sz w:val="20"/>
          <w:szCs w:val="20"/>
          <w:color w:val="auto"/>
        </w:rPr>
      </w:pPr>
    </w:p>
    <w:p>
      <w:pPr>
        <w:ind w:left="660" w:right="520"/>
        <w:spacing w:after="0" w:line="295" w:lineRule="auto"/>
        <w:rPr>
          <w:sz w:val="20"/>
          <w:szCs w:val="20"/>
          <w:color w:val="auto"/>
        </w:rPr>
      </w:pPr>
      <w:r>
        <w:rPr>
          <w:rFonts w:ascii="Arial" w:cs="Arial" w:eastAsia="Arial" w:hAnsi="Arial"/>
          <w:sz w:val="16"/>
          <w:szCs w:val="16"/>
          <w:color w:val="auto"/>
        </w:rPr>
        <w:t>Legacy Lucid dismissed Deloitte &amp; Touche LLP (“Deloitte”) as its independent auditors on October 13, 2020. The decision to dismiss Deloitte was approved by Legacy Lucid’s board of directors.</w:t>
      </w:r>
    </w:p>
    <w:p>
      <w:pPr>
        <w:spacing w:after="0" w:line="196" w:lineRule="exact"/>
        <w:rPr>
          <w:sz w:val="20"/>
          <w:szCs w:val="20"/>
          <w:color w:val="auto"/>
        </w:rPr>
      </w:pPr>
    </w:p>
    <w:p>
      <w:pPr>
        <w:ind w:left="660"/>
        <w:spacing w:after="0" w:line="283" w:lineRule="auto"/>
        <w:rPr>
          <w:sz w:val="20"/>
          <w:szCs w:val="20"/>
          <w:color w:val="auto"/>
        </w:rPr>
      </w:pPr>
      <w:r>
        <w:rPr>
          <w:rFonts w:ascii="Arial" w:cs="Arial" w:eastAsia="Arial" w:hAnsi="Arial"/>
          <w:sz w:val="16"/>
          <w:szCs w:val="16"/>
          <w:color w:val="auto"/>
        </w:rPr>
        <w:t>Deloitte performed its audit in accordance with auditing standards generally accepted in the United States of America (“U.S. GAAS”) and issued an independent auditors’ report (“report”) on Legacy Lucid’s audited consolidated financial statements as of and for the years ended December 31, 2019 and 2018 on June 1, 2020. This report did not contain an adverse opinion or a disclaimer of opinion, and was not qualified or modified as to uncertainty, audit scope, or accounting principle, except that Deloitte’s audit report for the year ended December 31, 2019 contained emphasis of matter paragraphs regarding (1) the change in accounting principle for the adoption of Accounting Standards Update (ASU) No. 2014-09, Revenue from Contracts with Customers (Topic 606) and (2) uncertainty regarding Legacy Lucid’s ability to continue as a going concern. Deloitte did not audit Legacy Lucid’s consolidated financial statements for any period subsequent to December 31, 2019.</w:t>
      </w:r>
    </w:p>
    <w:p>
      <w:pPr>
        <w:spacing w:after="0" w:line="208" w:lineRule="exact"/>
        <w:rPr>
          <w:sz w:val="20"/>
          <w:szCs w:val="20"/>
          <w:color w:val="auto"/>
        </w:rPr>
      </w:pPr>
    </w:p>
    <w:p>
      <w:pPr>
        <w:ind w:left="660" w:right="140"/>
        <w:spacing w:after="0" w:line="284" w:lineRule="auto"/>
        <w:rPr>
          <w:sz w:val="20"/>
          <w:szCs w:val="20"/>
          <w:color w:val="auto"/>
        </w:rPr>
      </w:pPr>
      <w:r>
        <w:rPr>
          <w:rFonts w:ascii="Arial" w:cs="Arial" w:eastAsia="Arial" w:hAnsi="Arial"/>
          <w:sz w:val="16"/>
          <w:szCs w:val="16"/>
          <w:color w:val="auto"/>
        </w:rPr>
        <w:t>During the fiscal years ended December 31, 2019 and 2018, and the subsequent interim period through October 13, 2020, there were (i) no “disagreements,” as such term is defined in Item 304(a)(1)(iv) of Regulation S-K, with Deloitte on any matter of accounting principles or practices, financial statement disclosure or auditing scope or procedures, which disagreements, if not resolved to the satisfaction of Deloitte, would have caused them to make reference to the subject matter of the disagreements in their report, and (ii) no “reportable events,” as such term is defined in Item 304(a)(1)(v) of Regulation S-K, except for the material weakness regarding insufficient finance and accounting personnel to design, implement, and operate precise business processes and internal control activities over financial reporting in accordance with U.S. GAAP.</w:t>
      </w:r>
    </w:p>
    <w:p>
      <w:pPr>
        <w:spacing w:after="0" w:line="204" w:lineRule="exact"/>
        <w:rPr>
          <w:sz w:val="20"/>
          <w:szCs w:val="20"/>
          <w:color w:val="auto"/>
        </w:rPr>
      </w:pPr>
    </w:p>
    <w:p>
      <w:pPr>
        <w:ind w:left="660"/>
        <w:spacing w:after="0" w:line="283" w:lineRule="auto"/>
        <w:rPr>
          <w:sz w:val="20"/>
          <w:szCs w:val="20"/>
          <w:color w:val="auto"/>
        </w:rPr>
      </w:pPr>
      <w:r>
        <w:rPr>
          <w:rFonts w:ascii="Arial" w:cs="Arial" w:eastAsia="Arial" w:hAnsi="Arial"/>
          <w:sz w:val="16"/>
          <w:szCs w:val="16"/>
          <w:color w:val="auto"/>
        </w:rPr>
        <w:t>On October 13, 2020, Legacy Lucid engaged GT to serve as its independent registered public accounting firm. GT audited Legacy Lucid’s financial statements as of and for the years ended December 31, 2019 and 2018 in accordance with the auditing standards of the Public Company Accounting Oversight Board and in accordance with U.S. GAAS and issued their report on December 18, 2020. During the fiscal years ended December 31, 2019 and 2018, and through October 13, 2020, neither Legacy Lucid nor anyone acting on its behalf consulted with GT regarding either: (i) the application of accounting principles to a specified transaction, either completed or proposed; or the type of audit opinion that might be rendered on its financial statements, and neither a written report nor oral advice was provided to Legacy Lucid that GT concluded was an important factor considered by Legacy Lucid in reaching a decision as to the accounting, auditing or financial reporting issue; or (ii) any matter that was either the subject of a disagreement or a reportable event.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Vote Required</w:t>
      </w:r>
    </w:p>
    <w:p>
      <w:pPr>
        <w:spacing w:after="0" w:line="205" w:lineRule="exact"/>
        <w:rPr>
          <w:sz w:val="20"/>
          <w:szCs w:val="20"/>
          <w:color w:val="auto"/>
        </w:rPr>
      </w:pPr>
    </w:p>
    <w:p>
      <w:pPr>
        <w:ind w:left="660" w:right="240"/>
        <w:spacing w:after="0" w:line="286" w:lineRule="auto"/>
        <w:rPr>
          <w:sz w:val="20"/>
          <w:szCs w:val="20"/>
          <w:color w:val="auto"/>
        </w:rPr>
      </w:pPr>
      <w:r>
        <w:rPr>
          <w:rFonts w:ascii="Arial" w:cs="Arial" w:eastAsia="Arial" w:hAnsi="Arial"/>
          <w:sz w:val="16"/>
          <w:szCs w:val="16"/>
          <w:color w:val="auto"/>
        </w:rPr>
        <w:t>To be approved, a majority of the total votes cast on Proposal No. 2 must be voted “For” the ratification of the selection of GT as our independent registered public accounting firm for the fiscal year ending December 31, 2022. Broker non-votes are not applicable with respect to Proposal No. 2 as brokers generally have discretion to vote uninstructed shares on this proposal. Abstentions will have no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496570</wp:posOffset>
            </wp:positionV>
            <wp:extent cx="5966460" cy="291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646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920"/>
        <w:spacing w:after="0"/>
        <w:rPr>
          <w:sz w:val="20"/>
          <w:szCs w:val="20"/>
          <w:color w:val="auto"/>
        </w:rPr>
      </w:pPr>
      <w:r>
        <w:rPr>
          <w:rFonts w:ascii="Arial" w:cs="Arial" w:eastAsia="Arial" w:hAnsi="Arial"/>
          <w:sz w:val="22"/>
          <w:szCs w:val="22"/>
          <w:color w:val="FEFEFE"/>
        </w:rPr>
        <w:t>The Board of Directors Recommends a Vote in Favor of Proposal No. 2.</w:t>
      </w:r>
    </w:p>
    <w:p>
      <w:pPr>
        <w:sectPr>
          <w:pgSz w:w="11900" w:h="16838" w:orient="portrait"/>
          <w:cols w:equalWidth="0" w:num="1">
            <w:col w:w="10040"/>
          </w:cols>
          <w:pgMar w:left="580" w:top="131"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2"/>
          <w:szCs w:val="12"/>
          <w:b w:val="1"/>
          <w:bCs w:val="1"/>
          <w:color w:val="auto"/>
        </w:rPr>
        <w:t>26</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110490</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1" w:right="1279" w:bottom="1440" w:gutter="0" w:footer="0" w:header="0"/>
          <w:type w:val="continuous"/>
        </w:sectPr>
      </w:pPr>
    </w:p>
    <w:bookmarkStart w:id="35" w:name="page36"/>
    <w:bookmarkEnd w:id="35"/>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-96520</wp:posOffset>
            </wp:positionV>
            <wp:extent cx="6489065" cy="254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8906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60"/>
        <w:spacing w:after="0"/>
        <w:rPr>
          <w:sz w:val="20"/>
          <w:szCs w:val="20"/>
          <w:color w:val="auto"/>
        </w:rPr>
      </w:pPr>
      <w:r>
        <w:rPr>
          <w:rFonts w:ascii="Arial" w:cs="Arial" w:eastAsia="Arial" w:hAnsi="Arial"/>
          <w:sz w:val="27"/>
          <w:szCs w:val="27"/>
          <w:b w:val="1"/>
          <w:bCs w:val="1"/>
          <w:color w:val="auto"/>
        </w:rPr>
        <w:t>Proposal No. 3</w:t>
      </w:r>
    </w:p>
    <w:p>
      <w:pPr>
        <w:spacing w:after="0" w:line="40" w:lineRule="exact"/>
        <w:rPr>
          <w:sz w:val="20"/>
          <w:szCs w:val="20"/>
          <w:color w:val="auto"/>
        </w:rPr>
      </w:pPr>
    </w:p>
    <w:p>
      <w:pPr>
        <w:ind w:left="660" w:right="440"/>
        <w:spacing w:after="0" w:line="239" w:lineRule="auto"/>
        <w:rPr>
          <w:sz w:val="20"/>
          <w:szCs w:val="20"/>
          <w:color w:val="auto"/>
        </w:rPr>
      </w:pPr>
      <w:r>
        <w:rPr>
          <w:rFonts w:ascii="Arial" w:cs="Arial" w:eastAsia="Arial" w:hAnsi="Arial"/>
          <w:sz w:val="36"/>
          <w:szCs w:val="36"/>
          <w:b w:val="1"/>
          <w:bCs w:val="1"/>
          <w:color w:val="auto"/>
        </w:rPr>
        <w:t>Approval, on an Advisory Basis, the Compensation of Our Named Executive Officers</w:t>
      </w:r>
    </w:p>
    <w:p>
      <w:pPr>
        <w:spacing w:after="0" w:line="353" w:lineRule="exact"/>
        <w:rPr>
          <w:sz w:val="20"/>
          <w:szCs w:val="20"/>
          <w:color w:val="auto"/>
        </w:rPr>
      </w:pPr>
    </w:p>
    <w:p>
      <w:pPr>
        <w:jc w:val="both"/>
        <w:ind w:left="660"/>
        <w:spacing w:after="0" w:line="281" w:lineRule="auto"/>
        <w:rPr>
          <w:sz w:val="20"/>
          <w:szCs w:val="20"/>
          <w:color w:val="auto"/>
        </w:rPr>
      </w:pPr>
      <w:r>
        <w:rPr>
          <w:rFonts w:ascii="Arial" w:cs="Arial" w:eastAsia="Arial" w:hAnsi="Arial"/>
          <w:sz w:val="16"/>
          <w:szCs w:val="16"/>
          <w:color w:val="auto"/>
        </w:rPr>
        <w:t>We are required by Section 14A of the Exchange Act to offer our stockholders an opportunity to cast an advisory, non-binding, vote on the compensation of our named executive officers, as disclosed in this Proxy Statement, pursuant to the Dodd-Frank Wall Street Reform and Consumer Protection Act enacted in July 2010 (the “Dodd-Frank Act”) (commonly referred to as a “say-on-pay” vote).</w:t>
      </w:r>
    </w:p>
    <w:p>
      <w:pPr>
        <w:spacing w:after="0" w:line="2" w:lineRule="exact"/>
        <w:rPr>
          <w:sz w:val="20"/>
          <w:szCs w:val="20"/>
          <w:color w:val="auto"/>
        </w:rPr>
      </w:pPr>
    </w:p>
    <w:p>
      <w:pPr>
        <w:ind w:left="660"/>
        <w:spacing w:after="0" w:line="286" w:lineRule="auto"/>
        <w:rPr>
          <w:sz w:val="20"/>
          <w:szCs w:val="20"/>
          <w:color w:val="auto"/>
        </w:rPr>
      </w:pPr>
      <w:r>
        <w:rPr>
          <w:rFonts w:ascii="Arial" w:cs="Arial" w:eastAsia="Arial" w:hAnsi="Arial"/>
          <w:sz w:val="16"/>
          <w:szCs w:val="16"/>
          <w:color w:val="auto"/>
        </w:rPr>
        <w:t>This vote is not intended to address any specific item of compensation, but rather the overall compensation of our named executive officers and the philosophy, policies and practices described in this Proxy Statement. Although the vote is nonbinding, we value constructive feedback from our stockholders on executive compensation and other important matters, and the Board and the Compensation Committee will consider the voting results when making future compensation decisions.</w:t>
      </w:r>
    </w:p>
    <w:p>
      <w:pPr>
        <w:spacing w:after="0" w:line="203" w:lineRule="exact"/>
        <w:rPr>
          <w:sz w:val="20"/>
          <w:szCs w:val="20"/>
          <w:color w:val="auto"/>
        </w:rPr>
      </w:pPr>
    </w:p>
    <w:p>
      <w:pPr>
        <w:ind w:left="660" w:right="120"/>
        <w:spacing w:after="0" w:line="284" w:lineRule="auto"/>
        <w:rPr>
          <w:sz w:val="20"/>
          <w:szCs w:val="20"/>
          <w:color w:val="auto"/>
        </w:rPr>
      </w:pPr>
      <w:r>
        <w:rPr>
          <w:rFonts w:ascii="Arial" w:cs="Arial" w:eastAsia="Arial" w:hAnsi="Arial"/>
          <w:sz w:val="16"/>
          <w:szCs w:val="16"/>
          <w:color w:val="auto"/>
        </w:rPr>
        <w:t>As described under the heading “Compensation Discussion and Analysis” in this Proxy Statement, our executive compensation program is designed to attract, retain and motivate top-level talent who possess the skills and leadership necessary to grow our business and enable long-term value creation. The Board encourages our stockholders to read the disclosures set forth in the “Compensation Discussion and Analysis” section of this Proxy Statement to review the compensation actions taken in fiscal 2021. The Board believes that our executive compensation program effectively aligns executive pay with our performance and results in the attraction and retention of talented executives who are critical to our success.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Accordingly, the Board recommends that our stockholders vote “For” the following resolution:</w:t>
      </w:r>
    </w:p>
    <w:p>
      <w:pPr>
        <w:spacing w:after="0" w:line="228" w:lineRule="exact"/>
        <w:rPr>
          <w:sz w:val="20"/>
          <w:szCs w:val="20"/>
          <w:color w:val="auto"/>
        </w:rPr>
      </w:pPr>
    </w:p>
    <w:p>
      <w:pPr>
        <w:jc w:val="center"/>
        <w:ind w:left="1240" w:right="1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RESOLVED</w:t>
      </w:r>
      <w:r>
        <w:rPr>
          <w:rFonts w:ascii="Arial" w:cs="Arial" w:eastAsia="Arial" w:hAnsi="Arial"/>
          <w:sz w:val="16"/>
          <w:szCs w:val="16"/>
          <w:color w:val="auto"/>
        </w:rPr>
        <w:t>, that the compensation paid to the named executive officers, as disclosed in the proxy statement furnished for the 2022 Annual Meeting of Stockholders pursuant to Item 402 of Regulation S-K, including the Compensation Discussion and Analysis, compensation tables and related narrative discussion, is hereby APPROVED on an advisory basis.”</w:t>
      </w:r>
    </w:p>
    <w:p>
      <w:pPr>
        <w:spacing w:after="0" w:line="192" w:lineRule="exact"/>
        <w:rPr>
          <w:sz w:val="20"/>
          <w:szCs w:val="20"/>
          <w:color w:val="auto"/>
        </w:rPr>
      </w:pPr>
    </w:p>
    <w:p>
      <w:pPr>
        <w:ind w:left="660" w:right="40"/>
        <w:spacing w:after="0" w:line="284" w:lineRule="auto"/>
        <w:rPr>
          <w:sz w:val="20"/>
          <w:szCs w:val="20"/>
          <w:color w:val="auto"/>
        </w:rPr>
      </w:pPr>
      <w:r>
        <w:rPr>
          <w:rFonts w:ascii="Arial" w:cs="Arial" w:eastAsia="Arial" w:hAnsi="Arial"/>
          <w:sz w:val="16"/>
          <w:szCs w:val="16"/>
          <w:color w:val="auto"/>
        </w:rPr>
        <w:t>Because the vote is advisory, it is not binding on management or the Board. Nevertheless, the views expressed by our stockholders, whether through this vote or otherwise, are important to management and the Board and, accordingly, the Compensation Committee and the Board intend to consider the results of this vote in making determinations in the future regarding executive compensation arrangements. Your vote will serve as an additional tool to guide the Compensation Committee and the Board in continuing to improve the alignment of our executive compensation program with business objectives and performance and with the interests of our stockholders.</w:t>
      </w:r>
    </w:p>
    <w:p>
      <w:pPr>
        <w:sectPr>
          <w:pgSz w:w="11900" w:h="16838" w:orient="portrait"/>
          <w:cols w:equalWidth="0" w:num="1">
            <w:col w:w="10040"/>
          </w:cols>
          <w:pgMar w:left="580" w:top="131"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spacing w:after="0"/>
        <w:tabs>
          <w:tab w:leader="none" w:pos="9880" w:val="left"/>
        </w:tabs>
        <w:rPr>
          <w:sz w:val="20"/>
          <w:szCs w:val="20"/>
          <w:color w:val="auto"/>
        </w:rPr>
      </w:pPr>
      <w:r>
        <w:rPr>
          <w:rFonts w:ascii="Arial" w:cs="Arial" w:eastAsia="Arial" w:hAnsi="Arial"/>
          <w:sz w:val="13"/>
          <w:szCs w:val="13"/>
          <w:color w:val="auto"/>
        </w:rPr>
        <w:t>2022 Proxy Statement</w:t>
      </w:r>
      <w:r>
        <w:rPr>
          <w:sz w:val="20"/>
          <w:szCs w:val="20"/>
          <w:color w:val="auto"/>
        </w:rPr>
        <w:tab/>
      </w:r>
      <w:r>
        <w:rPr>
          <w:rFonts w:ascii="Arial" w:cs="Arial" w:eastAsia="Arial" w:hAnsi="Arial"/>
          <w:sz w:val="12"/>
          <w:szCs w:val="12"/>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1" w:right="1279" w:bottom="1440" w:gutter="0" w:footer="0" w:header="0"/>
          <w:type w:val="continuous"/>
        </w:sectPr>
      </w:pPr>
    </w:p>
    <w:bookmarkStart w:id="36" w:name="page37"/>
    <w:bookmarkEnd w:id="36"/>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Vote Required</w:t>
      </w:r>
    </w:p>
    <w:p>
      <w:pPr>
        <w:spacing w:after="0" w:line="205" w:lineRule="exact"/>
        <w:rPr>
          <w:sz w:val="20"/>
          <w:szCs w:val="20"/>
          <w:color w:val="auto"/>
        </w:rPr>
      </w:pPr>
    </w:p>
    <w:p>
      <w:pPr>
        <w:ind w:left="660" w:right="100"/>
        <w:spacing w:after="0" w:line="288" w:lineRule="auto"/>
        <w:rPr>
          <w:sz w:val="20"/>
          <w:szCs w:val="20"/>
          <w:color w:val="auto"/>
        </w:rPr>
      </w:pPr>
      <w:r>
        <w:rPr>
          <w:rFonts w:ascii="Arial" w:cs="Arial" w:eastAsia="Arial" w:hAnsi="Arial"/>
          <w:sz w:val="16"/>
          <w:szCs w:val="16"/>
          <w:color w:val="auto"/>
        </w:rPr>
        <w:t>To be approved, a majority of the total votes cast on Proposal No. 3 must be voted “For” the approval, on an advisory basis, of the compensation of our named executive officers. Only votes “For” or “Against” will affect the outcome. Broker non-votes and abstentions will have no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495300</wp:posOffset>
            </wp:positionV>
            <wp:extent cx="5966460" cy="4540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646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1340" w:right="340"/>
        <w:spacing w:after="0" w:line="238" w:lineRule="auto"/>
        <w:rPr>
          <w:sz w:val="20"/>
          <w:szCs w:val="20"/>
          <w:color w:val="auto"/>
        </w:rPr>
      </w:pPr>
      <w:r>
        <w:rPr>
          <w:rFonts w:ascii="Arial" w:cs="Arial" w:eastAsia="Arial" w:hAnsi="Arial"/>
          <w:sz w:val="22"/>
          <w:szCs w:val="22"/>
          <w:color w:val="FEFEFE"/>
        </w:rPr>
        <w:t>The Board of Directors Recommends a Vote "For" Approval, on an Advisory Basis, of the Compensation of our Named Executive Officers.</w:t>
      </w:r>
    </w:p>
    <w:p>
      <w:pPr>
        <w:sectPr>
          <w:pgSz w:w="11900" w:h="16838" w:orient="portrait"/>
          <w:cols w:equalWidth="0" w:num="1">
            <w:col w:w="10040"/>
          </w:cols>
          <w:pgMar w:left="580" w:top="131"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2"/>
          <w:szCs w:val="12"/>
          <w:b w:val="1"/>
          <w:bCs w:val="1"/>
          <w:color w:val="auto"/>
        </w:rPr>
        <w:t>28</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110490</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1" w:right="1279" w:bottom="1440" w:gutter="0" w:footer="0" w:header="0"/>
          <w:type w:val="continuous"/>
        </w:sectPr>
      </w:pPr>
    </w:p>
    <w:bookmarkStart w:id="37" w:name="page38"/>
    <w:bookmarkEnd w:id="37"/>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-96520</wp:posOffset>
            </wp:positionV>
            <wp:extent cx="6489065" cy="254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8906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60"/>
        <w:spacing w:after="0"/>
        <w:rPr>
          <w:sz w:val="20"/>
          <w:szCs w:val="20"/>
          <w:color w:val="auto"/>
        </w:rPr>
      </w:pPr>
      <w:r>
        <w:rPr>
          <w:rFonts w:ascii="Arial" w:cs="Arial" w:eastAsia="Arial" w:hAnsi="Arial"/>
          <w:sz w:val="27"/>
          <w:szCs w:val="27"/>
          <w:b w:val="1"/>
          <w:bCs w:val="1"/>
          <w:color w:val="auto"/>
        </w:rPr>
        <w:t>Proposal No. 4</w:t>
      </w:r>
    </w:p>
    <w:p>
      <w:pPr>
        <w:spacing w:after="0" w:line="40" w:lineRule="exact"/>
        <w:rPr>
          <w:sz w:val="20"/>
          <w:szCs w:val="20"/>
          <w:color w:val="auto"/>
        </w:rPr>
      </w:pPr>
    </w:p>
    <w:p>
      <w:pPr>
        <w:ind w:left="660" w:right="220"/>
        <w:spacing w:after="0" w:line="234" w:lineRule="auto"/>
        <w:rPr>
          <w:sz w:val="20"/>
          <w:szCs w:val="20"/>
          <w:color w:val="auto"/>
        </w:rPr>
      </w:pPr>
      <w:r>
        <w:rPr>
          <w:rFonts w:ascii="Arial" w:cs="Arial" w:eastAsia="Arial" w:hAnsi="Arial"/>
          <w:sz w:val="36"/>
          <w:szCs w:val="36"/>
          <w:b w:val="1"/>
          <w:bCs w:val="1"/>
          <w:color w:val="auto"/>
        </w:rPr>
        <w:t>Approval, on an Advisory Basis, of the Frequency of Future Stockholder Advisory Votes on the Compensation of Our Named Executive Officers</w:t>
      </w:r>
    </w:p>
    <w:p>
      <w:pPr>
        <w:spacing w:after="0" w:line="358" w:lineRule="exact"/>
        <w:rPr>
          <w:sz w:val="20"/>
          <w:szCs w:val="20"/>
          <w:color w:val="auto"/>
        </w:rPr>
      </w:pPr>
    </w:p>
    <w:p>
      <w:pPr>
        <w:ind w:left="660" w:right="160"/>
        <w:spacing w:after="0" w:line="286" w:lineRule="auto"/>
        <w:rPr>
          <w:sz w:val="20"/>
          <w:szCs w:val="20"/>
          <w:color w:val="auto"/>
        </w:rPr>
      </w:pPr>
      <w:r>
        <w:rPr>
          <w:rFonts w:ascii="Arial" w:cs="Arial" w:eastAsia="Arial" w:hAnsi="Arial"/>
          <w:sz w:val="16"/>
          <w:szCs w:val="16"/>
          <w:color w:val="auto"/>
        </w:rPr>
        <w:t>We are also asking our stockholders to indicate their preference regarding how frequently we should solicit future non-binding stockholder advisory votes on the compensation of our named executive officers. We are asking stockholders to indicate whether they would prefer an advisory vote every one year, every two years or every three years. Alternatively, stockholders may abstain from casting a vote. The advisory vote under this Proposal No. 4 is required pursuant to Section 14A of the Exchange Act.</w:t>
      </w:r>
    </w:p>
    <w:p>
      <w:pPr>
        <w:spacing w:after="0" w:line="203" w:lineRule="exact"/>
        <w:rPr>
          <w:sz w:val="20"/>
          <w:szCs w:val="20"/>
          <w:color w:val="auto"/>
        </w:rPr>
      </w:pPr>
    </w:p>
    <w:p>
      <w:pPr>
        <w:ind w:left="660" w:right="20"/>
        <w:spacing w:after="0" w:line="285" w:lineRule="auto"/>
        <w:rPr>
          <w:sz w:val="20"/>
          <w:szCs w:val="20"/>
          <w:color w:val="auto"/>
        </w:rPr>
      </w:pPr>
      <w:r>
        <w:rPr>
          <w:rFonts w:ascii="Arial" w:cs="Arial" w:eastAsia="Arial" w:hAnsi="Arial"/>
          <w:sz w:val="16"/>
          <w:szCs w:val="16"/>
          <w:color w:val="auto"/>
        </w:rPr>
        <w:t>Our Board believes that a stockholder advisory vote on the compensation of our named executive officers should take place on an annual basis. The Board and the Compensation Committee evaluate executive compensation policies on an annual basis, and an annual vote would provide more direct stockholder input on the Board and the Compensation Committee’s decision making. If such vote takes place less frequently, the Compensation Committee may not be able to effectively address concerns and feedback from stockholders in a timely manner and may not allow us to fully understand which policies are most supported by our stockholders.</w:t>
      </w:r>
    </w:p>
    <w:p>
      <w:pPr>
        <w:spacing w:after="0" w:line="204" w:lineRule="exact"/>
        <w:rPr>
          <w:sz w:val="20"/>
          <w:szCs w:val="20"/>
          <w:color w:val="auto"/>
        </w:rPr>
      </w:pPr>
    </w:p>
    <w:p>
      <w:pPr>
        <w:ind w:left="660"/>
        <w:spacing w:after="0" w:line="285" w:lineRule="auto"/>
        <w:rPr>
          <w:sz w:val="20"/>
          <w:szCs w:val="20"/>
          <w:color w:val="auto"/>
        </w:rPr>
      </w:pPr>
      <w:r>
        <w:rPr>
          <w:rFonts w:ascii="Arial" w:cs="Arial" w:eastAsia="Arial" w:hAnsi="Arial"/>
          <w:sz w:val="16"/>
          <w:szCs w:val="16"/>
          <w:color w:val="auto"/>
        </w:rPr>
        <w:t>Our Board and our Compensation Committee value the opinions of our stockholders in this matter. However, because this is an advisory vote and therefore not binding on our Board, the Compensation Committee or Lucid, the Board may in the future decide to conduct advisory votes on the compensation of our named executive officers on a more frequent basis and may vary its practice based on factors such as discussions with stockholders and the adoption of material changes to our executive compensation program. The results of the vote will not be construed to create or imply any change or addition to the fiduciary duties of our Board.</w:t>
      </w:r>
    </w:p>
    <w:p>
      <w:pPr>
        <w:spacing w:after="0" w:line="204" w:lineRule="exact"/>
        <w:rPr>
          <w:sz w:val="20"/>
          <w:szCs w:val="20"/>
          <w:color w:val="auto"/>
        </w:rPr>
      </w:pPr>
    </w:p>
    <w:p>
      <w:pPr>
        <w:ind w:left="660" w:right="580"/>
        <w:spacing w:after="0" w:line="295" w:lineRule="auto"/>
        <w:rPr>
          <w:sz w:val="20"/>
          <w:szCs w:val="20"/>
          <w:color w:val="auto"/>
        </w:rPr>
      </w:pPr>
      <w:r>
        <w:rPr>
          <w:rFonts w:ascii="Arial" w:cs="Arial" w:eastAsia="Arial" w:hAnsi="Arial"/>
          <w:sz w:val="16"/>
          <w:szCs w:val="16"/>
          <w:color w:val="auto"/>
        </w:rPr>
        <w:t>Following the Annual Meeting, we expect to hold our next advisory vote on the frequency of say-on-pay votes at our annual meeting in 2028.</w:t>
      </w:r>
    </w:p>
    <w:p>
      <w:pPr>
        <w:sectPr>
          <w:pgSz w:w="11900" w:h="16838" w:orient="portrait"/>
          <w:cols w:equalWidth="0" w:num="1">
            <w:col w:w="10040"/>
          </w:cols>
          <w:pgMar w:left="580" w:top="131"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60"/>
        <w:spacing w:after="0"/>
        <w:tabs>
          <w:tab w:leader="none" w:pos="9880" w:val="left"/>
        </w:tabs>
        <w:rPr>
          <w:sz w:val="20"/>
          <w:szCs w:val="20"/>
          <w:color w:val="auto"/>
        </w:rPr>
      </w:pPr>
      <w:r>
        <w:rPr>
          <w:rFonts w:ascii="Arial" w:cs="Arial" w:eastAsia="Arial" w:hAnsi="Arial"/>
          <w:sz w:val="13"/>
          <w:szCs w:val="13"/>
          <w:color w:val="auto"/>
        </w:rPr>
        <w:t>2022 Proxy Statement</w:t>
      </w:r>
      <w:r>
        <w:rPr>
          <w:sz w:val="20"/>
          <w:szCs w:val="20"/>
          <w:color w:val="auto"/>
        </w:rPr>
        <w:tab/>
      </w:r>
      <w:r>
        <w:rPr>
          <w:rFonts w:ascii="Arial" w:cs="Arial" w:eastAsia="Arial" w:hAnsi="Arial"/>
          <w:sz w:val="12"/>
          <w:szCs w:val="12"/>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1" w:right="1279"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Vote Required</w:t>
      </w:r>
    </w:p>
    <w:p>
      <w:pPr>
        <w:spacing w:after="0" w:line="205" w:lineRule="exact"/>
        <w:rPr>
          <w:sz w:val="20"/>
          <w:szCs w:val="20"/>
          <w:color w:val="auto"/>
        </w:rPr>
      </w:pPr>
    </w:p>
    <w:p>
      <w:pPr>
        <w:ind w:left="660" w:right="80"/>
        <w:spacing w:after="0" w:line="295" w:lineRule="auto"/>
        <w:rPr>
          <w:sz w:val="20"/>
          <w:szCs w:val="20"/>
          <w:color w:val="auto"/>
        </w:rPr>
      </w:pPr>
      <w:r>
        <w:rPr>
          <w:rFonts w:ascii="Arial" w:cs="Arial" w:eastAsia="Arial" w:hAnsi="Arial"/>
          <w:sz w:val="16"/>
          <w:szCs w:val="16"/>
          <w:color w:val="auto"/>
        </w:rPr>
        <w:t>The alternative among “One Year,” “Two Years,” or “Three Years” that receives the highest number of votes cast will be deemed to be the frequency preferred by our stockholders. Broker non-votes and abstentions will have no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491490</wp:posOffset>
            </wp:positionV>
            <wp:extent cx="5966460" cy="6172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646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1320" w:right="100"/>
        <w:spacing w:after="0" w:line="235" w:lineRule="auto"/>
        <w:rPr>
          <w:sz w:val="20"/>
          <w:szCs w:val="20"/>
          <w:color w:val="auto"/>
        </w:rPr>
      </w:pPr>
      <w:r>
        <w:rPr>
          <w:rFonts w:ascii="Arial" w:cs="Arial" w:eastAsia="Arial" w:hAnsi="Arial"/>
          <w:sz w:val="22"/>
          <w:szCs w:val="22"/>
          <w:color w:val="FEFEFE"/>
        </w:rPr>
        <w:t>The Board of Directors Recommends a Vote For Approval of, on an Advisory Basis, of "One Year" as the Frequency of Future Stockholder Advisory Votes to Approve the Compensation of our Named Executive Officers.</w:t>
      </w:r>
    </w:p>
    <w:p>
      <w:pPr>
        <w:sectPr>
          <w:pgSz w:w="11900" w:h="16838" w:orient="portrait"/>
          <w:cols w:equalWidth="0" w:num="1">
            <w:col w:w="10040"/>
          </w:cols>
          <w:pgMar w:left="580" w:top="132"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2"/>
          <w:szCs w:val="12"/>
          <w:b w:val="1"/>
          <w:bCs w:val="1"/>
          <w:color w:val="auto"/>
        </w:rPr>
        <w:t>30</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110490</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type w:val="continuous"/>
        </w:sectPr>
      </w:pPr>
    </w:p>
    <w:bookmarkStart w:id="39" w:name="page40"/>
    <w:bookmarkEnd w:id="39"/>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-96520</wp:posOffset>
            </wp:positionV>
            <wp:extent cx="6489065" cy="254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48906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60"/>
        <w:spacing w:after="0"/>
        <w:rPr>
          <w:sz w:val="20"/>
          <w:szCs w:val="20"/>
          <w:color w:val="auto"/>
        </w:rPr>
      </w:pPr>
      <w:r>
        <w:rPr>
          <w:rFonts w:ascii="Arial" w:cs="Arial" w:eastAsia="Arial" w:hAnsi="Arial"/>
          <w:sz w:val="27"/>
          <w:szCs w:val="27"/>
          <w:b w:val="1"/>
          <w:bCs w:val="1"/>
          <w:color w:val="auto"/>
        </w:rPr>
        <w:t>Proposal No. 5</w:t>
      </w:r>
    </w:p>
    <w:p>
      <w:pPr>
        <w:spacing w:after="0" w:line="31" w:lineRule="exact"/>
        <w:rPr>
          <w:sz w:val="20"/>
          <w:szCs w:val="20"/>
          <w:color w:val="auto"/>
        </w:rPr>
      </w:pPr>
    </w:p>
    <w:p>
      <w:pPr>
        <w:ind w:left="660" w:right="1040"/>
        <w:spacing w:after="0" w:line="233" w:lineRule="auto"/>
        <w:rPr>
          <w:sz w:val="20"/>
          <w:szCs w:val="20"/>
          <w:color w:val="auto"/>
        </w:rPr>
      </w:pPr>
      <w:r>
        <w:rPr>
          <w:rFonts w:ascii="Arial" w:cs="Arial" w:eastAsia="Arial" w:hAnsi="Arial"/>
          <w:sz w:val="36"/>
          <w:szCs w:val="36"/>
          <w:b w:val="1"/>
          <w:bCs w:val="1"/>
          <w:color w:val="auto"/>
        </w:rPr>
        <w:t>Approval of the Amendment of the Lucid Group, Inc. 2021 Stock Incentive Plan</w:t>
      </w:r>
    </w:p>
    <w:p>
      <w:pPr>
        <w:spacing w:after="0" w:line="329" w:lineRule="exact"/>
        <w:rPr>
          <w:sz w:val="20"/>
          <w:szCs w:val="20"/>
          <w:color w:val="auto"/>
        </w:rPr>
      </w:pPr>
    </w:p>
    <w:p>
      <w:pPr>
        <w:ind w:left="660" w:right="760"/>
        <w:spacing w:after="0" w:line="251" w:lineRule="auto"/>
        <w:rPr>
          <w:sz w:val="20"/>
          <w:szCs w:val="20"/>
          <w:color w:val="auto"/>
        </w:rPr>
      </w:pPr>
      <w:r>
        <w:rPr>
          <w:rFonts w:ascii="Arial" w:cs="Arial" w:eastAsia="Arial" w:hAnsi="Arial"/>
          <w:sz w:val="16"/>
          <w:szCs w:val="16"/>
          <w:color w:val="auto"/>
        </w:rPr>
        <w:t>We are asking our stockholders to approve the Lucid Group, Inc. Amended and Restated 2021 Stock Incentive Plan (the “Amended Plan”). The Amended Plan is an amendment and restatement of the Lucid Group, Inc. 2021 Stock Incentive Plan (the “Plan”), which was approved by the Board on February 22, 2021, and approved by our stockholders on July 22, 2021 and became effective on July 23, 2021 (the “Effective Date”).</w:t>
      </w:r>
    </w:p>
    <w:p>
      <w:pPr>
        <w:spacing w:after="0" w:line="202" w:lineRule="exact"/>
        <w:rPr>
          <w:sz w:val="20"/>
          <w:szCs w:val="20"/>
          <w:color w:val="auto"/>
        </w:rPr>
      </w:pPr>
    </w:p>
    <w:p>
      <w:pPr>
        <w:ind w:left="660" w:right="720"/>
        <w:spacing w:after="0" w:line="251" w:lineRule="auto"/>
        <w:rPr>
          <w:sz w:val="20"/>
          <w:szCs w:val="20"/>
          <w:color w:val="auto"/>
        </w:rPr>
      </w:pPr>
      <w:r>
        <w:rPr>
          <w:rFonts w:ascii="Arial" w:cs="Arial" w:eastAsia="Arial" w:hAnsi="Arial"/>
          <w:sz w:val="16"/>
          <w:szCs w:val="16"/>
          <w:color w:val="auto"/>
        </w:rPr>
        <w:t>The Amended Plan would increase the maximum aggregate number of shares authorized for issuance pursuant to awards under the Plan by 15,000,000 shares. The proposed amendment is intended to enhance flexibility to continue to grant equity to our employees. Competitive equity awards are critical in allowing us to attract, retain, and motivate talented and qualified employees in the highly competitive markets in which we operate.</w:t>
      </w:r>
    </w:p>
    <w:p>
      <w:pPr>
        <w:spacing w:after="0" w:line="202" w:lineRule="exact"/>
        <w:rPr>
          <w:sz w:val="20"/>
          <w:szCs w:val="20"/>
          <w:color w:val="auto"/>
        </w:rPr>
      </w:pPr>
    </w:p>
    <w:p>
      <w:pPr>
        <w:ind w:left="660" w:right="680"/>
        <w:spacing w:after="0" w:line="251" w:lineRule="auto"/>
        <w:rPr>
          <w:sz w:val="20"/>
          <w:szCs w:val="20"/>
          <w:color w:val="auto"/>
        </w:rPr>
      </w:pPr>
      <w:r>
        <w:rPr>
          <w:rFonts w:ascii="Arial" w:cs="Arial" w:eastAsia="Arial" w:hAnsi="Arial"/>
          <w:sz w:val="16"/>
          <w:szCs w:val="16"/>
          <w:color w:val="auto"/>
        </w:rPr>
        <w:t>The shares reserved for issuance through the Amended Plan and the original Plan cover our annual equity program awards as well as share purchased under our Employee Stock Purchase Plan, which is included as an addendum to the Amended Plan and the original Plan (the “ESPP Addendum”). We do not have a separate number of shares authorized for issuances pursuant to a standalone Employee Stock Purchase Plan.</w:t>
      </w:r>
    </w:p>
    <w:p>
      <w:pPr>
        <w:spacing w:after="0" w:line="202" w:lineRule="exact"/>
        <w:rPr>
          <w:sz w:val="20"/>
          <w:szCs w:val="20"/>
          <w:color w:val="auto"/>
        </w:rPr>
      </w:pPr>
    </w:p>
    <w:p>
      <w:pPr>
        <w:ind w:left="660" w:right="760"/>
        <w:spacing w:after="0" w:line="249" w:lineRule="auto"/>
        <w:rPr>
          <w:sz w:val="20"/>
          <w:szCs w:val="20"/>
          <w:color w:val="auto"/>
        </w:rPr>
      </w:pPr>
      <w:r>
        <w:rPr>
          <w:rFonts w:ascii="Arial" w:cs="Arial" w:eastAsia="Arial" w:hAnsi="Arial"/>
          <w:sz w:val="16"/>
          <w:szCs w:val="16"/>
          <w:color w:val="auto"/>
        </w:rPr>
        <w:t>On April 27, 2022, the Board approved the Amended Plan, subject to the approval of our stockholders. If this Proposal No. 5 is not approved by our stockholders, we will continue to operate the Plan pursuant to its current provisions until there are no longer shares remaining available for issuance under the Plan and the Board will need to consider alternative arrangements to delivering competitive long-term compensation, including potentially cash-based awards in the absence of equity award availability. If we are unable to grant equity awards, our ability to hire and retain necessary talent will be significantly limited and have a negative impact on our ability to grow our business.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Reason for the Proposal</w:t>
      </w:r>
    </w:p>
    <w:p>
      <w:pPr>
        <w:spacing w:after="0" w:line="192" w:lineRule="exact"/>
        <w:rPr>
          <w:sz w:val="20"/>
          <w:szCs w:val="20"/>
          <w:color w:val="auto"/>
        </w:rPr>
      </w:pPr>
    </w:p>
    <w:p>
      <w:pPr>
        <w:ind w:left="660" w:right="680"/>
        <w:spacing w:after="0" w:line="266" w:lineRule="auto"/>
        <w:rPr>
          <w:sz w:val="20"/>
          <w:szCs w:val="20"/>
          <w:color w:val="auto"/>
        </w:rPr>
      </w:pPr>
      <w:r>
        <w:rPr>
          <w:rFonts w:ascii="Arial" w:cs="Arial" w:eastAsia="Arial" w:hAnsi="Arial"/>
          <w:sz w:val="16"/>
          <w:szCs w:val="16"/>
          <w:color w:val="auto"/>
        </w:rPr>
        <w:t>Our number of employees and other service providers has grown substantially since we became a public company and competition for highly skilled personnel is frequently intense, especially in the San Francisco Bay Area, where we have a substantial presence and need for highly skilled personnel. Our use of equity compensation and the alignment with stockholders it provides has helped us achieve the success, growth, and value creation experience by us and our stockholders. The Board believes that an increase in the shares available for issuance under the Plan will enable us to attract and retain the best available talent to grow our business, and to ensure a sufficient number of shares will be available moving forward.</w:t>
      </w:r>
    </w:p>
    <w:p>
      <w:pPr>
        <w:spacing w:after="0" w:line="207" w:lineRule="exact"/>
        <w:rPr>
          <w:sz w:val="20"/>
          <w:szCs w:val="20"/>
          <w:color w:val="auto"/>
        </w:rPr>
      </w:pPr>
    </w:p>
    <w:p>
      <w:pPr>
        <w:ind w:left="660" w:right="780"/>
        <w:spacing w:after="0" w:line="271" w:lineRule="auto"/>
        <w:rPr>
          <w:sz w:val="20"/>
          <w:szCs w:val="20"/>
          <w:color w:val="auto"/>
        </w:rPr>
      </w:pPr>
      <w:r>
        <w:rPr>
          <w:rFonts w:ascii="Arial" w:cs="Arial" w:eastAsia="Arial" w:hAnsi="Arial"/>
          <w:sz w:val="16"/>
          <w:szCs w:val="16"/>
          <w:color w:val="auto"/>
        </w:rPr>
        <w:t>As noted above, if this Proposal No. 5 is not approved by our stockholders, the Amended Plan will not become effective, and we will continue to operate the Plan pursuant to its current provisions until there are no shares remaining available for issuance under the Plan.</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900" w:type="dxa"/>
            <w:vAlign w:val="bottom"/>
          </w:tcPr>
          <w:p>
            <w:pPr>
              <w:ind w:left="660"/>
              <w:spacing w:after="0"/>
              <w:rPr>
                <w:sz w:val="20"/>
                <w:szCs w:val="20"/>
                <w:color w:val="auto"/>
              </w:rPr>
            </w:pPr>
            <w:r>
              <w:rPr>
                <w:rFonts w:ascii="Arial" w:cs="Arial" w:eastAsia="Arial" w:hAnsi="Arial"/>
                <w:sz w:val="13"/>
                <w:szCs w:val="13"/>
                <w:color w:val="auto"/>
              </w:rPr>
              <w:t>2022 Proxy Statement</w:t>
            </w:r>
          </w:p>
        </w:tc>
        <w:tc>
          <w:tcPr>
            <w:tcW w:w="4820" w:type="dxa"/>
            <w:vAlign w:val="bottom"/>
          </w:tcPr>
          <w:p>
            <w:pPr>
              <w:jc w:val="right"/>
              <w:ind w:right="617"/>
              <w:spacing w:after="0"/>
              <w:rPr>
                <w:sz w:val="20"/>
                <w:szCs w:val="20"/>
                <w:color w:val="auto"/>
              </w:rPr>
            </w:pPr>
            <w:r>
              <w:rPr>
                <w:rFonts w:ascii="Arial" w:cs="Arial" w:eastAsia="Arial" w:hAnsi="Arial"/>
                <w:sz w:val="13"/>
                <w:szCs w:val="13"/>
                <w:b w:val="1"/>
                <w:bCs w:val="1"/>
                <w:color w:val="auto"/>
              </w:rPr>
              <w:t>31</w:t>
            </w:r>
          </w:p>
        </w:tc>
      </w:tr>
      <w:tr>
        <w:trPr>
          <w:trHeight w:val="172"/>
        </w:trPr>
        <w:tc>
          <w:tcPr>
            <w:tcW w:w="5900" w:type="dxa"/>
            <w:vAlign w:val="bottom"/>
            <w:tcBorders>
              <w:bottom w:val="single" w:sz="8" w:color="9A9A9A"/>
            </w:tcBorders>
          </w:tcPr>
          <w:p>
            <w:pPr>
              <w:spacing w:after="0"/>
              <w:rPr>
                <w:sz w:val="14"/>
                <w:szCs w:val="14"/>
                <w:color w:val="auto"/>
              </w:rPr>
            </w:pPr>
          </w:p>
        </w:tc>
        <w:tc>
          <w:tcPr>
            <w:tcW w:w="48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40" w:name="page41"/>
    <w:bookmarkEnd w:id="40"/>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60" w:right="100"/>
        <w:spacing w:after="0" w:line="271" w:lineRule="auto"/>
        <w:rPr>
          <w:sz w:val="20"/>
          <w:szCs w:val="20"/>
          <w:color w:val="auto"/>
        </w:rPr>
      </w:pPr>
      <w:r>
        <w:rPr>
          <w:rFonts w:ascii="Arial" w:cs="Arial" w:eastAsia="Arial" w:hAnsi="Arial"/>
          <w:sz w:val="16"/>
          <w:szCs w:val="16"/>
          <w:color w:val="auto"/>
        </w:rPr>
        <w:t>The purpose of the Plan, including as restated in the Amended Plan, is to enhance our ability to attract, retain, incent, reward, and motivate persons who make (or are expected to make) important contributions to the Lucid Group by providing these individuals with equity ownership and other incentive opportunities. The Plan includes the ESPP Addendum.</w:t>
      </w:r>
    </w:p>
    <w:p>
      <w:pPr>
        <w:spacing w:after="0" w:line="200" w:lineRule="exact"/>
        <w:rPr>
          <w:sz w:val="20"/>
          <w:szCs w:val="20"/>
          <w:color w:val="auto"/>
        </w:rPr>
      </w:pPr>
    </w:p>
    <w:p>
      <w:pPr>
        <w:ind w:left="660" w:right="160"/>
        <w:spacing w:after="0" w:line="267" w:lineRule="auto"/>
        <w:rPr>
          <w:sz w:val="20"/>
          <w:szCs w:val="20"/>
          <w:color w:val="auto"/>
        </w:rPr>
      </w:pPr>
      <w:r>
        <w:rPr>
          <w:rFonts w:ascii="Arial" w:cs="Arial" w:eastAsia="Arial" w:hAnsi="Arial"/>
          <w:sz w:val="16"/>
          <w:szCs w:val="16"/>
          <w:color w:val="auto"/>
        </w:rPr>
        <w:t>As of March 15, 2022, the number of persons eligible to participate in the Plan was approximately 4,600 employees, 110 consultants or independent contractors and eight non-employee directors. The basis for participation in the Amended Plan is the Compensation Committee’s decision, in its sole discretion, that an award to an eligible participant will further the Amended Plan’s purposes, as described above. In exercising its discretion, the Compensation Committee will consider the recommendations of management and the purposes of the Amended Plan.</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Description of the Material Features of the Amended Plan</w:t>
      </w:r>
    </w:p>
    <w:p>
      <w:pPr>
        <w:spacing w:after="0" w:line="192" w:lineRule="exact"/>
        <w:rPr>
          <w:sz w:val="20"/>
          <w:szCs w:val="20"/>
          <w:color w:val="auto"/>
        </w:rPr>
      </w:pPr>
    </w:p>
    <w:p>
      <w:pPr>
        <w:jc w:val="both"/>
        <w:ind w:left="660" w:right="380"/>
        <w:spacing w:after="0" w:line="271" w:lineRule="auto"/>
        <w:rPr>
          <w:sz w:val="20"/>
          <w:szCs w:val="20"/>
          <w:color w:val="auto"/>
        </w:rPr>
      </w:pPr>
      <w:r>
        <w:rPr>
          <w:rFonts w:ascii="Arial" w:cs="Arial" w:eastAsia="Arial" w:hAnsi="Arial"/>
          <w:sz w:val="16"/>
          <w:szCs w:val="16"/>
          <w:color w:val="auto"/>
        </w:rPr>
        <w:t xml:space="preserve">The following is a summary of the Amended Plan and is qualified in its entirety by the full text of the Amended Plan, a copy of which is included as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to this Proxy Statement. Except for the changes to the Plan as noted above (</w:t>
      </w:r>
      <w:r>
        <w:rPr>
          <w:rFonts w:ascii="Arial" w:cs="Arial" w:eastAsia="Arial" w:hAnsi="Arial"/>
          <w:sz w:val="16"/>
          <w:szCs w:val="16"/>
          <w:i w:val="1"/>
          <w:iCs w:val="1"/>
          <w:color w:val="auto"/>
        </w:rPr>
        <w:t>i.e.</w:t>
      </w:r>
      <w:r>
        <w:rPr>
          <w:rFonts w:ascii="Arial" w:cs="Arial" w:eastAsia="Arial" w:hAnsi="Arial"/>
          <w:sz w:val="16"/>
          <w:szCs w:val="16"/>
          <w:color w:val="auto"/>
        </w:rPr>
        <w:t>, the increase in shares available under the Plan), the Amended Plan contains substantially the same terms as the Plan.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Size of Share Pool; Shares Available and Limitations on Awards</w:t>
      </w:r>
    </w:p>
    <w:p>
      <w:pPr>
        <w:spacing w:after="0" w:line="192" w:lineRule="exact"/>
        <w:rPr>
          <w:sz w:val="20"/>
          <w:szCs w:val="20"/>
          <w:color w:val="auto"/>
        </w:rPr>
      </w:pPr>
    </w:p>
    <w:p>
      <w:pPr>
        <w:ind w:left="660" w:right="140"/>
        <w:spacing w:after="0" w:line="271" w:lineRule="auto"/>
        <w:rPr>
          <w:sz w:val="20"/>
          <w:szCs w:val="20"/>
          <w:color w:val="auto"/>
        </w:rPr>
      </w:pPr>
      <w:r>
        <w:rPr>
          <w:rFonts w:ascii="Arial" w:cs="Arial" w:eastAsia="Arial" w:hAnsi="Arial"/>
          <w:sz w:val="16"/>
          <w:szCs w:val="16"/>
          <w:color w:val="auto"/>
        </w:rPr>
        <w:t>As of March 15, 2022, there were 25,174,034 shares remaining for issuance under the Plan. If our stockholders approve the Amended Plan, the number of shares available for issuance will be increased by 15,000,000 shares effective as of the date of the Annual Meeting (the “Restatement Date”).</w:t>
      </w:r>
    </w:p>
    <w:p>
      <w:pPr>
        <w:spacing w:after="0" w:line="200" w:lineRule="exact"/>
        <w:rPr>
          <w:sz w:val="20"/>
          <w:szCs w:val="20"/>
          <w:color w:val="auto"/>
        </w:rPr>
      </w:pPr>
    </w:p>
    <w:p>
      <w:pPr>
        <w:ind w:left="660"/>
        <w:spacing w:after="0" w:line="264" w:lineRule="auto"/>
        <w:rPr>
          <w:sz w:val="20"/>
          <w:szCs w:val="20"/>
          <w:color w:val="auto"/>
        </w:rPr>
      </w:pPr>
      <w:r>
        <w:rPr>
          <w:rFonts w:ascii="Arial" w:cs="Arial" w:eastAsia="Arial" w:hAnsi="Arial"/>
          <w:sz w:val="16"/>
          <w:szCs w:val="16"/>
          <w:color w:val="auto"/>
        </w:rPr>
        <w:t>More specifically, as of the Restatement Date (assuming our stockholders approve the Amended Plan), the maximum aggregate number of shares authorized for issuance as awards under the Amended Plan on or after the Effective Date shall not exceed the sum of (i) 36,502,669 Shares (consisting of (x) 15,000,000 shares approved by the Board on April 27, 2022, (y) 12,500,000 shares initially authorized for issuance under Plan as of the Effective Date; and (z) an additional 9,002,669 shares initially authorized under the Plan as of the Effective Date which represents the number of shares equal to the number of unallocated shares of stock of Atieva, Inc. remaining available for issuance under the 2021 Stock Incentive Plan, as amended, the 2014 Share Plan of Atieva, Inc., as amended and the 2009 Share Plan of Atieva, Inc. as amended (collectively, the “Prior Plans”) as of the Effective Date), plus</w:t>
      </w:r>
    </w:p>
    <w:p>
      <w:pPr>
        <w:spacing w:after="0" w:line="1" w:lineRule="exact"/>
        <w:rPr>
          <w:sz w:val="20"/>
          <w:szCs w:val="20"/>
          <w:color w:val="auto"/>
        </w:rPr>
      </w:pPr>
    </w:p>
    <w:p>
      <w:pPr>
        <w:ind w:left="660" w:right="140" w:hanging="6"/>
        <w:spacing w:after="0" w:line="266" w:lineRule="auto"/>
        <w:tabs>
          <w:tab w:leader="none" w:pos="885"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shares subject to stock awards granted under the Prior Plans outstanding as of the Effective Date that (x) expire or terminate for any reason prior to exercise or settlement; (y) are forfeited, cancelled or otherwise returned to Lucid Group because of the failure to meet a contingency or condition required to vest such shares; or (z) are reacquired, withheld (or not issued) to satisfy a tax withholding obligation in connection with an award or to satisfy the purchase price or exercise price of a stock award. The number of shares available for issuance under the Plan as of March 15, 2022, as reflected in the preceding paragraph is inclusive of shares referenced in item (ii) immediately above (</w:t>
      </w:r>
      <w:r>
        <w:rPr>
          <w:rFonts w:ascii="Arial" w:cs="Arial" w:eastAsia="Arial" w:hAnsi="Arial"/>
          <w:sz w:val="16"/>
          <w:szCs w:val="16"/>
          <w:i w:val="1"/>
          <w:iCs w:val="1"/>
          <w:color w:val="auto"/>
        </w:rPr>
        <w:t>i.e.</w:t>
      </w:r>
      <w:r>
        <w:rPr>
          <w:rFonts w:ascii="Arial" w:cs="Arial" w:eastAsia="Arial" w:hAnsi="Arial"/>
          <w:sz w:val="16"/>
          <w:szCs w:val="16"/>
          <w:color w:val="auto"/>
        </w:rPr>
        <w:t>, shares subject to stock awards granted under Prior Plans that became available for issuance under the Plan from the Effective Date to March 15, 2022).</w:t>
      </w:r>
    </w:p>
    <w:p>
      <w:pPr>
        <w:spacing w:after="0" w:line="206" w:lineRule="exact"/>
        <w:rPr>
          <w:sz w:val="20"/>
          <w:szCs w:val="20"/>
          <w:color w:val="auto"/>
        </w:rPr>
      </w:pPr>
    </w:p>
    <w:p>
      <w:pPr>
        <w:ind w:left="660" w:right="80"/>
        <w:spacing w:after="0" w:line="265" w:lineRule="auto"/>
        <w:rPr>
          <w:sz w:val="20"/>
          <w:szCs w:val="20"/>
          <w:color w:val="auto"/>
        </w:rPr>
      </w:pPr>
      <w:r>
        <w:rPr>
          <w:rFonts w:ascii="Arial" w:cs="Arial" w:eastAsia="Arial" w:hAnsi="Arial"/>
          <w:sz w:val="16"/>
          <w:szCs w:val="16"/>
          <w:color w:val="auto"/>
        </w:rPr>
        <w:t>In addition, (i) if restricted shares or shares issued upon the exercise of options are forfeited then such shares shall again become available for awards under the Amended Plan; (ii) if restricted stock units, options, SARs (as defined below) or stock purchase rights are forfeited or terminate for any reason before being exercised or settled, or an award is settled in cash without the delivery of shares to the holder then the corresponding shares shall again become available for awards under the Amended Plan; (iii) if restricted stock units or SARs are settled, then only the number of shares (if any) actually issued in settlement of such restricted stock units or SARs shall reduce the number of shares available under the Amended Plan and the balance (including any shares withheld to satisfy tax withholding obligations) shall again become available for awards under the Amended Plan; and (iv) any shares withheld to satisfy the exercise price or tax withholding obligation pursuant to any award of options or SARs shall be added back to the shares available for awards under the Amended Plan. The number of shares authorized for grant under the Amended Plan is subject to adjustment (as described below). Notwithstanding the foregoing, of the maximum aggregate shares issuable under the Amended Plan, up to 36,502,669 shares may be issued in the form of ISOs (as defined below), or under the ESPP Addendum.</w:t>
      </w:r>
    </w:p>
    <w:p>
      <w:pPr>
        <w:spacing w:after="0" w:line="208" w:lineRule="exact"/>
        <w:rPr>
          <w:sz w:val="20"/>
          <w:szCs w:val="20"/>
          <w:color w:val="auto"/>
        </w:rPr>
      </w:pPr>
    </w:p>
    <w:p>
      <w:pPr>
        <w:ind w:left="660" w:right="120"/>
        <w:spacing w:after="0" w:line="268" w:lineRule="auto"/>
        <w:rPr>
          <w:sz w:val="20"/>
          <w:szCs w:val="20"/>
          <w:color w:val="auto"/>
        </w:rPr>
      </w:pPr>
      <w:r>
        <w:rPr>
          <w:rFonts w:ascii="Arial" w:cs="Arial" w:eastAsia="Arial" w:hAnsi="Arial"/>
          <w:sz w:val="16"/>
          <w:szCs w:val="16"/>
          <w:color w:val="auto"/>
        </w:rPr>
        <w:t>The maximum number of shares subject to awards granted under the Amended Plan during any calendar year to any outside director (defined as a member of the Board who is not an employee or consultant of Lucid Group), plus any cash fees paid to the outside director in a calendar year for service on the Board, will not exceed $1 million in total value for the first year of service and $750,000 in total value per year thereafter.</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Administration of the Amended Plan</w:t>
      </w:r>
    </w:p>
    <w:p>
      <w:pPr>
        <w:spacing w:after="0" w:line="192" w:lineRule="exact"/>
        <w:rPr>
          <w:sz w:val="20"/>
          <w:szCs w:val="20"/>
          <w:color w:val="auto"/>
        </w:rPr>
      </w:pPr>
    </w:p>
    <w:p>
      <w:pPr>
        <w:jc w:val="both"/>
        <w:ind w:left="660" w:right="420"/>
        <w:spacing w:after="0" w:line="271" w:lineRule="auto"/>
        <w:rPr>
          <w:sz w:val="20"/>
          <w:szCs w:val="20"/>
          <w:color w:val="auto"/>
        </w:rPr>
      </w:pPr>
      <w:r>
        <w:rPr>
          <w:rFonts w:ascii="Arial" w:cs="Arial" w:eastAsia="Arial" w:hAnsi="Arial"/>
          <w:sz w:val="16"/>
          <w:szCs w:val="16"/>
          <w:color w:val="auto"/>
        </w:rPr>
        <w:t>The Amended Plan will be administered by the Compensation Committee or other committee (of two or more of our directors) appointed by the Board, or by the Board acting as the committee. The Compensation Committee generally has the authority, among</w:t>
      </w:r>
    </w:p>
    <w:p>
      <w:pPr>
        <w:sectPr>
          <w:pgSz w:w="11900" w:h="16838" w:orient="portrait"/>
          <w:cols w:equalWidth="0" w:num="1">
            <w:col w:w="10040"/>
          </w:cols>
          <w:pgMar w:left="580" w:top="132" w:right="1279" w:bottom="1440" w:gutter="0" w:footer="0" w:header="0"/>
        </w:sectPr>
      </w:pPr>
    </w:p>
    <w:p>
      <w:pPr>
        <w:spacing w:after="0" w:line="379"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2"/>
          <w:szCs w:val="12"/>
          <w:b w:val="1"/>
          <w:bCs w:val="1"/>
          <w:color w:val="auto"/>
        </w:rPr>
        <w:t>32</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110490</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type w:val="continuous"/>
        </w:sectPr>
      </w:pPr>
    </w:p>
    <w:bookmarkStart w:id="41" w:name="page42"/>
    <w:bookmarkEnd w:id="41"/>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60" w:right="880"/>
        <w:spacing w:after="0" w:line="268" w:lineRule="auto"/>
        <w:rPr>
          <w:sz w:val="20"/>
          <w:szCs w:val="20"/>
          <w:color w:val="auto"/>
        </w:rPr>
      </w:pPr>
      <w:r>
        <w:rPr>
          <w:rFonts w:ascii="Arial" w:cs="Arial" w:eastAsia="Arial" w:hAnsi="Arial"/>
          <w:sz w:val="16"/>
          <w:szCs w:val="16"/>
          <w:color w:val="auto"/>
        </w:rPr>
        <w:t>other things, to interpret the Amended Plan, adopt rules relating to the Amended Plan, adopt, amend or terminate the ESPP Addendum or any sub-plan, determine participants and awards to be granted under the Amended Plan, prescribe the terms and conditions of awards, administer the ESPP Addendum, or take any other actions necessary or advisable for the administration of the Amended Plan.</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Types of Awards</w:t>
      </w:r>
    </w:p>
    <w:p>
      <w:pPr>
        <w:spacing w:after="0" w:line="192" w:lineRule="exact"/>
        <w:rPr>
          <w:sz w:val="20"/>
          <w:szCs w:val="20"/>
          <w:color w:val="auto"/>
        </w:rPr>
      </w:pPr>
    </w:p>
    <w:p>
      <w:pPr>
        <w:ind w:left="660" w:right="680"/>
        <w:spacing w:after="0" w:line="267" w:lineRule="auto"/>
        <w:rPr>
          <w:sz w:val="20"/>
          <w:szCs w:val="20"/>
          <w:color w:val="auto"/>
        </w:rPr>
      </w:pPr>
      <w:r>
        <w:rPr>
          <w:rFonts w:ascii="Arial" w:cs="Arial" w:eastAsia="Arial" w:hAnsi="Arial"/>
          <w:sz w:val="16"/>
          <w:szCs w:val="16"/>
          <w:color w:val="auto"/>
        </w:rPr>
        <w:t>The following types of awards may be made under the Amended Plan. All of the awards described below are subject to the conditions, limitations, restrictions, exercise price, vesting and forfeiture provisions determined by the Compensation Committee, in its sole discretion, subject to such limitations as are provided in the Amended Plan. In addition, subject to the limitations provided in the Amended Plan and in accordance with applicable law, the Compensation Committee may accelerate or defer the vesting or payment of awards, cancel or modify outstanding awards, and waive any conditions or restrictions imposed with respect to awards.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Restricted Shares</w:t>
      </w:r>
    </w:p>
    <w:p>
      <w:pPr>
        <w:spacing w:after="0" w:line="190" w:lineRule="exact"/>
        <w:rPr>
          <w:sz w:val="20"/>
          <w:szCs w:val="20"/>
          <w:color w:val="auto"/>
        </w:rPr>
      </w:pPr>
    </w:p>
    <w:p>
      <w:pPr>
        <w:ind w:left="660" w:right="680"/>
        <w:spacing w:after="0" w:line="267" w:lineRule="auto"/>
        <w:rPr>
          <w:sz w:val="20"/>
          <w:szCs w:val="20"/>
          <w:color w:val="auto"/>
        </w:rPr>
      </w:pPr>
      <w:r>
        <w:rPr>
          <w:rFonts w:ascii="Arial" w:cs="Arial" w:eastAsia="Arial" w:hAnsi="Arial"/>
          <w:sz w:val="16"/>
          <w:szCs w:val="16"/>
          <w:color w:val="auto"/>
        </w:rPr>
        <w:t>A restricted share award is an award of outstanding shares that does not vest until after a specified period of time, or satisfaction of other vesting conditions as determined by the Compensation Committee, and which may be forfeited if conditions to vesting are not met. At the Compensation Committee’s discretion, participants may be credited with dividends and other distributions that will be paid to the holder only when unvested restricted shares vest. Participants are also generally entitled to the same voting rights as our other stockholders.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Non-qualified Stock Options</w:t>
      </w:r>
    </w:p>
    <w:p>
      <w:pPr>
        <w:spacing w:after="0" w:line="190" w:lineRule="exact"/>
        <w:rPr>
          <w:sz w:val="20"/>
          <w:szCs w:val="20"/>
          <w:color w:val="auto"/>
        </w:rPr>
      </w:pPr>
    </w:p>
    <w:p>
      <w:pPr>
        <w:jc w:val="both"/>
        <w:ind w:left="660" w:right="920"/>
        <w:spacing w:after="0" w:line="271" w:lineRule="auto"/>
        <w:rPr>
          <w:sz w:val="20"/>
          <w:szCs w:val="20"/>
          <w:color w:val="auto"/>
        </w:rPr>
      </w:pPr>
      <w:r>
        <w:rPr>
          <w:rFonts w:ascii="Arial" w:cs="Arial" w:eastAsia="Arial" w:hAnsi="Arial"/>
          <w:sz w:val="16"/>
          <w:szCs w:val="16"/>
          <w:color w:val="auto"/>
        </w:rPr>
        <w:t>An award of a non-qualified stock option grants a participant the right to purchase a certain number of shares during a specified term in the future, after a vesting period, at an exercise price equal to at least 100% of the fair market value of our shares on the grant date.</w:t>
      </w:r>
    </w:p>
    <w:p>
      <w:pPr>
        <w:spacing w:after="0" w:line="200" w:lineRule="exact"/>
        <w:rPr>
          <w:sz w:val="20"/>
          <w:szCs w:val="20"/>
          <w:color w:val="auto"/>
        </w:rPr>
      </w:pPr>
    </w:p>
    <w:p>
      <w:pPr>
        <w:jc w:val="both"/>
        <w:ind w:left="660" w:right="720"/>
        <w:spacing w:after="0" w:line="267" w:lineRule="auto"/>
        <w:rPr>
          <w:sz w:val="20"/>
          <w:szCs w:val="20"/>
          <w:color w:val="auto"/>
        </w:rPr>
      </w:pPr>
      <w:r>
        <w:rPr>
          <w:rFonts w:ascii="Arial" w:cs="Arial" w:eastAsia="Arial" w:hAnsi="Arial"/>
          <w:sz w:val="16"/>
          <w:szCs w:val="16"/>
          <w:color w:val="auto"/>
        </w:rPr>
        <w:t>The term of a non-qualified stock option may not exceed ten years from the date of grant. Lucid Group may (i) modify, extend, or renew outstanding stock options or accept the cancellation of options in return for the grant of new options or a different award or cash or (ii) offer to buy out for a payment in cash or cash equivalents a non-qualified stock option previously granted. Options may be awarded in combination with SARs, and the award may provide that options will not be exercisable unless the related SARs are forfeited.</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Incentive Stock Options</w:t>
      </w:r>
    </w:p>
    <w:p>
      <w:pPr>
        <w:spacing w:after="0" w:line="190" w:lineRule="exact"/>
        <w:rPr>
          <w:sz w:val="20"/>
          <w:szCs w:val="20"/>
          <w:color w:val="auto"/>
        </w:rPr>
      </w:pPr>
    </w:p>
    <w:p>
      <w:pPr>
        <w:ind w:left="660" w:right="680"/>
        <w:spacing w:after="0" w:line="267" w:lineRule="auto"/>
        <w:rPr>
          <w:sz w:val="20"/>
          <w:szCs w:val="20"/>
          <w:color w:val="auto"/>
        </w:rPr>
      </w:pPr>
      <w:r>
        <w:rPr>
          <w:rFonts w:ascii="Arial" w:cs="Arial" w:eastAsia="Arial" w:hAnsi="Arial"/>
          <w:sz w:val="16"/>
          <w:szCs w:val="16"/>
          <w:color w:val="auto"/>
        </w:rPr>
        <w:t>An incentive stock option (“ISO”) is a stock option that meets the requirements of Section 422 of the Internal Revenue Code of 1986, as amended (the “Code”), which include an exercise price of no less than 100% of fair market value on the grant date, a term of no more than ten years, and that the option be granted from a plan that has been approved by stockholders of Lucid. Notwithstanding the foregoing, if granted to a participant who owns shares representing more than 10% of the voting power of all classes of shares of Lucid Group, its parent or one of its subsidiaries, an ISO must have a term of not more than five years.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Unrestricted Shares</w:t>
      </w:r>
    </w:p>
    <w:p>
      <w:pPr>
        <w:spacing w:after="0" w:line="190" w:lineRule="exact"/>
        <w:rPr>
          <w:sz w:val="20"/>
          <w:szCs w:val="20"/>
          <w:color w:val="auto"/>
        </w:rPr>
      </w:pPr>
    </w:p>
    <w:p>
      <w:pPr>
        <w:ind w:left="660" w:right="800"/>
        <w:spacing w:after="0" w:line="278" w:lineRule="auto"/>
        <w:rPr>
          <w:sz w:val="20"/>
          <w:szCs w:val="20"/>
          <w:color w:val="auto"/>
        </w:rPr>
      </w:pPr>
      <w:r>
        <w:rPr>
          <w:rFonts w:ascii="Arial" w:cs="Arial" w:eastAsia="Arial" w:hAnsi="Arial"/>
          <w:sz w:val="16"/>
          <w:szCs w:val="16"/>
          <w:color w:val="auto"/>
        </w:rPr>
        <w:t>Subject to limits in the Amended Plan, the Compensation Committee may issue unrestricted shares, in such amounts and subject to such terms and conditions as the Compensation Committee determines.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Stock Appreciation Rights</w:t>
      </w:r>
    </w:p>
    <w:p>
      <w:pPr>
        <w:spacing w:after="0" w:line="190" w:lineRule="exact"/>
        <w:rPr>
          <w:sz w:val="20"/>
          <w:szCs w:val="20"/>
          <w:color w:val="auto"/>
        </w:rPr>
      </w:pPr>
    </w:p>
    <w:p>
      <w:pPr>
        <w:ind w:left="660" w:right="720"/>
        <w:spacing w:after="0" w:line="268" w:lineRule="auto"/>
        <w:rPr>
          <w:sz w:val="20"/>
          <w:szCs w:val="20"/>
          <w:color w:val="auto"/>
        </w:rPr>
      </w:pPr>
      <w:r>
        <w:rPr>
          <w:rFonts w:ascii="Arial" w:cs="Arial" w:eastAsia="Arial" w:hAnsi="Arial"/>
          <w:sz w:val="16"/>
          <w:szCs w:val="16"/>
          <w:color w:val="auto"/>
        </w:rPr>
        <w:t>A stock appreciation right (“SAR”) entitles the participant to receive an amount equal to the difference between the fair market value of Lucid Group’s shares on the exercise date and the exercise price of the SAR (which may not be less than 100% of the fair market value of a share on the grant date (except with respect to substitute awards)), multiplied by the number of shares subject to the SAR. Lucid Group may (i) modify, extend, or renew outstanding SARs or accept the cancellation of SARs in return for the grant of new SARs or a different award or cash or (ii) offer to buy out for a payment in cash or cash equivalents a SAR previously granted.</w:t>
      </w:r>
    </w:p>
    <w:p>
      <w:pPr>
        <w:spacing w:after="0" w:line="200" w:lineRule="exact"/>
        <w:rPr>
          <w:sz w:val="20"/>
          <w:szCs w:val="20"/>
          <w:color w:val="auto"/>
        </w:rPr>
      </w:pPr>
    </w:p>
    <w:p>
      <w:pPr>
        <w:spacing w:after="0" w:line="204"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Restricted Stock Units</w:t>
      </w:r>
    </w:p>
    <w:p>
      <w:pPr>
        <w:spacing w:after="0" w:line="190" w:lineRule="exact"/>
        <w:rPr>
          <w:sz w:val="20"/>
          <w:szCs w:val="20"/>
          <w:color w:val="auto"/>
        </w:rPr>
      </w:pPr>
    </w:p>
    <w:p>
      <w:pPr>
        <w:ind w:left="660" w:right="940"/>
        <w:spacing w:after="0" w:line="271" w:lineRule="auto"/>
        <w:rPr>
          <w:sz w:val="20"/>
          <w:szCs w:val="20"/>
          <w:color w:val="auto"/>
        </w:rPr>
      </w:pPr>
      <w:r>
        <w:rPr>
          <w:rFonts w:ascii="Arial" w:cs="Arial" w:eastAsia="Arial" w:hAnsi="Arial"/>
          <w:sz w:val="16"/>
          <w:szCs w:val="16"/>
          <w:color w:val="auto"/>
        </w:rPr>
        <w:t>A restricted stock unit is an award denominated in shares that may be settled either in shares or cash, or a combination of both, subject to terms and conditions determined by the Compensation Committee. Participants may carry the right to dividend equivalents, in the Compensation Committee’s discretion.</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900" w:type="dxa"/>
            <w:vAlign w:val="bottom"/>
          </w:tcPr>
          <w:p>
            <w:pPr>
              <w:ind w:left="660"/>
              <w:spacing w:after="0"/>
              <w:rPr>
                <w:sz w:val="20"/>
                <w:szCs w:val="20"/>
                <w:color w:val="auto"/>
              </w:rPr>
            </w:pPr>
            <w:r>
              <w:rPr>
                <w:rFonts w:ascii="Arial" w:cs="Arial" w:eastAsia="Arial" w:hAnsi="Arial"/>
                <w:sz w:val="13"/>
                <w:szCs w:val="13"/>
                <w:color w:val="auto"/>
              </w:rPr>
              <w:t>2022 Proxy Statement</w:t>
            </w:r>
          </w:p>
        </w:tc>
        <w:tc>
          <w:tcPr>
            <w:tcW w:w="4820" w:type="dxa"/>
            <w:vAlign w:val="bottom"/>
          </w:tcPr>
          <w:p>
            <w:pPr>
              <w:jc w:val="right"/>
              <w:ind w:right="617"/>
              <w:spacing w:after="0"/>
              <w:rPr>
                <w:sz w:val="20"/>
                <w:szCs w:val="20"/>
                <w:color w:val="auto"/>
              </w:rPr>
            </w:pPr>
            <w:r>
              <w:rPr>
                <w:rFonts w:ascii="Arial" w:cs="Arial" w:eastAsia="Arial" w:hAnsi="Arial"/>
                <w:sz w:val="13"/>
                <w:szCs w:val="13"/>
                <w:b w:val="1"/>
                <w:bCs w:val="1"/>
                <w:color w:val="auto"/>
              </w:rPr>
              <w:t>33</w:t>
            </w:r>
          </w:p>
        </w:tc>
      </w:tr>
      <w:tr>
        <w:trPr>
          <w:trHeight w:val="172"/>
        </w:trPr>
        <w:tc>
          <w:tcPr>
            <w:tcW w:w="5900" w:type="dxa"/>
            <w:vAlign w:val="bottom"/>
            <w:tcBorders>
              <w:bottom w:val="single" w:sz="8" w:color="9A9A9A"/>
            </w:tcBorders>
          </w:tcPr>
          <w:p>
            <w:pPr>
              <w:spacing w:after="0"/>
              <w:rPr>
                <w:sz w:val="14"/>
                <w:szCs w:val="14"/>
                <w:color w:val="auto"/>
              </w:rPr>
            </w:pPr>
          </w:p>
        </w:tc>
        <w:tc>
          <w:tcPr>
            <w:tcW w:w="48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42" w:name="page43"/>
    <w:bookmarkEnd w:id="42"/>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Cash Awards</w:t>
      </w:r>
    </w:p>
    <w:p>
      <w:pPr>
        <w:spacing w:after="0" w:line="190" w:lineRule="exact"/>
        <w:rPr>
          <w:sz w:val="20"/>
          <w:szCs w:val="20"/>
          <w:color w:val="auto"/>
        </w:rPr>
      </w:pPr>
    </w:p>
    <w:p>
      <w:pPr>
        <w:ind w:left="660" w:right="280"/>
        <w:spacing w:after="0" w:line="278" w:lineRule="auto"/>
        <w:rPr>
          <w:sz w:val="20"/>
          <w:szCs w:val="20"/>
          <w:color w:val="auto"/>
        </w:rPr>
      </w:pPr>
      <w:r>
        <w:rPr>
          <w:rFonts w:ascii="Arial" w:cs="Arial" w:eastAsia="Arial" w:hAnsi="Arial"/>
          <w:sz w:val="16"/>
          <w:szCs w:val="16"/>
          <w:color w:val="auto"/>
        </w:rPr>
        <w:t>The Compensation Committee may grant cash-based awards to any participant in such number or amount, and subject to such conditions, that the Compensation Committee may determine.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Stock Purchase Rights under the ESPP Addendum</w:t>
      </w:r>
    </w:p>
    <w:p>
      <w:pPr>
        <w:spacing w:after="0" w:line="190" w:lineRule="exact"/>
        <w:rPr>
          <w:sz w:val="20"/>
          <w:szCs w:val="20"/>
          <w:color w:val="auto"/>
        </w:rPr>
      </w:pPr>
    </w:p>
    <w:p>
      <w:pPr>
        <w:ind w:left="660"/>
        <w:spacing w:after="0" w:line="266" w:lineRule="auto"/>
        <w:rPr>
          <w:sz w:val="20"/>
          <w:szCs w:val="20"/>
          <w:color w:val="auto"/>
        </w:rPr>
      </w:pPr>
      <w:r>
        <w:rPr>
          <w:rFonts w:ascii="Arial" w:cs="Arial" w:eastAsia="Arial" w:hAnsi="Arial"/>
          <w:sz w:val="16"/>
          <w:szCs w:val="16"/>
          <w:color w:val="auto"/>
        </w:rPr>
        <w:t>The purpose of the ESPP Addendum is to provide a broad-based employee benefit to attract the services of new employees, to retain the services of existing employees and to provide incentives for such individuals to exert maximum efforts toward our success by purchasing stock from Lucid Group on favorable terms, paid for through payroll deductions. The ESPP Addendum is intended to qualify under Section 423 of the Code. The Compensation Committee may grant stock purchase rights under the ESPP Addendum to any participant who is an employee. The Compensation Committee may establish sub-plans (which need not qualify under Section 423 of the Code) to facilitate participation in the ESPP Addendum by non-U.S. employees in compliance with foreign laws. The maximum aggregate number of shares for purchase during any calendar year is 2,500,000 shares, or any other such annual limit as may be approved by the Compensation Committee.</w:t>
      </w:r>
    </w:p>
    <w:p>
      <w:pPr>
        <w:spacing w:after="0" w:line="205" w:lineRule="exact"/>
        <w:rPr>
          <w:sz w:val="20"/>
          <w:szCs w:val="20"/>
          <w:color w:val="auto"/>
        </w:rPr>
      </w:pPr>
    </w:p>
    <w:p>
      <w:pPr>
        <w:ind w:left="660"/>
        <w:spacing w:after="0" w:line="265" w:lineRule="auto"/>
        <w:rPr>
          <w:sz w:val="20"/>
          <w:szCs w:val="20"/>
          <w:color w:val="auto"/>
        </w:rPr>
      </w:pPr>
      <w:r>
        <w:rPr>
          <w:rFonts w:ascii="Arial" w:cs="Arial" w:eastAsia="Arial" w:hAnsi="Arial"/>
          <w:sz w:val="16"/>
          <w:szCs w:val="16"/>
          <w:color w:val="auto"/>
        </w:rPr>
        <w:t>While the ESPP Addendum is in effect, the Compensation Committee may grant options to purchase shares of stock during a specified offering period in compliance with the requirements of Section 423 of the Code. Termination of employment for any reason will be treated as an automatic withdrawal from the ESPP Addendum. The purchase price for each share purchased during an offering period will be the lesser of 85% of the fair market value of the share on the purchase date or 85% of the fair market value of the share on the offering date. No participant may be granted a right to purchase stock under the ESPP Addendum if such a purchase would result in the participant owning 5% or more of the combined voting power or value of all classes of stock of Lucid Group or any parent or subsidiary of Lucid Group. No participant shall accrue the right to purchase stock which exceeds $25,000 of fair market value of such stock per calendar year. In the event of a corporate reorganization (defined as (i) the consummation of a merger, consolidation or any other corporate reorganization of Lucid Group or (ii) the sale, transfer or other disposition of all or substantially all of Lucid Group’s assets or the complete liquidation or dissolution of Lucid Group) in which the ESPP Addendum is not assumed by the surviving corporation, the offering period in progress will terminate and either 1) shares will be purchased in accordance with the terms of the ESPP Addendum or 2) all amounts in all participant accounts will be refunded without any purchase of shares.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Performance Criteria</w:t>
      </w:r>
    </w:p>
    <w:p>
      <w:pPr>
        <w:spacing w:after="0" w:line="192" w:lineRule="exact"/>
        <w:rPr>
          <w:sz w:val="20"/>
          <w:szCs w:val="20"/>
          <w:color w:val="auto"/>
        </w:rPr>
      </w:pPr>
    </w:p>
    <w:p>
      <w:pPr>
        <w:ind w:left="660" w:right="300"/>
        <w:spacing w:after="0" w:line="278" w:lineRule="auto"/>
        <w:rPr>
          <w:sz w:val="20"/>
          <w:szCs w:val="20"/>
          <w:color w:val="auto"/>
        </w:rPr>
      </w:pPr>
      <w:r>
        <w:rPr>
          <w:rFonts w:ascii="Arial" w:cs="Arial" w:eastAsia="Arial" w:hAnsi="Arial"/>
          <w:sz w:val="16"/>
          <w:szCs w:val="16"/>
          <w:color w:val="auto"/>
        </w:rPr>
        <w:t>Awards granted under the Amended Plan may be subject to specified performance criteria. The Compensation Committee may utilize any performance criteria selected by it in its sole discretion to establish performance goals.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Deferrals</w:t>
      </w:r>
    </w:p>
    <w:p>
      <w:pPr>
        <w:spacing w:after="0" w:line="192" w:lineRule="exact"/>
        <w:rPr>
          <w:sz w:val="20"/>
          <w:szCs w:val="20"/>
          <w:color w:val="auto"/>
        </w:rPr>
      </w:pPr>
    </w:p>
    <w:p>
      <w:pPr>
        <w:ind w:left="660" w:right="300"/>
        <w:spacing w:after="0" w:line="278" w:lineRule="auto"/>
        <w:rPr>
          <w:sz w:val="20"/>
          <w:szCs w:val="20"/>
          <w:color w:val="auto"/>
        </w:rPr>
      </w:pPr>
      <w:r>
        <w:rPr>
          <w:rFonts w:ascii="Arial" w:cs="Arial" w:eastAsia="Arial" w:hAnsi="Arial"/>
          <w:sz w:val="16"/>
          <w:szCs w:val="16"/>
          <w:color w:val="auto"/>
        </w:rPr>
        <w:t>Subject to compliance with Section 409A of the Code (“Section 409A”), the Compensation Committee in its sole discretion may permit or require participants to defer certain amounts or shares paid or issued in respect of Awards.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Adjustments</w:t>
      </w:r>
    </w:p>
    <w:p>
      <w:pPr>
        <w:spacing w:after="0" w:line="192" w:lineRule="exact"/>
        <w:rPr>
          <w:sz w:val="20"/>
          <w:szCs w:val="20"/>
          <w:color w:val="auto"/>
        </w:rPr>
      </w:pPr>
    </w:p>
    <w:p>
      <w:pPr>
        <w:ind w:left="660"/>
        <w:spacing w:after="0" w:line="266" w:lineRule="auto"/>
        <w:rPr>
          <w:sz w:val="20"/>
          <w:szCs w:val="20"/>
          <w:color w:val="auto"/>
        </w:rPr>
      </w:pPr>
      <w:r>
        <w:rPr>
          <w:rFonts w:ascii="Arial" w:cs="Arial" w:eastAsia="Arial" w:hAnsi="Arial"/>
          <w:sz w:val="16"/>
          <w:szCs w:val="16"/>
          <w:color w:val="auto"/>
        </w:rPr>
        <w:t>In the event of a subdivision of the outstanding common stock, a declaration of a dividend payable in shares, a declaration of a dividend payable in a form other than shares in an amount that has a material effect on the price of shares, a combination or consolidation of the outstanding common stock into a lesser number of shares, a recapitalization, a spin-off or a similar occurrence, the Compensation Committee may make appropriate and equitable adjustments in: (i) the class(es) and number of securities available for future awards; (ii) the class(es) and number of securities covered by each outstanding award; (iii) the exercise price under each outstanding option and SAR); and (iv) options to purchase shares granted pursuant to the ESPP Addendum.</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Change in Control</w:t>
      </w:r>
    </w:p>
    <w:p>
      <w:pPr>
        <w:spacing w:after="0" w:line="192" w:lineRule="exact"/>
        <w:rPr>
          <w:sz w:val="20"/>
          <w:szCs w:val="20"/>
          <w:color w:val="auto"/>
        </w:rPr>
      </w:pPr>
    </w:p>
    <w:p>
      <w:pPr>
        <w:ind w:left="660"/>
        <w:spacing w:after="0" w:line="264" w:lineRule="auto"/>
        <w:rPr>
          <w:sz w:val="20"/>
          <w:szCs w:val="20"/>
          <w:color w:val="auto"/>
        </w:rPr>
      </w:pPr>
      <w:r>
        <w:rPr>
          <w:rFonts w:ascii="Arial" w:cs="Arial" w:eastAsia="Arial" w:hAnsi="Arial"/>
          <w:sz w:val="16"/>
          <w:szCs w:val="16"/>
          <w:color w:val="auto"/>
        </w:rPr>
        <w:t>In the event of a Change in Control (defined as (i) a change in the composition of the Board in which fewer than one half of the incumbent directors are the original directors or were elected with at least a majority of the original directors; (ii) any person who, by acquisition or aggregation of securities, is or becomes the beneficial owner of securities of Lucid Group representing 50% or more of the voting power of Lucid Group’s outstanding securities; (iii) the consummation of a merger or consolidation where 50% or more of the voting power is owned by persons who were not stockholders of Lucid Group prior to the merger or consolidation; or</w:t>
      </w:r>
    </w:p>
    <w:p>
      <w:pPr>
        <w:spacing w:after="0" w:line="1" w:lineRule="exact"/>
        <w:rPr>
          <w:sz w:val="20"/>
          <w:szCs w:val="20"/>
          <w:color w:val="auto"/>
        </w:rPr>
      </w:pPr>
    </w:p>
    <w:p>
      <w:pPr>
        <w:ind w:left="660" w:right="100" w:hanging="6"/>
        <w:spacing w:after="0" w:line="271" w:lineRule="auto"/>
        <w:tabs>
          <w:tab w:leader="none" w:pos="93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sale, transfer or other disposition of all or substantially all of Lucid Group’s assets), if the surviving corporation does not continue, assume or settle (subject to vesting) outstanding awards (other than stock purchase rights under the ESPP Addendum), or substitute similar stock awards for outstanding awards (other than stock purchase rights under the ESPP Addendum), then</w:t>
      </w:r>
    </w:p>
    <w:p>
      <w:pPr>
        <w:spacing w:after="0" w:line="379"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2"/>
          <w:szCs w:val="12"/>
          <w:b w:val="1"/>
          <w:bCs w:val="1"/>
          <w:color w:val="auto"/>
        </w:rPr>
        <w:t>34</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110490</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sectPr>
      </w:pPr>
    </w:p>
    <w:bookmarkStart w:id="43" w:name="page44"/>
    <w:bookmarkEnd w:id="43"/>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60" w:right="760"/>
        <w:spacing w:after="0" w:line="268" w:lineRule="auto"/>
        <w:rPr>
          <w:sz w:val="20"/>
          <w:szCs w:val="20"/>
          <w:color w:val="auto"/>
        </w:rPr>
      </w:pPr>
      <w:r>
        <w:rPr>
          <w:rFonts w:ascii="Arial" w:cs="Arial" w:eastAsia="Arial" w:hAnsi="Arial"/>
          <w:sz w:val="16"/>
          <w:szCs w:val="16"/>
          <w:color w:val="auto"/>
        </w:rPr>
        <w:t>Lucid Group may accelerate the vesting or deemed any performance-based vesting to be satisfied at the target level or based on actual performance (or the greater thereof). The Compensation Committee may also determine at the time of granting of an award or thereafter that an award will vest and/or become exercisable in connection with a Change in Control. The Compensation Committee may treat awards differently.</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Assignability</w:t>
      </w:r>
    </w:p>
    <w:p>
      <w:pPr>
        <w:spacing w:after="0" w:line="192" w:lineRule="exact"/>
        <w:rPr>
          <w:sz w:val="20"/>
          <w:szCs w:val="20"/>
          <w:color w:val="auto"/>
        </w:rPr>
      </w:pPr>
    </w:p>
    <w:p>
      <w:pPr>
        <w:ind w:left="660" w:right="980"/>
        <w:spacing w:after="0" w:line="278" w:lineRule="auto"/>
        <w:rPr>
          <w:sz w:val="20"/>
          <w:szCs w:val="20"/>
          <w:color w:val="auto"/>
        </w:rPr>
      </w:pPr>
      <w:r>
        <w:rPr>
          <w:rFonts w:ascii="Arial" w:cs="Arial" w:eastAsia="Arial" w:hAnsi="Arial"/>
          <w:sz w:val="16"/>
          <w:szCs w:val="16"/>
          <w:color w:val="auto"/>
        </w:rPr>
        <w:t>Unless an award agreement provides otherwise, no award granted under the Amended Plan may be sold, assigned, conveyed, gifted, pledged, hypothecated or otherwise transferred in any manner other than by will or the laws of descent and distribution.</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Amendment and Termination</w:t>
      </w:r>
    </w:p>
    <w:p>
      <w:pPr>
        <w:spacing w:after="0" w:line="192" w:lineRule="exact"/>
        <w:rPr>
          <w:sz w:val="20"/>
          <w:szCs w:val="20"/>
          <w:color w:val="auto"/>
        </w:rPr>
      </w:pPr>
    </w:p>
    <w:p>
      <w:pPr>
        <w:ind w:left="660" w:right="820"/>
        <w:spacing w:after="0" w:line="271" w:lineRule="auto"/>
        <w:rPr>
          <w:sz w:val="20"/>
          <w:szCs w:val="20"/>
          <w:color w:val="auto"/>
        </w:rPr>
      </w:pPr>
      <w:r>
        <w:rPr>
          <w:rFonts w:ascii="Arial" w:cs="Arial" w:eastAsia="Arial" w:hAnsi="Arial"/>
          <w:sz w:val="16"/>
          <w:szCs w:val="16"/>
          <w:color w:val="auto"/>
        </w:rPr>
        <w:t>The Board may amend, suspend or terminate the Amended Plan or the ESPP Addendum at any time, provided that amendments to any outstanding award agreements are subject to applicable legal restrictions and the consent of the participant if the participant’s right or obligations would be materially impaired.</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U.S. Federal Income Tax Consequences</w:t>
      </w:r>
    </w:p>
    <w:p>
      <w:pPr>
        <w:spacing w:after="0" w:line="192" w:lineRule="exact"/>
        <w:rPr>
          <w:sz w:val="20"/>
          <w:szCs w:val="20"/>
          <w:color w:val="auto"/>
        </w:rPr>
      </w:pPr>
    </w:p>
    <w:p>
      <w:pPr>
        <w:ind w:left="660" w:right="700"/>
        <w:spacing w:after="0" w:line="266" w:lineRule="auto"/>
        <w:rPr>
          <w:sz w:val="20"/>
          <w:szCs w:val="20"/>
          <w:color w:val="auto"/>
        </w:rPr>
      </w:pPr>
      <w:r>
        <w:rPr>
          <w:rFonts w:ascii="Arial" w:cs="Arial" w:eastAsia="Arial" w:hAnsi="Arial"/>
          <w:sz w:val="16"/>
          <w:szCs w:val="16"/>
          <w:color w:val="auto"/>
        </w:rPr>
        <w:t>The following is a general summary under current law of certain United States federal income tax consequences to the Company and participants who are citizens or individual residents of the United States relating to awards granted under the Amended Plan. This summary deals with the general tax principles that apply to such awards and is provided only for general information. Certain kinds of taxes, such as foreign taxes, state and local income taxes, payroll taxes and the alternative minimum tax, are not discussed. This summary is not tax advice and it does not discuss all aspects of federal taxation that may be relevant to the Company and participants. Accordingly, the Company urges each participant to consult his or her own tax advisor as to the specific tax consequences of participation in the Amended Plan under federal, state, local and other applicable laws.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Non-Qualified Stock Options</w:t>
      </w:r>
    </w:p>
    <w:p>
      <w:pPr>
        <w:spacing w:after="0" w:line="192" w:lineRule="exact"/>
        <w:rPr>
          <w:sz w:val="20"/>
          <w:szCs w:val="20"/>
          <w:color w:val="auto"/>
        </w:rPr>
      </w:pPr>
    </w:p>
    <w:p>
      <w:pPr>
        <w:ind w:left="660" w:right="680"/>
        <w:spacing w:after="0" w:line="265" w:lineRule="auto"/>
        <w:rPr>
          <w:sz w:val="20"/>
          <w:szCs w:val="20"/>
          <w:color w:val="auto"/>
        </w:rPr>
      </w:pPr>
      <w:r>
        <w:rPr>
          <w:rFonts w:ascii="Arial" w:cs="Arial" w:eastAsia="Arial" w:hAnsi="Arial"/>
          <w:sz w:val="16"/>
          <w:szCs w:val="16"/>
          <w:color w:val="auto"/>
        </w:rPr>
        <w:t>A non-qualified stock option is an option that does not meet the requirements of Section 422 of the Code. A participant generally will not recognize taxable income when granted a non-qualified stock option. When the participant exercises the stock option, he or she generally will recognize taxable ordinary income equal to the excess of the fair market value of the shares received on the exercise date over the aggregate exercise price of the shares. The participant’s tax basis in the shares acquired on exercise of the option will be increased by the amount of such taxable income. We generally will be entitled to a federal income tax deduction in an amount equal to the ordinary income that the participant recognizes, subject to any limits imposed under Section 162(m) of the Code. When the participant sells the shares acquired on exercise, the participant generally will realize long-term or short-term capital gain or loss, depending on whether the participant holds the shares for more than one year before selling them. Special rules apply if all or a portion of the exercise price is paid in the form of shares.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Incentive Stock Options</w:t>
      </w:r>
    </w:p>
    <w:p>
      <w:pPr>
        <w:spacing w:after="0" w:line="192" w:lineRule="exact"/>
        <w:rPr>
          <w:sz w:val="20"/>
          <w:szCs w:val="20"/>
          <w:color w:val="auto"/>
        </w:rPr>
      </w:pPr>
    </w:p>
    <w:p>
      <w:pPr>
        <w:ind w:left="660" w:right="740"/>
        <w:spacing w:after="0" w:line="265" w:lineRule="auto"/>
        <w:rPr>
          <w:sz w:val="20"/>
          <w:szCs w:val="20"/>
          <w:color w:val="auto"/>
        </w:rPr>
      </w:pPr>
      <w:r>
        <w:rPr>
          <w:rFonts w:ascii="Arial" w:cs="Arial" w:eastAsia="Arial" w:hAnsi="Arial"/>
          <w:sz w:val="16"/>
          <w:szCs w:val="16"/>
          <w:color w:val="auto"/>
        </w:rPr>
        <w:t>An incentive stock option is an option that meets the requirements of Section 422 of the Code. A participant generally will not have taxable income when granted an incentive stock option or when exercising the option. If the participant exercises the option and does not dispose of the shares until the later of two years after the grant date and one year after the exercise date, the entire gain, if any, realized when the participant sells the shares generally will be taxable as long-term capital gain. We generally will not be entitled to any corresponding tax deduction. If a participant disposes of the shares received upon exercise of an incentive stock option within the one-year or two-year periods described above, it will be considered a “disqualifying disposition,” and the option will be treated as a non-qualified stock option for federal income tax purposes. If a participant exercises an incentive stock option more than three months after the participant’s employment or service with us terminates, the option will be treated as a non-qualified stock option for federal income tax purposes. If the participant is disabled and terminates employment or service because of his or her disability, the three-month period is extended to one year. The three-month period does not apply in the case of the participant’s death. Similar tax consequences will apply to stock purchase rights under the ESPP Addendum.</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SARs</w:t>
      </w:r>
    </w:p>
    <w:p>
      <w:pPr>
        <w:spacing w:after="0" w:line="192" w:lineRule="exact"/>
        <w:rPr>
          <w:sz w:val="20"/>
          <w:szCs w:val="20"/>
          <w:color w:val="auto"/>
        </w:rPr>
      </w:pPr>
    </w:p>
    <w:p>
      <w:pPr>
        <w:ind w:left="660" w:right="740"/>
        <w:spacing w:after="0" w:line="267" w:lineRule="auto"/>
        <w:rPr>
          <w:sz w:val="20"/>
          <w:szCs w:val="20"/>
          <w:color w:val="auto"/>
        </w:rPr>
      </w:pPr>
      <w:r>
        <w:rPr>
          <w:rFonts w:ascii="Arial" w:cs="Arial" w:eastAsia="Arial" w:hAnsi="Arial"/>
          <w:sz w:val="16"/>
          <w:szCs w:val="16"/>
          <w:color w:val="auto"/>
        </w:rPr>
        <w:t>A participant generally does not recognize income at the time a SAR is granted. At the time cash or stock representing the amount of the appreciation is transferred to the participant pursuant to exercise of the SAR, the participant will generally be required to recognize as income an amount equal to the amount of cash or fair market value of the shares paid or transferred to the participant. Such amount will be taxable as ordinary income and we generally will be entitled to a corresponding tax deduction, subject to any limits imposed under Section 162(m) of the Code.</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900" w:type="dxa"/>
            <w:vAlign w:val="bottom"/>
          </w:tcPr>
          <w:p>
            <w:pPr>
              <w:ind w:left="660"/>
              <w:spacing w:after="0"/>
              <w:rPr>
                <w:sz w:val="20"/>
                <w:szCs w:val="20"/>
                <w:color w:val="auto"/>
              </w:rPr>
            </w:pPr>
            <w:r>
              <w:rPr>
                <w:rFonts w:ascii="Arial" w:cs="Arial" w:eastAsia="Arial" w:hAnsi="Arial"/>
                <w:sz w:val="13"/>
                <w:szCs w:val="13"/>
                <w:color w:val="auto"/>
              </w:rPr>
              <w:t>2022 Proxy Statement</w:t>
            </w:r>
          </w:p>
        </w:tc>
        <w:tc>
          <w:tcPr>
            <w:tcW w:w="4820" w:type="dxa"/>
            <w:vAlign w:val="bottom"/>
          </w:tcPr>
          <w:p>
            <w:pPr>
              <w:jc w:val="right"/>
              <w:ind w:right="617"/>
              <w:spacing w:after="0"/>
              <w:rPr>
                <w:sz w:val="20"/>
                <w:szCs w:val="20"/>
                <w:color w:val="auto"/>
              </w:rPr>
            </w:pPr>
            <w:r>
              <w:rPr>
                <w:rFonts w:ascii="Arial" w:cs="Arial" w:eastAsia="Arial" w:hAnsi="Arial"/>
                <w:sz w:val="13"/>
                <w:szCs w:val="13"/>
                <w:b w:val="1"/>
                <w:bCs w:val="1"/>
                <w:color w:val="auto"/>
              </w:rPr>
              <w:t>35</w:t>
            </w:r>
          </w:p>
        </w:tc>
      </w:tr>
      <w:tr>
        <w:trPr>
          <w:trHeight w:val="172"/>
        </w:trPr>
        <w:tc>
          <w:tcPr>
            <w:tcW w:w="5900" w:type="dxa"/>
            <w:vAlign w:val="bottom"/>
            <w:tcBorders>
              <w:bottom w:val="single" w:sz="8" w:color="9A9A9A"/>
            </w:tcBorders>
          </w:tcPr>
          <w:p>
            <w:pPr>
              <w:spacing w:after="0"/>
              <w:rPr>
                <w:sz w:val="14"/>
                <w:szCs w:val="14"/>
                <w:color w:val="auto"/>
              </w:rPr>
            </w:pPr>
          </w:p>
        </w:tc>
        <w:tc>
          <w:tcPr>
            <w:tcW w:w="48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44" w:name="page45"/>
    <w:bookmarkEnd w:id="44"/>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Restricted Stock</w:t>
      </w:r>
    </w:p>
    <w:p>
      <w:pPr>
        <w:spacing w:after="0" w:line="205" w:lineRule="exact"/>
        <w:rPr>
          <w:sz w:val="20"/>
          <w:szCs w:val="20"/>
          <w:color w:val="auto"/>
        </w:rPr>
      </w:pPr>
    </w:p>
    <w:p>
      <w:pPr>
        <w:ind w:left="660" w:right="20"/>
        <w:spacing w:after="0" w:line="282" w:lineRule="auto"/>
        <w:rPr>
          <w:sz w:val="20"/>
          <w:szCs w:val="20"/>
          <w:color w:val="auto"/>
        </w:rPr>
      </w:pPr>
      <w:r>
        <w:rPr>
          <w:rFonts w:ascii="Arial" w:cs="Arial" w:eastAsia="Arial" w:hAnsi="Arial"/>
          <w:sz w:val="16"/>
          <w:szCs w:val="16"/>
          <w:color w:val="auto"/>
        </w:rPr>
        <w:t>A participant generally will not recognize any income upon the receipt of unvested shares or restricted stock unless the participant elects under Section 83(b) of the Code, within 30 days after receipt of the shares, to recognize ordinary income in an amount equal to the fair market value of the shares at the time of receipt, less any amount paid for the shares, and the Company generally will be allowed a corresponding tax deduction at that time, subject to any limits imposed under Section 162(m) of the Code. A participant who makes the election will not be allowed a deduction for the value of any shares subsequently forfeited. A participant who does not make the election generally will recognize ordinary income on the date of the lapse of the restrictions applicable to the shares, which may be at the time of grant, in an amount equal to the fair market value of the shares on such date, less any amount paid for the shares. We will withhold any Federal Insurance Contribution Act (“FICA”) taxes due in respect of the shares in the year the restrictions applicable to the shares lapse, based on the fair market value of the shares on the vesting date, unless you elect under Section 83(b) of the Code, in which case we will withhold any FICA taxes due in respect of the shares in the year of grant based on the fair market value of the shares on the grant date. Generally, upon a sale or other disposition of restricted stock with respect to which a participant has recognized ordinary income (</w:t>
      </w:r>
      <w:r>
        <w:rPr>
          <w:rFonts w:ascii="Arial" w:cs="Arial" w:eastAsia="Arial" w:hAnsi="Arial"/>
          <w:sz w:val="16"/>
          <w:szCs w:val="16"/>
          <w:i w:val="1"/>
          <w:iCs w:val="1"/>
          <w:color w:val="auto"/>
        </w:rPr>
        <w:t>i.e.</w:t>
      </w:r>
      <w:r>
        <w:rPr>
          <w:rFonts w:ascii="Arial" w:cs="Arial" w:eastAsia="Arial" w:hAnsi="Arial"/>
          <w:sz w:val="16"/>
          <w:szCs w:val="16"/>
          <w:color w:val="auto"/>
        </w:rPr>
        <w:t>, a Section 83(b) election was previously made or the restrictions previously lapsed), the participant will recognize capital gain or loss in an amount equal to the difference between the amount realized on such sale or other disposition and the basis in such shares. Such gain or loss will be long-term capital gain or loss if the participant holds such shares for more than one year.</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RSUs</w:t>
      </w:r>
    </w:p>
    <w:p>
      <w:pPr>
        <w:spacing w:after="0" w:line="205" w:lineRule="exact"/>
        <w:rPr>
          <w:sz w:val="20"/>
          <w:szCs w:val="20"/>
          <w:color w:val="auto"/>
        </w:rPr>
      </w:pPr>
    </w:p>
    <w:p>
      <w:pPr>
        <w:ind w:left="660" w:right="100"/>
        <w:spacing w:after="0" w:line="284" w:lineRule="auto"/>
        <w:rPr>
          <w:sz w:val="20"/>
          <w:szCs w:val="20"/>
          <w:color w:val="auto"/>
        </w:rPr>
      </w:pPr>
      <w:r>
        <w:rPr>
          <w:rFonts w:ascii="Arial" w:cs="Arial" w:eastAsia="Arial" w:hAnsi="Arial"/>
          <w:sz w:val="16"/>
          <w:szCs w:val="16"/>
          <w:color w:val="auto"/>
        </w:rPr>
        <w:t>A participant generally does not recognize income at the time an RSU is granted. At the time of settlement of the award, the participant will generally recognize ordinary income equity to the fair market value of the RSUs at the time of settlement of the award, and the Company generally will be allowed a corresponding tax deduction at that time, subject to any limits imposed under Section 162(m) of the Code. We will withhold any FICA taxes due in respect of the RSUs in the year the RSUs vest based on the fair market value of the shares and/or cash underlying the award on the vesting date. Any gain or loss recognized upon a subsequent sale or exchange of the shares (if settled in shares) is generally treated as a capital gain or loss (short-term or long-term depending on the applicable holding period).</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Performance Awards</w:t>
      </w:r>
    </w:p>
    <w:p>
      <w:pPr>
        <w:spacing w:after="0" w:line="205" w:lineRule="exact"/>
        <w:rPr>
          <w:sz w:val="20"/>
          <w:szCs w:val="20"/>
          <w:color w:val="auto"/>
        </w:rPr>
      </w:pPr>
    </w:p>
    <w:p>
      <w:pPr>
        <w:ind w:left="660" w:right="80"/>
        <w:spacing w:after="0" w:line="286" w:lineRule="auto"/>
        <w:rPr>
          <w:sz w:val="20"/>
          <w:szCs w:val="20"/>
          <w:color w:val="auto"/>
        </w:rPr>
      </w:pPr>
      <w:r>
        <w:rPr>
          <w:rFonts w:ascii="Arial" w:cs="Arial" w:eastAsia="Arial" w:hAnsi="Arial"/>
          <w:sz w:val="16"/>
          <w:szCs w:val="16"/>
          <w:color w:val="auto"/>
        </w:rPr>
        <w:t>Generally, in the case of performance-based awards, the participant will recognize ordinary income on the amount of cash and the fair market value of common stock received on the date of payment or settlement of the award (provided that the award is exempt from or complies with Section 409A of the Code). We generally will be entitled to a deduction for such amount at the time it is includable in the income of the participant.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Cash Awards</w:t>
      </w:r>
    </w:p>
    <w:p>
      <w:pPr>
        <w:spacing w:after="0" w:line="205" w:lineRule="exact"/>
        <w:rPr>
          <w:sz w:val="20"/>
          <w:szCs w:val="20"/>
          <w:color w:val="auto"/>
        </w:rPr>
      </w:pPr>
    </w:p>
    <w:p>
      <w:pPr>
        <w:ind w:left="660" w:right="100"/>
        <w:spacing w:after="0" w:line="295" w:lineRule="auto"/>
        <w:rPr>
          <w:sz w:val="20"/>
          <w:szCs w:val="20"/>
          <w:color w:val="auto"/>
        </w:rPr>
      </w:pPr>
      <w:r>
        <w:rPr>
          <w:rFonts w:ascii="Arial" w:cs="Arial" w:eastAsia="Arial" w:hAnsi="Arial"/>
          <w:sz w:val="16"/>
          <w:szCs w:val="16"/>
          <w:color w:val="auto"/>
        </w:rPr>
        <w:t>Upon the payment of a cash award, the amount of cash received will be ordinary income to the participant. We will be entitled to a deduction for such amount at the time it is includable in the income of the participant.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Registration with the SEC</w:t>
      </w:r>
    </w:p>
    <w:p>
      <w:pPr>
        <w:spacing w:after="0" w:line="205" w:lineRule="exact"/>
        <w:rPr>
          <w:sz w:val="20"/>
          <w:szCs w:val="20"/>
          <w:color w:val="auto"/>
        </w:rPr>
      </w:pPr>
    </w:p>
    <w:p>
      <w:pPr>
        <w:ind w:left="660" w:right="700"/>
        <w:spacing w:after="0" w:line="295" w:lineRule="auto"/>
        <w:rPr>
          <w:sz w:val="20"/>
          <w:szCs w:val="20"/>
          <w:color w:val="auto"/>
        </w:rPr>
      </w:pPr>
      <w:r>
        <w:rPr>
          <w:rFonts w:ascii="Arial" w:cs="Arial" w:eastAsia="Arial" w:hAnsi="Arial"/>
          <w:sz w:val="16"/>
          <w:szCs w:val="16"/>
          <w:color w:val="auto"/>
        </w:rPr>
        <w:t>If our stockholders approve the Amended Plan, we will file with the SEC a registration statement on Form S-8, as soon as reasonably practicable after the approval, to register the shares available for issuance under the Amended Plan.</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New Plan Benefits Table</w:t>
      </w:r>
    </w:p>
    <w:p>
      <w:pPr>
        <w:spacing w:after="0" w:line="205" w:lineRule="exact"/>
        <w:rPr>
          <w:sz w:val="20"/>
          <w:szCs w:val="20"/>
          <w:color w:val="auto"/>
        </w:rPr>
      </w:pPr>
    </w:p>
    <w:p>
      <w:pPr>
        <w:ind w:left="660" w:right="80"/>
        <w:spacing w:after="0" w:line="283" w:lineRule="auto"/>
        <w:rPr>
          <w:sz w:val="20"/>
          <w:szCs w:val="20"/>
          <w:color w:val="auto"/>
        </w:rPr>
      </w:pPr>
      <w:r>
        <w:rPr>
          <w:rFonts w:ascii="Arial" w:cs="Arial" w:eastAsia="Arial" w:hAnsi="Arial"/>
          <w:sz w:val="16"/>
          <w:szCs w:val="16"/>
          <w:color w:val="auto"/>
        </w:rPr>
        <w:t>A new plan benefits table for the Amended Plan and the benefits or amounts that would have been received by or allocated to participants for the last completed fiscal year under the Amended Plan if the Amended Plan was then in effect, as described in the federal proxy rules, are not provided because all awards made under the Amended Plan will be made at the Compensation Committee’s discretion, subject to the terms of the Amended Plan. Therefore, the benefits and amounts that will be received or allocated under the Amended Plan are not determinable at this time. However, please refer to the Summary Compensation Table for fiscal year 2021 in this Proxy Statement which sets forth certain information regarding awards granted to our named executive officers during fiscal year 2021, as well as the section titled — 2022 Compensation Decisions in the Compensation Discussion and Analysis, which sets forth certain information regarding awards granted to our named executive officers in early fiscal 2022.</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per share closing price of our common stock on Nasdaq on April 26, 2022 was $17.64.</w:t>
      </w:r>
    </w:p>
    <w:p>
      <w:pPr>
        <w:spacing w:after="0" w:line="200" w:lineRule="exact"/>
        <w:rPr>
          <w:sz w:val="20"/>
          <w:szCs w:val="20"/>
          <w:color w:val="auto"/>
        </w:rPr>
      </w:pPr>
    </w:p>
    <w:p>
      <w:pPr>
        <w:spacing w:after="0" w:line="213"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2"/>
          <w:szCs w:val="12"/>
          <w:b w:val="1"/>
          <w:bCs w:val="1"/>
          <w:color w:val="auto"/>
        </w:rPr>
        <w:t>36</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110490</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sectPr>
      </w:pPr>
    </w:p>
    <w:bookmarkStart w:id="45" w:name="page46"/>
    <w:bookmarkEnd w:id="45"/>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Vote Required</w:t>
      </w:r>
    </w:p>
    <w:p>
      <w:pPr>
        <w:spacing w:after="0" w:line="205" w:lineRule="exact"/>
        <w:rPr>
          <w:sz w:val="20"/>
          <w:szCs w:val="20"/>
          <w:color w:val="auto"/>
        </w:rPr>
      </w:pPr>
    </w:p>
    <w:p>
      <w:pPr>
        <w:ind w:left="660" w:right="360"/>
        <w:spacing w:after="0" w:line="288" w:lineRule="auto"/>
        <w:rPr>
          <w:sz w:val="20"/>
          <w:szCs w:val="20"/>
          <w:color w:val="auto"/>
        </w:rPr>
      </w:pPr>
      <w:r>
        <w:rPr>
          <w:rFonts w:ascii="Arial" w:cs="Arial" w:eastAsia="Arial" w:hAnsi="Arial"/>
          <w:sz w:val="16"/>
          <w:szCs w:val="16"/>
          <w:color w:val="auto"/>
        </w:rPr>
        <w:t>To be approved, a majority of the total votes cast on Proposal No. 5 must be voted “For” the approval of the amendment of the Lucid Group, Inc. 2021 Stock Incentive Plan. Only votes “For” or “Against” will affect the outcome. Broker non-votes and abstentions will have no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495300</wp:posOffset>
            </wp:positionV>
            <wp:extent cx="5966460" cy="6940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646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1440"/>
        <w:spacing w:after="0" w:line="234" w:lineRule="auto"/>
        <w:rPr>
          <w:sz w:val="20"/>
          <w:szCs w:val="20"/>
          <w:color w:val="auto"/>
        </w:rPr>
      </w:pPr>
      <w:r>
        <w:rPr>
          <w:rFonts w:ascii="Arial" w:cs="Arial" w:eastAsia="Arial" w:hAnsi="Arial"/>
          <w:sz w:val="22"/>
          <w:szCs w:val="22"/>
          <w:color w:val="FEFEFE"/>
        </w:rPr>
        <w:t>THE BOARD OF DIRECTORS RECOMMENDS A VOTE “FOR” APPROVAL OF AMENDMENT OF THE LUCID GROUP, INC. 2021 STOCK INCENTIVE PLAN, AS REFLECTED IN THE AMENDED AND RESTATED LUCID GROUP, INC. STOCK INCENTIVE PLAN</w:t>
      </w:r>
    </w:p>
    <w:p>
      <w:pPr>
        <w:sectPr>
          <w:pgSz w:w="11900" w:h="16838" w:orient="portrait"/>
          <w:cols w:equalWidth="0" w:num="1">
            <w:col w:w="10040"/>
          </w:cols>
          <w:pgMar w:left="580" w:top="132"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60"/>
        <w:spacing w:after="0"/>
        <w:tabs>
          <w:tab w:leader="none" w:pos="9880" w:val="left"/>
        </w:tabs>
        <w:rPr>
          <w:sz w:val="20"/>
          <w:szCs w:val="20"/>
          <w:color w:val="auto"/>
        </w:rPr>
      </w:pPr>
      <w:r>
        <w:rPr>
          <w:rFonts w:ascii="Arial" w:cs="Arial" w:eastAsia="Arial" w:hAnsi="Arial"/>
          <w:sz w:val="13"/>
          <w:szCs w:val="13"/>
          <w:color w:val="auto"/>
        </w:rPr>
        <w:t>2022 Proxy Statement</w:t>
      </w:r>
      <w:r>
        <w:rPr>
          <w:sz w:val="20"/>
          <w:szCs w:val="20"/>
          <w:color w:val="auto"/>
        </w:rPr>
        <w:tab/>
      </w:r>
      <w:r>
        <w:rPr>
          <w:rFonts w:ascii="Arial" w:cs="Arial" w:eastAsia="Arial" w:hAnsi="Arial"/>
          <w:sz w:val="12"/>
          <w:szCs w:val="12"/>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type w:val="continuous"/>
        </w:sectPr>
      </w:pPr>
    </w:p>
    <w:bookmarkStart w:id="46" w:name="page47"/>
    <w:bookmarkEnd w:id="46"/>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36"/>
          <w:szCs w:val="36"/>
          <w:b w:val="1"/>
          <w:bCs w:val="1"/>
          <w:color w:val="auto"/>
        </w:rPr>
        <w:t>Lucid ESG: Principles and Impact</w:t>
      </w:r>
    </w:p>
    <w:p>
      <w:pPr>
        <w:spacing w:after="0" w:line="200" w:lineRule="exact"/>
        <w:rPr>
          <w:sz w:val="20"/>
          <w:szCs w:val="20"/>
          <w:color w:val="auto"/>
        </w:rPr>
      </w:pPr>
    </w:p>
    <w:p>
      <w:pPr>
        <w:spacing w:after="0" w:line="210" w:lineRule="exact"/>
        <w:rPr>
          <w:sz w:val="20"/>
          <w:szCs w:val="20"/>
          <w:color w:val="auto"/>
        </w:rPr>
      </w:pPr>
    </w:p>
    <w:p>
      <w:pPr>
        <w:ind w:left="660" w:right="60"/>
        <w:spacing w:after="0" w:line="284" w:lineRule="auto"/>
        <w:rPr>
          <w:sz w:val="20"/>
          <w:szCs w:val="20"/>
          <w:color w:val="auto"/>
        </w:rPr>
      </w:pPr>
      <w:r>
        <w:rPr>
          <w:rFonts w:ascii="Arial" w:cs="Arial" w:eastAsia="Arial" w:hAnsi="Arial"/>
          <w:sz w:val="16"/>
          <w:szCs w:val="16"/>
          <w:color w:val="auto"/>
        </w:rPr>
        <w:t>We believe that principles and goals need to be realized through results and impact. We measure success through the impact of our efforts: on environmental matters, social matters, and economic matters. And we believe that it is critical to underpin these efforts with robust corporate governance and transparency to the stockholders who entrust us with the critical mission to contribute to the transformation of our world. We all face an existential crisis from climate change, and we seek to help address this crisis by inspiring the adoption of sustainable transportation and energy. As an electric vehicle company relentlessly focused on efficiency, our products and in-house technology are key to this mission through the performance and range that they unlock.</w:t>
      </w:r>
    </w:p>
    <w:p>
      <w:pPr>
        <w:spacing w:after="0" w:line="206" w:lineRule="exact"/>
        <w:rPr>
          <w:sz w:val="20"/>
          <w:szCs w:val="20"/>
          <w:color w:val="auto"/>
        </w:rPr>
      </w:pPr>
    </w:p>
    <w:p>
      <w:pPr>
        <w:ind w:left="660"/>
        <w:spacing w:after="0" w:line="284" w:lineRule="auto"/>
        <w:rPr>
          <w:sz w:val="20"/>
          <w:szCs w:val="20"/>
          <w:color w:val="auto"/>
        </w:rPr>
      </w:pPr>
      <w:r>
        <w:rPr>
          <w:rFonts w:ascii="Arial" w:cs="Arial" w:eastAsia="Arial" w:hAnsi="Arial"/>
          <w:sz w:val="16"/>
          <w:szCs w:val="16"/>
          <w:color w:val="auto"/>
        </w:rPr>
        <w:t>We are laying the groundwork for a holistic environmental, social, and governance (“ESG”) strategy to maximize our ability to positively impact our environment and society, align with investor expectations, and instill pride and purpose in our employees and customers. In 2021, we completed a high-level materiality assessment to identify priority ESG goals for our organization, taking into account insights with respect to investor expectations, peer company activities, consumer trends, and other factors. We formed an ESG Steering Committee to oversee our ESG strategy and governance which is comprised of senior executive leaders. In 2022, we are focusing on certain priority areas for our company including carbon accounting and emissions, diversity, equity and inclusion, and sustainable materials and design. We intend to identify and commit to targets in each area.</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making an impact already in several critical ways, including:</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Our Technology</w:t>
      </w:r>
    </w:p>
    <w:p>
      <w:pPr>
        <w:spacing w:after="0" w:line="145" w:lineRule="exact"/>
        <w:rPr>
          <w:sz w:val="20"/>
          <w:szCs w:val="20"/>
          <w:color w:val="auto"/>
        </w:rPr>
      </w:pPr>
    </w:p>
    <w:p>
      <w:pPr>
        <w:ind w:left="820" w:right="140" w:hanging="166"/>
        <w:spacing w:after="0" w:line="285" w:lineRule="auto"/>
        <w:tabs>
          <w:tab w:leader="none" w:pos="820" w:val="left"/>
        </w:tabs>
        <w:numPr>
          <w:ilvl w:val="0"/>
          <w:numId w:val="25"/>
        </w:numPr>
        <w:rPr>
          <w:rFonts w:ascii="Arial" w:cs="Arial" w:eastAsia="Arial" w:hAnsi="Arial"/>
          <w:sz w:val="16"/>
          <w:szCs w:val="16"/>
          <w:color w:val="886B25"/>
        </w:rPr>
      </w:pPr>
      <w:r>
        <w:rPr>
          <w:rFonts w:ascii="Arial" w:cs="Arial" w:eastAsia="Arial" w:hAnsi="Arial"/>
          <w:sz w:val="16"/>
          <w:szCs w:val="16"/>
          <w:b w:val="1"/>
          <w:bCs w:val="1"/>
          <w:i w:val="1"/>
          <w:iCs w:val="1"/>
          <w:color w:val="auto"/>
        </w:rPr>
        <w:t>Products</w:t>
      </w:r>
      <w:r>
        <w:rPr>
          <w:rFonts w:ascii="Arial" w:cs="Arial" w:eastAsia="Arial" w:hAnsi="Arial"/>
          <w:sz w:val="16"/>
          <w:szCs w:val="16"/>
          <w:color w:val="auto"/>
        </w:rPr>
        <w:t>: The Lucid Air Dream Edition Range achieved an EPA-estimated range of 520 miles per charge and is the longest-range electric vehicle ever rated by the U.S. EPA — capable of delivering 100+ miles of range beyond the closest competitor.* The Grand Touring version of Lucid Air also exceeds the 500 miles threshold, logging an EPA-estimated range of 516 miles per charge. Lucid Air models occupy the top six positions for overall EPA range ratings among all EVs. This achievement is based on a relentless focus on efficiency through the electric vehicle powertrain, battery pack and system, and a highly aerodynamic design with a 0.21 Cd drag coefficient. This focus on efficiency also enables our vehicles to travel further per electron of energy than any other electric vehicle in the Large vehicle class. Each extra mile that we extract per kWh of energy means less energy required and fewer carbon emissions from the electrical grid. This same efficient technology and approach also enables the possibility of vehicles with smaller, lower-cost battery packs that retain competitive range — benefitting the environment by requiring fewer battery cells per vehicle. Efficiency is a key measure of the in-house technology embedded in our products, contributing to our goal to offer a best-in-class experience to our customers while benefitting the environment.</w:t>
      </w:r>
    </w:p>
    <w:p>
      <w:pPr>
        <w:spacing w:after="0" w:line="121" w:lineRule="exact"/>
        <w:rPr>
          <w:rFonts w:ascii="Arial" w:cs="Arial" w:eastAsia="Arial" w:hAnsi="Arial"/>
          <w:sz w:val="16"/>
          <w:szCs w:val="16"/>
          <w:color w:val="886B25"/>
        </w:rPr>
      </w:pPr>
    </w:p>
    <w:p>
      <w:pPr>
        <w:ind w:left="820" w:right="20" w:hanging="166"/>
        <w:spacing w:after="0" w:line="287" w:lineRule="auto"/>
        <w:tabs>
          <w:tab w:leader="none" w:pos="820" w:val="left"/>
        </w:tabs>
        <w:numPr>
          <w:ilvl w:val="0"/>
          <w:numId w:val="25"/>
        </w:numPr>
        <w:rPr>
          <w:rFonts w:ascii="Arial" w:cs="Arial" w:eastAsia="Arial" w:hAnsi="Arial"/>
          <w:sz w:val="16"/>
          <w:szCs w:val="16"/>
          <w:color w:val="886B25"/>
        </w:rPr>
      </w:pPr>
      <w:r>
        <w:rPr>
          <w:rFonts w:ascii="Arial" w:cs="Arial" w:eastAsia="Arial" w:hAnsi="Arial"/>
          <w:sz w:val="16"/>
          <w:szCs w:val="16"/>
          <w:b w:val="1"/>
          <w:bCs w:val="1"/>
          <w:i w:val="1"/>
          <w:iCs w:val="1"/>
          <w:color w:val="auto"/>
        </w:rPr>
        <w:t>Charging Infrastructure</w:t>
      </w:r>
      <w:r>
        <w:rPr>
          <w:rFonts w:ascii="Arial" w:cs="Arial" w:eastAsia="Arial" w:hAnsi="Arial"/>
          <w:sz w:val="16"/>
          <w:szCs w:val="16"/>
          <w:color w:val="auto"/>
        </w:rPr>
        <w:t>: We are taking steps to support the development and standardization of EV charging infrastructure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thereby further drive the adoption of sustainable electric vehicles. In 2016, we joined CharIN Association which is a leading global non-profit dedicated to promoting interoperability based on the Combined Charging System (CCS) as the global standard for electric vehicle charging. In 2021, we hosted a ‘Testival’ with CharIN at our corporate headquarters, inviting 230+ e-mobility experts from 85 business and 9 countries to participate in testing and technology discussions. To further promote EV adoption by our own employees, we have installed 83 charging stations at our corporate headquarters and factory. And we are engaged with policymakers at the U.S. Federal and state levels to participate in the development of strategies to deploy charging capacity across the United States.</w:t>
      </w:r>
    </w:p>
    <w:p>
      <w:pPr>
        <w:spacing w:after="0" w:line="116" w:lineRule="exact"/>
        <w:rPr>
          <w:rFonts w:ascii="Arial" w:cs="Arial" w:eastAsia="Arial" w:hAnsi="Arial"/>
          <w:sz w:val="16"/>
          <w:szCs w:val="16"/>
          <w:color w:val="886B25"/>
        </w:rPr>
      </w:pPr>
    </w:p>
    <w:p>
      <w:pPr>
        <w:ind w:left="820" w:right="80" w:hanging="166"/>
        <w:spacing w:after="0" w:line="287" w:lineRule="auto"/>
        <w:tabs>
          <w:tab w:leader="none" w:pos="820" w:val="left"/>
        </w:tabs>
        <w:numPr>
          <w:ilvl w:val="0"/>
          <w:numId w:val="25"/>
        </w:numPr>
        <w:rPr>
          <w:rFonts w:ascii="Arial" w:cs="Arial" w:eastAsia="Arial" w:hAnsi="Arial"/>
          <w:sz w:val="16"/>
          <w:szCs w:val="16"/>
          <w:color w:val="886B25"/>
        </w:rPr>
      </w:pPr>
      <w:r>
        <w:rPr>
          <w:rFonts w:ascii="Arial" w:cs="Arial" w:eastAsia="Arial" w:hAnsi="Arial"/>
          <w:sz w:val="16"/>
          <w:szCs w:val="16"/>
          <w:b w:val="1"/>
          <w:bCs w:val="1"/>
          <w:i w:val="1"/>
          <w:iCs w:val="1"/>
          <w:color w:val="auto"/>
        </w:rPr>
        <w:t>Future Adaptations of our Technology</w:t>
      </w:r>
      <w:r>
        <w:rPr>
          <w:rFonts w:ascii="Arial" w:cs="Arial" w:eastAsia="Arial" w:hAnsi="Arial"/>
          <w:sz w:val="16"/>
          <w:szCs w:val="16"/>
          <w:color w:val="auto"/>
        </w:rPr>
        <w:t>: We are exploring opportunities to adapt and expand the impact of our technology.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example, we expect our battery systems expertise to enable us to produce compelling stationary energy storage system (ESS) products that offer flexibility, efficiency, and stability to our customers and the electrical grid across the residential, commercial, and utility-scale energy storage sectors. We also expect our battery systems and powertrain expertise to enable customers to power their homes through vehicle-to-grid (V2G) charging capabilities, adding resiliency to customers’ power supply and reducing impact on the grid during power outages and shortages. And we plan to explore opportunities to accelerate the transition to sustainable transportation by supplying or licensing built-to-print electric powertrain and battery system solutions based on our proprietary technology to manufacturers in the automotive, aerospace, and maritime spaces.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119380</wp:posOffset>
            </wp:positionV>
            <wp:extent cx="123444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14" w:lineRule="exact"/>
        <w:rPr>
          <w:sz w:val="20"/>
          <w:szCs w:val="20"/>
          <w:color w:val="auto"/>
        </w:rPr>
      </w:pPr>
    </w:p>
    <w:p>
      <w:pPr>
        <w:ind w:left="700" w:right="120" w:hanging="46"/>
        <w:spacing w:after="0" w:line="238" w:lineRule="auto"/>
        <w:tabs>
          <w:tab w:leader="none" w:pos="700" w:val="left"/>
        </w:tabs>
        <w:numPr>
          <w:ilvl w:val="0"/>
          <w:numId w:val="26"/>
        </w:numPr>
        <w:rPr>
          <w:rFonts w:ascii="Arial" w:cs="Arial" w:eastAsia="Arial" w:hAnsi="Arial"/>
          <w:sz w:val="11"/>
          <w:szCs w:val="11"/>
          <w:color w:val="auto"/>
        </w:rPr>
      </w:pPr>
      <w:r>
        <w:rPr>
          <w:rFonts w:ascii="Arial" w:cs="Arial" w:eastAsia="Arial" w:hAnsi="Arial"/>
          <w:sz w:val="11"/>
          <w:szCs w:val="11"/>
          <w:color w:val="auto"/>
        </w:rPr>
        <w:t>Ranges are cited for vehicles equipped with 19-inch wheels, and actual range will vary dependent on many factors including battery age, driving habits, charging habits, temperatures, accessory use, and other factors</w:t>
      </w:r>
    </w:p>
    <w:p>
      <w:pPr>
        <w:spacing w:after="0" w:line="392"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2"/>
          <w:szCs w:val="12"/>
          <w:b w:val="1"/>
          <w:bCs w:val="1"/>
          <w:color w:val="auto"/>
        </w:rPr>
        <w:t>38</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110490</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sectPr>
      </w:pPr>
    </w:p>
    <w:bookmarkStart w:id="47" w:name="page48"/>
    <w:bookmarkEnd w:id="47"/>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Our Company</w:t>
      </w:r>
    </w:p>
    <w:p>
      <w:pPr>
        <w:spacing w:after="0" w:line="145" w:lineRule="exact"/>
        <w:rPr>
          <w:sz w:val="20"/>
          <w:szCs w:val="20"/>
          <w:color w:val="auto"/>
        </w:rPr>
      </w:pPr>
    </w:p>
    <w:p>
      <w:pPr>
        <w:ind w:left="820" w:right="100" w:hanging="166"/>
        <w:spacing w:after="0" w:line="295" w:lineRule="auto"/>
        <w:tabs>
          <w:tab w:leader="none" w:pos="820" w:val="left"/>
        </w:tabs>
        <w:numPr>
          <w:ilvl w:val="0"/>
          <w:numId w:val="27"/>
        </w:numPr>
        <w:rPr>
          <w:rFonts w:ascii="Arial" w:cs="Arial" w:eastAsia="Arial" w:hAnsi="Arial"/>
          <w:sz w:val="16"/>
          <w:szCs w:val="16"/>
          <w:color w:val="886B25"/>
        </w:rPr>
      </w:pPr>
      <w:r>
        <w:rPr>
          <w:rFonts w:ascii="Arial" w:cs="Arial" w:eastAsia="Arial" w:hAnsi="Arial"/>
          <w:sz w:val="16"/>
          <w:szCs w:val="16"/>
          <w:b w:val="1"/>
          <w:bCs w:val="1"/>
          <w:i w:val="1"/>
          <w:iCs w:val="1"/>
          <w:color w:val="auto"/>
        </w:rPr>
        <w:t>Finances</w:t>
      </w:r>
      <w:r>
        <w:rPr>
          <w:rFonts w:ascii="Arial" w:cs="Arial" w:eastAsia="Arial" w:hAnsi="Arial"/>
          <w:sz w:val="16"/>
          <w:szCs w:val="16"/>
          <w:color w:val="auto"/>
        </w:rPr>
        <w:t>: We are incorporating ESG into our decision-making on financing efforts, large and small. For example,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2021, we raised approximately $2 billion through convertible senior notes which we designated as green bonds, meaning we will spend $2 billion on green-eligible investments. This issuance was one of the largest green convertible offerings in market history to date, and it underscores our commitment to addressing climate change and environmental challenges.</w:t>
      </w:r>
    </w:p>
    <w:p>
      <w:pPr>
        <w:spacing w:after="0" w:line="94" w:lineRule="exact"/>
        <w:rPr>
          <w:rFonts w:ascii="Arial" w:cs="Arial" w:eastAsia="Arial" w:hAnsi="Arial"/>
          <w:sz w:val="16"/>
          <w:szCs w:val="16"/>
          <w:color w:val="886B25"/>
        </w:rPr>
      </w:pPr>
    </w:p>
    <w:p>
      <w:pPr>
        <w:ind w:left="820" w:right="100" w:hanging="166"/>
        <w:spacing w:after="0" w:line="289" w:lineRule="auto"/>
        <w:tabs>
          <w:tab w:leader="none" w:pos="820" w:val="left"/>
        </w:tabs>
        <w:numPr>
          <w:ilvl w:val="0"/>
          <w:numId w:val="27"/>
        </w:numPr>
        <w:rPr>
          <w:rFonts w:ascii="Arial" w:cs="Arial" w:eastAsia="Arial" w:hAnsi="Arial"/>
          <w:sz w:val="16"/>
          <w:szCs w:val="16"/>
          <w:color w:val="886B25"/>
        </w:rPr>
      </w:pPr>
      <w:r>
        <w:rPr>
          <w:rFonts w:ascii="Arial" w:cs="Arial" w:eastAsia="Arial" w:hAnsi="Arial"/>
          <w:sz w:val="16"/>
          <w:szCs w:val="16"/>
          <w:b w:val="1"/>
          <w:bCs w:val="1"/>
          <w:i w:val="1"/>
          <w:iCs w:val="1"/>
          <w:color w:val="auto"/>
        </w:rPr>
        <w:t>Environmental operations</w:t>
      </w:r>
      <w:r>
        <w:rPr>
          <w:rFonts w:ascii="Arial" w:cs="Arial" w:eastAsia="Arial" w:hAnsi="Arial"/>
          <w:sz w:val="16"/>
          <w:szCs w:val="16"/>
          <w:color w:val="auto"/>
        </w:rPr>
        <w:t>: Our factory in Casa Grande, Arizona is the first greenfield EV factory in North America, and it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designed to minimize carbon emissions where practical through energy efficient design and plans for renewable energy generation onsite. We currently have a 1 mega-watt (MW) capacity solar power system installed onsite and plans in place to expand in 2022, and in total we have 2 MW capacity of solar panels across our network including solar panels installed at our California headquarters. We also recycle batteries from our production process, and we are working on a strategy for end-of-life solutions for cells including re-use and closed-loop opportunities.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Our People</w:t>
      </w:r>
    </w:p>
    <w:p>
      <w:pPr>
        <w:spacing w:after="0" w:line="145" w:lineRule="exact"/>
        <w:rPr>
          <w:sz w:val="20"/>
          <w:szCs w:val="20"/>
          <w:color w:val="auto"/>
        </w:rPr>
      </w:pPr>
    </w:p>
    <w:p>
      <w:pPr>
        <w:ind w:left="820" w:right="20" w:hanging="166"/>
        <w:spacing w:after="0" w:line="287" w:lineRule="auto"/>
        <w:tabs>
          <w:tab w:leader="none" w:pos="820" w:val="left"/>
        </w:tabs>
        <w:numPr>
          <w:ilvl w:val="0"/>
          <w:numId w:val="28"/>
        </w:numPr>
        <w:rPr>
          <w:rFonts w:ascii="Arial" w:cs="Arial" w:eastAsia="Arial" w:hAnsi="Arial"/>
          <w:sz w:val="16"/>
          <w:szCs w:val="16"/>
          <w:color w:val="886B25"/>
        </w:rPr>
      </w:pPr>
      <w:r>
        <w:rPr>
          <w:rFonts w:ascii="Arial" w:cs="Arial" w:eastAsia="Arial" w:hAnsi="Arial"/>
          <w:sz w:val="16"/>
          <w:szCs w:val="16"/>
          <w:b w:val="1"/>
          <w:bCs w:val="1"/>
          <w:i w:val="1"/>
          <w:iCs w:val="1"/>
          <w:color w:val="auto"/>
        </w:rPr>
        <w:t>Safety</w:t>
      </w:r>
      <w:r>
        <w:rPr>
          <w:rFonts w:ascii="Arial" w:cs="Arial" w:eastAsia="Arial" w:hAnsi="Arial"/>
          <w:sz w:val="16"/>
          <w:szCs w:val="16"/>
          <w:color w:val="auto"/>
        </w:rPr>
        <w:t>: We seek to protect the health and safety of our employees, business partners, and stakeholders by instilling a culture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safety in our workplaces. For example, we provide mandatory safety training to employees and visitors to our manufacturing facilities, and we have an onsite medical clinic at our Arizona facility for medical triage and occupational injuries and illnesses. During the COVID-19 pandemic, we developed and implemented a robust response plan and protocol to enable continued development of our products while mitigating exposure risk to our personnel, implemented a 24/7 Response Team for employee questions, conducted contact tracing with regular reports to employees on potential exposure, offered multiple onsite vaccination clinics for employees and their dependents, and recently implemented a vaccination requirement for new hires and visitors to our facilities.</w:t>
      </w:r>
    </w:p>
    <w:p>
      <w:pPr>
        <w:spacing w:after="0" w:line="102" w:lineRule="exact"/>
        <w:rPr>
          <w:rFonts w:ascii="Arial" w:cs="Arial" w:eastAsia="Arial" w:hAnsi="Arial"/>
          <w:sz w:val="16"/>
          <w:szCs w:val="16"/>
          <w:color w:val="886B25"/>
        </w:rPr>
      </w:pPr>
    </w:p>
    <w:p>
      <w:pPr>
        <w:ind w:left="820" w:right="20" w:hanging="166"/>
        <w:spacing w:after="0" w:line="285" w:lineRule="auto"/>
        <w:tabs>
          <w:tab w:leader="none" w:pos="820" w:val="left"/>
        </w:tabs>
        <w:numPr>
          <w:ilvl w:val="0"/>
          <w:numId w:val="28"/>
        </w:numPr>
        <w:rPr>
          <w:rFonts w:ascii="Arial" w:cs="Arial" w:eastAsia="Arial" w:hAnsi="Arial"/>
          <w:sz w:val="16"/>
          <w:szCs w:val="16"/>
          <w:color w:val="886B25"/>
        </w:rPr>
      </w:pPr>
      <w:r>
        <w:rPr>
          <w:rFonts w:ascii="Arial" w:cs="Arial" w:eastAsia="Arial" w:hAnsi="Arial"/>
          <w:sz w:val="16"/>
          <w:szCs w:val="16"/>
          <w:b w:val="1"/>
          <w:bCs w:val="1"/>
          <w:i w:val="1"/>
          <w:iCs w:val="1"/>
          <w:color w:val="auto"/>
        </w:rPr>
        <w:t>Diversity, Equity, and Inclusion</w:t>
      </w:r>
      <w:r>
        <w:rPr>
          <w:rFonts w:ascii="Arial" w:cs="Arial" w:eastAsia="Arial" w:hAnsi="Arial"/>
          <w:sz w:val="16"/>
          <w:szCs w:val="16"/>
          <w:color w:val="auto"/>
        </w:rPr>
        <w:t>: We are committed to diversity, equity, and inclusion in the workplace. We believe that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differences spark innovation. We seek to foster an equitable and inclusive work culture in which employees from all backgrounds can thrive and become partners to our local communities, and to inspire passionate innovators to join Lucid from around the world. This commitment is reflected in our company today; as of April 1, 2022, Lucid proudly notes that our leadership team includes two women, our CFO and VP of Software Validation, and three leaders from underrepresented communities; our Board of Directors includes three females and three members of underrepresented communities. We continue to drive results through initiatives such as: training on DEI topics like inclusive leadership, psychological safety, allyship, and inclusion; employee resource groups for fostering belonging and driving community outreach such as Women at Lucid, Veterans at Lucid, and Pride at Lucid; and partnerships for diversity recruiting such as with DisabilityIn (a nonprofit resource for disability inclusion), Fairygodboss (one of the largest career communities for women), the Society of Hispanic Professional Engineers (SHPE), and the Society of Women Engineers (SWE). We continue to review and expand our efforts in this area as we continue to grow as a global employer of choice.</w:t>
      </w:r>
    </w:p>
    <w:p>
      <w:pPr>
        <w:sectPr>
          <w:pgSz w:w="11900" w:h="16838" w:orient="portrait"/>
          <w:cols w:equalWidth="0" w:num="1">
            <w:col w:w="10040"/>
          </w:cols>
          <w:pgMar w:left="580" w:top="132"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60"/>
        <w:spacing w:after="0"/>
        <w:tabs>
          <w:tab w:leader="none" w:pos="9880" w:val="left"/>
        </w:tabs>
        <w:rPr>
          <w:sz w:val="20"/>
          <w:szCs w:val="20"/>
          <w:color w:val="auto"/>
        </w:rPr>
      </w:pPr>
      <w:r>
        <w:rPr>
          <w:rFonts w:ascii="Arial" w:cs="Arial" w:eastAsia="Arial" w:hAnsi="Arial"/>
          <w:sz w:val="13"/>
          <w:szCs w:val="13"/>
          <w:color w:val="auto"/>
        </w:rPr>
        <w:t>2022 Proxy Statement</w:t>
      </w:r>
      <w:r>
        <w:rPr>
          <w:sz w:val="20"/>
          <w:szCs w:val="20"/>
          <w:color w:val="auto"/>
        </w:rPr>
        <w:tab/>
      </w:r>
      <w:r>
        <w:rPr>
          <w:rFonts w:ascii="Arial" w:cs="Arial" w:eastAsia="Arial" w:hAnsi="Arial"/>
          <w:sz w:val="12"/>
          <w:szCs w:val="12"/>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type w:val="continuous"/>
        </w:sectPr>
      </w:pPr>
    </w:p>
    <w:bookmarkStart w:id="48" w:name="page49"/>
    <w:bookmarkEnd w:id="48"/>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36"/>
          <w:szCs w:val="36"/>
          <w:b w:val="1"/>
          <w:bCs w:val="1"/>
          <w:color w:val="auto"/>
        </w:rPr>
        <w:t>Executive Officers</w:t>
      </w:r>
    </w:p>
    <w:p>
      <w:pPr>
        <w:spacing w:after="0" w:line="200" w:lineRule="exact"/>
        <w:rPr>
          <w:sz w:val="20"/>
          <w:szCs w:val="20"/>
          <w:color w:val="auto"/>
        </w:rPr>
      </w:pPr>
    </w:p>
    <w:p>
      <w:pPr>
        <w:spacing w:after="0" w:line="2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certain information concerning our executive officers as of the date of this Proxy Statement:</w:t>
      </w:r>
    </w:p>
    <w:p>
      <w:pPr>
        <w:spacing w:after="0" w:line="287" w:lineRule="exact"/>
        <w:rPr>
          <w:sz w:val="20"/>
          <w:szCs w:val="20"/>
          <w:color w:val="auto"/>
        </w:rPr>
      </w:pPr>
    </w:p>
    <w:tbl>
      <w:tblPr>
        <w:tblLayout w:type="fixed"/>
        <w:tblInd w:w="660" w:type="dxa"/>
        <w:tblCellMar>
          <w:top w:w="0" w:type="dxa"/>
          <w:left w:w="0" w:type="dxa"/>
          <w:bottom w:w="0" w:type="dxa"/>
          <w:right w:w="0" w:type="dxa"/>
        </w:tblCellMar>
      </w:tblPr>
      <w:tr>
        <w:trPr>
          <w:trHeight w:val="281"/>
        </w:trPr>
        <w:tc>
          <w:tcPr>
            <w:tcW w:w="3020" w:type="dxa"/>
            <w:vAlign w:val="bottom"/>
            <w:shd w:val="clear" w:color="auto" w:fill="000000"/>
          </w:tcPr>
          <w:p>
            <w:pPr>
              <w:ind w:left="160"/>
              <w:spacing w:after="0"/>
              <w:rPr>
                <w:sz w:val="20"/>
                <w:szCs w:val="20"/>
                <w:color w:val="auto"/>
              </w:rPr>
            </w:pPr>
            <w:r>
              <w:rPr>
                <w:rFonts w:ascii="Arial" w:cs="Arial" w:eastAsia="Arial" w:hAnsi="Arial"/>
                <w:sz w:val="13"/>
                <w:szCs w:val="13"/>
                <w:b w:val="1"/>
                <w:bCs w:val="1"/>
                <w:color w:val="FEFEFE"/>
              </w:rPr>
              <w:t>Name</w:t>
            </w:r>
          </w:p>
        </w:tc>
        <w:tc>
          <w:tcPr>
            <w:tcW w:w="2180" w:type="dxa"/>
            <w:vAlign w:val="bottom"/>
            <w:shd w:val="clear" w:color="auto" w:fill="000000"/>
          </w:tcPr>
          <w:p>
            <w:pPr>
              <w:ind w:left="1840"/>
              <w:spacing w:after="0"/>
              <w:rPr>
                <w:sz w:val="20"/>
                <w:szCs w:val="20"/>
                <w:color w:val="auto"/>
              </w:rPr>
            </w:pPr>
            <w:r>
              <w:rPr>
                <w:rFonts w:ascii="Arial" w:cs="Arial" w:eastAsia="Arial" w:hAnsi="Arial"/>
                <w:sz w:val="13"/>
                <w:szCs w:val="13"/>
                <w:b w:val="1"/>
                <w:bCs w:val="1"/>
                <w:color w:val="FEFEFE"/>
              </w:rPr>
              <w:t>Age</w:t>
            </w:r>
          </w:p>
        </w:tc>
        <w:tc>
          <w:tcPr>
            <w:tcW w:w="4180" w:type="dxa"/>
            <w:vAlign w:val="bottom"/>
            <w:shd w:val="clear" w:color="auto" w:fill="000000"/>
          </w:tcPr>
          <w:p>
            <w:pPr>
              <w:ind w:left="1800"/>
              <w:spacing w:after="0"/>
              <w:rPr>
                <w:sz w:val="20"/>
                <w:szCs w:val="20"/>
                <w:color w:val="auto"/>
              </w:rPr>
            </w:pPr>
            <w:r>
              <w:rPr>
                <w:rFonts w:ascii="Arial" w:cs="Arial" w:eastAsia="Arial" w:hAnsi="Arial"/>
                <w:sz w:val="13"/>
                <w:szCs w:val="13"/>
                <w:b w:val="1"/>
                <w:bCs w:val="1"/>
                <w:color w:val="FEFEFE"/>
              </w:rPr>
              <w:t>Position</w:t>
            </w:r>
          </w:p>
        </w:tc>
      </w:tr>
      <w:tr>
        <w:trPr>
          <w:trHeight w:val="124"/>
        </w:trPr>
        <w:tc>
          <w:tcPr>
            <w:tcW w:w="3020" w:type="dxa"/>
            <w:vAlign w:val="bottom"/>
            <w:shd w:val="clear" w:color="auto" w:fill="000000"/>
          </w:tcPr>
          <w:p>
            <w:pPr>
              <w:spacing w:after="0"/>
              <w:rPr>
                <w:sz w:val="10"/>
                <w:szCs w:val="10"/>
                <w:color w:val="auto"/>
              </w:rPr>
            </w:pPr>
          </w:p>
        </w:tc>
        <w:tc>
          <w:tcPr>
            <w:tcW w:w="2180" w:type="dxa"/>
            <w:vAlign w:val="bottom"/>
            <w:shd w:val="clear" w:color="auto" w:fill="000000"/>
          </w:tcPr>
          <w:p>
            <w:pPr>
              <w:spacing w:after="0"/>
              <w:rPr>
                <w:sz w:val="10"/>
                <w:szCs w:val="10"/>
                <w:color w:val="auto"/>
              </w:rPr>
            </w:pPr>
          </w:p>
        </w:tc>
        <w:tc>
          <w:tcPr>
            <w:tcW w:w="4180" w:type="dxa"/>
            <w:vAlign w:val="bottom"/>
            <w:shd w:val="clear" w:color="auto" w:fill="000000"/>
          </w:tcPr>
          <w:p>
            <w:pPr>
              <w:spacing w:after="0"/>
              <w:rPr>
                <w:sz w:val="10"/>
                <w:szCs w:val="10"/>
                <w:color w:val="auto"/>
              </w:rPr>
            </w:pPr>
          </w:p>
        </w:tc>
      </w:tr>
      <w:tr>
        <w:trPr>
          <w:trHeight w:val="312"/>
        </w:trPr>
        <w:tc>
          <w:tcPr>
            <w:tcW w:w="3020" w:type="dxa"/>
            <w:vAlign w:val="bottom"/>
          </w:tcPr>
          <w:p>
            <w:pPr>
              <w:ind w:left="160"/>
              <w:spacing w:after="0"/>
              <w:rPr>
                <w:sz w:val="20"/>
                <w:szCs w:val="20"/>
                <w:color w:val="auto"/>
              </w:rPr>
            </w:pPr>
            <w:r>
              <w:rPr>
                <w:rFonts w:ascii="Arial" w:cs="Arial" w:eastAsia="Arial" w:hAnsi="Arial"/>
                <w:sz w:val="14"/>
                <w:szCs w:val="14"/>
                <w:color w:val="auto"/>
              </w:rPr>
              <w:t>Peter Rawlinson</w:t>
            </w:r>
          </w:p>
        </w:tc>
        <w:tc>
          <w:tcPr>
            <w:tcW w:w="2180" w:type="dxa"/>
            <w:vAlign w:val="bottom"/>
          </w:tcPr>
          <w:p>
            <w:pPr>
              <w:ind w:left="1840"/>
              <w:spacing w:after="0"/>
              <w:rPr>
                <w:sz w:val="20"/>
                <w:szCs w:val="20"/>
                <w:color w:val="auto"/>
              </w:rPr>
            </w:pPr>
            <w:r>
              <w:rPr>
                <w:rFonts w:ascii="Arial" w:cs="Arial" w:eastAsia="Arial" w:hAnsi="Arial"/>
                <w:sz w:val="14"/>
                <w:szCs w:val="14"/>
                <w:color w:val="auto"/>
              </w:rPr>
              <w:t>64</w:t>
            </w:r>
          </w:p>
        </w:tc>
        <w:tc>
          <w:tcPr>
            <w:tcW w:w="4180" w:type="dxa"/>
            <w:vAlign w:val="bottom"/>
          </w:tcPr>
          <w:p>
            <w:pPr>
              <w:ind w:left="120"/>
              <w:spacing w:after="0"/>
              <w:rPr>
                <w:sz w:val="20"/>
                <w:szCs w:val="20"/>
                <w:color w:val="auto"/>
              </w:rPr>
            </w:pPr>
            <w:r>
              <w:rPr>
                <w:rFonts w:ascii="Arial" w:cs="Arial" w:eastAsia="Arial" w:hAnsi="Arial"/>
                <w:sz w:val="14"/>
                <w:szCs w:val="14"/>
                <w:color w:val="auto"/>
              </w:rPr>
              <w:t>Chief Executive Officer, Chief Technology Officer &amp; Director</w:t>
            </w:r>
          </w:p>
        </w:tc>
      </w:tr>
      <w:tr>
        <w:trPr>
          <w:trHeight w:val="93"/>
        </w:trPr>
        <w:tc>
          <w:tcPr>
            <w:tcW w:w="302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4180" w:type="dxa"/>
            <w:vAlign w:val="bottom"/>
            <w:tcBorders>
              <w:bottom w:val="single" w:sz="8" w:color="auto"/>
            </w:tcBorders>
          </w:tcPr>
          <w:p>
            <w:pPr>
              <w:spacing w:after="0"/>
              <w:rPr>
                <w:sz w:val="8"/>
                <w:szCs w:val="8"/>
                <w:color w:val="auto"/>
              </w:rPr>
            </w:pPr>
          </w:p>
        </w:tc>
      </w:tr>
      <w:tr>
        <w:trPr>
          <w:trHeight w:val="292"/>
        </w:trPr>
        <w:tc>
          <w:tcPr>
            <w:tcW w:w="3020" w:type="dxa"/>
            <w:vAlign w:val="bottom"/>
            <w:shd w:val="clear" w:color="auto" w:fill="F7F7F7"/>
          </w:tcPr>
          <w:p>
            <w:pPr>
              <w:ind w:left="160"/>
              <w:spacing w:after="0"/>
              <w:rPr>
                <w:sz w:val="20"/>
                <w:szCs w:val="20"/>
                <w:color w:val="auto"/>
              </w:rPr>
            </w:pPr>
            <w:r>
              <w:rPr>
                <w:rFonts w:ascii="Arial" w:cs="Arial" w:eastAsia="Arial" w:hAnsi="Arial"/>
                <w:sz w:val="14"/>
                <w:szCs w:val="14"/>
                <w:color w:val="auto"/>
              </w:rPr>
              <w:t>Sherry House</w:t>
            </w:r>
          </w:p>
        </w:tc>
        <w:tc>
          <w:tcPr>
            <w:tcW w:w="2180" w:type="dxa"/>
            <w:vAlign w:val="bottom"/>
            <w:shd w:val="clear" w:color="auto" w:fill="F7F7F7"/>
          </w:tcPr>
          <w:p>
            <w:pPr>
              <w:ind w:left="1840"/>
              <w:spacing w:after="0"/>
              <w:rPr>
                <w:sz w:val="20"/>
                <w:szCs w:val="20"/>
                <w:color w:val="auto"/>
              </w:rPr>
            </w:pPr>
            <w:r>
              <w:rPr>
                <w:rFonts w:ascii="Arial" w:cs="Arial" w:eastAsia="Arial" w:hAnsi="Arial"/>
                <w:sz w:val="14"/>
                <w:szCs w:val="14"/>
                <w:color w:val="auto"/>
              </w:rPr>
              <w:t>50</w:t>
            </w:r>
          </w:p>
        </w:tc>
        <w:tc>
          <w:tcPr>
            <w:tcW w:w="4180" w:type="dxa"/>
            <w:vAlign w:val="bottom"/>
            <w:shd w:val="clear" w:color="auto" w:fill="F7F7F7"/>
          </w:tcPr>
          <w:p>
            <w:pPr>
              <w:ind w:left="120"/>
              <w:spacing w:after="0"/>
              <w:rPr>
                <w:sz w:val="20"/>
                <w:szCs w:val="20"/>
                <w:color w:val="auto"/>
              </w:rPr>
            </w:pPr>
            <w:r>
              <w:rPr>
                <w:rFonts w:ascii="Arial" w:cs="Arial" w:eastAsia="Arial" w:hAnsi="Arial"/>
                <w:sz w:val="14"/>
                <w:szCs w:val="14"/>
                <w:color w:val="auto"/>
              </w:rPr>
              <w:t>Chief Financial Officer</w:t>
            </w:r>
          </w:p>
        </w:tc>
      </w:tr>
      <w:tr>
        <w:trPr>
          <w:trHeight w:val="107"/>
        </w:trPr>
        <w:tc>
          <w:tcPr>
            <w:tcW w:w="3020" w:type="dxa"/>
            <w:vAlign w:val="bottom"/>
            <w:tcBorders>
              <w:bottom w:val="single" w:sz="8" w:color="auto"/>
            </w:tcBorders>
            <w:shd w:val="clear" w:color="auto" w:fill="F7F7F7"/>
          </w:tcPr>
          <w:p>
            <w:pPr>
              <w:spacing w:after="0"/>
              <w:rPr>
                <w:sz w:val="9"/>
                <w:szCs w:val="9"/>
                <w:color w:val="auto"/>
              </w:rPr>
            </w:pPr>
          </w:p>
        </w:tc>
        <w:tc>
          <w:tcPr>
            <w:tcW w:w="2180" w:type="dxa"/>
            <w:vAlign w:val="bottom"/>
            <w:tcBorders>
              <w:bottom w:val="single" w:sz="8" w:color="auto"/>
            </w:tcBorders>
            <w:shd w:val="clear" w:color="auto" w:fill="F7F7F7"/>
          </w:tcPr>
          <w:p>
            <w:pPr>
              <w:spacing w:after="0"/>
              <w:rPr>
                <w:sz w:val="9"/>
                <w:szCs w:val="9"/>
                <w:color w:val="auto"/>
              </w:rPr>
            </w:pPr>
          </w:p>
        </w:tc>
        <w:tc>
          <w:tcPr>
            <w:tcW w:w="4180" w:type="dxa"/>
            <w:vAlign w:val="bottom"/>
            <w:tcBorders>
              <w:bottom w:val="single" w:sz="8" w:color="auto"/>
            </w:tcBorders>
            <w:shd w:val="clear" w:color="auto" w:fill="F7F7F7"/>
          </w:tcPr>
          <w:p>
            <w:pPr>
              <w:spacing w:after="0"/>
              <w:rPr>
                <w:sz w:val="9"/>
                <w:szCs w:val="9"/>
                <w:color w:val="auto"/>
              </w:rPr>
            </w:pPr>
          </w:p>
        </w:tc>
      </w:tr>
      <w:tr>
        <w:trPr>
          <w:trHeight w:val="292"/>
        </w:trPr>
        <w:tc>
          <w:tcPr>
            <w:tcW w:w="3020" w:type="dxa"/>
            <w:vAlign w:val="bottom"/>
          </w:tcPr>
          <w:p>
            <w:pPr>
              <w:ind w:left="160"/>
              <w:spacing w:after="0"/>
              <w:rPr>
                <w:sz w:val="20"/>
                <w:szCs w:val="20"/>
                <w:color w:val="auto"/>
              </w:rPr>
            </w:pPr>
            <w:r>
              <w:rPr>
                <w:rFonts w:ascii="Arial" w:cs="Arial" w:eastAsia="Arial" w:hAnsi="Arial"/>
                <w:sz w:val="14"/>
                <w:szCs w:val="14"/>
                <w:color w:val="auto"/>
              </w:rPr>
              <w:t>Eric Bach</w:t>
            </w:r>
          </w:p>
        </w:tc>
        <w:tc>
          <w:tcPr>
            <w:tcW w:w="2180" w:type="dxa"/>
            <w:vAlign w:val="bottom"/>
          </w:tcPr>
          <w:p>
            <w:pPr>
              <w:ind w:left="1840"/>
              <w:spacing w:after="0"/>
              <w:rPr>
                <w:sz w:val="20"/>
                <w:szCs w:val="20"/>
                <w:color w:val="auto"/>
              </w:rPr>
            </w:pPr>
            <w:r>
              <w:rPr>
                <w:rFonts w:ascii="Arial" w:cs="Arial" w:eastAsia="Arial" w:hAnsi="Arial"/>
                <w:sz w:val="14"/>
                <w:szCs w:val="14"/>
                <w:color w:val="auto"/>
              </w:rPr>
              <w:t>49</w:t>
            </w:r>
          </w:p>
        </w:tc>
        <w:tc>
          <w:tcPr>
            <w:tcW w:w="4180" w:type="dxa"/>
            <w:vAlign w:val="bottom"/>
          </w:tcPr>
          <w:p>
            <w:pPr>
              <w:ind w:left="120"/>
              <w:spacing w:after="0"/>
              <w:rPr>
                <w:sz w:val="20"/>
                <w:szCs w:val="20"/>
                <w:color w:val="auto"/>
              </w:rPr>
            </w:pPr>
            <w:r>
              <w:rPr>
                <w:rFonts w:ascii="Arial" w:cs="Arial" w:eastAsia="Arial" w:hAnsi="Arial"/>
                <w:sz w:val="14"/>
                <w:szCs w:val="14"/>
                <w:color w:val="auto"/>
              </w:rPr>
              <w:t>Senior Vice President, Product and Chief Engineer</w:t>
            </w:r>
          </w:p>
        </w:tc>
      </w:tr>
      <w:tr>
        <w:trPr>
          <w:trHeight w:val="107"/>
        </w:trPr>
        <w:tc>
          <w:tcPr>
            <w:tcW w:w="302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4180" w:type="dxa"/>
            <w:vAlign w:val="bottom"/>
            <w:tcBorders>
              <w:bottom w:val="single" w:sz="8" w:color="auto"/>
            </w:tcBorders>
          </w:tcPr>
          <w:p>
            <w:pPr>
              <w:spacing w:after="0"/>
              <w:rPr>
                <w:sz w:val="9"/>
                <w:szCs w:val="9"/>
                <w:color w:val="auto"/>
              </w:rPr>
            </w:pPr>
          </w:p>
        </w:tc>
      </w:tr>
      <w:tr>
        <w:trPr>
          <w:trHeight w:val="292"/>
        </w:trPr>
        <w:tc>
          <w:tcPr>
            <w:tcW w:w="3020" w:type="dxa"/>
            <w:vAlign w:val="bottom"/>
            <w:shd w:val="clear" w:color="auto" w:fill="F7F7F7"/>
          </w:tcPr>
          <w:p>
            <w:pPr>
              <w:ind w:left="160"/>
              <w:spacing w:after="0"/>
              <w:rPr>
                <w:sz w:val="20"/>
                <w:szCs w:val="20"/>
                <w:color w:val="auto"/>
              </w:rPr>
            </w:pPr>
            <w:r>
              <w:rPr>
                <w:rFonts w:ascii="Arial" w:cs="Arial" w:eastAsia="Arial" w:hAnsi="Arial"/>
                <w:sz w:val="14"/>
                <w:szCs w:val="14"/>
                <w:color w:val="auto"/>
              </w:rPr>
              <w:t>Michael Bell</w:t>
            </w:r>
          </w:p>
        </w:tc>
        <w:tc>
          <w:tcPr>
            <w:tcW w:w="2180" w:type="dxa"/>
            <w:vAlign w:val="bottom"/>
            <w:shd w:val="clear" w:color="auto" w:fill="F7F7F7"/>
          </w:tcPr>
          <w:p>
            <w:pPr>
              <w:ind w:left="1840"/>
              <w:spacing w:after="0"/>
              <w:rPr>
                <w:sz w:val="20"/>
                <w:szCs w:val="20"/>
                <w:color w:val="auto"/>
              </w:rPr>
            </w:pPr>
            <w:r>
              <w:rPr>
                <w:rFonts w:ascii="Arial" w:cs="Arial" w:eastAsia="Arial" w:hAnsi="Arial"/>
                <w:sz w:val="14"/>
                <w:szCs w:val="14"/>
                <w:color w:val="auto"/>
              </w:rPr>
              <w:t>55</w:t>
            </w:r>
          </w:p>
        </w:tc>
        <w:tc>
          <w:tcPr>
            <w:tcW w:w="4180" w:type="dxa"/>
            <w:vAlign w:val="bottom"/>
            <w:shd w:val="clear" w:color="auto" w:fill="F7F7F7"/>
          </w:tcPr>
          <w:p>
            <w:pPr>
              <w:ind w:left="120"/>
              <w:spacing w:after="0"/>
              <w:rPr>
                <w:sz w:val="20"/>
                <w:szCs w:val="20"/>
                <w:color w:val="auto"/>
              </w:rPr>
            </w:pPr>
            <w:r>
              <w:rPr>
                <w:rFonts w:ascii="Arial" w:cs="Arial" w:eastAsia="Arial" w:hAnsi="Arial"/>
                <w:sz w:val="14"/>
                <w:szCs w:val="14"/>
                <w:color w:val="auto"/>
              </w:rPr>
              <w:t>Senior Vice President, Digital</w:t>
            </w:r>
          </w:p>
        </w:tc>
      </w:tr>
      <w:tr>
        <w:trPr>
          <w:trHeight w:val="107"/>
        </w:trPr>
        <w:tc>
          <w:tcPr>
            <w:tcW w:w="3020" w:type="dxa"/>
            <w:vAlign w:val="bottom"/>
            <w:tcBorders>
              <w:bottom w:val="single" w:sz="8" w:color="auto"/>
            </w:tcBorders>
            <w:shd w:val="clear" w:color="auto" w:fill="F7F7F7"/>
          </w:tcPr>
          <w:p>
            <w:pPr>
              <w:spacing w:after="0"/>
              <w:rPr>
                <w:sz w:val="9"/>
                <w:szCs w:val="9"/>
                <w:color w:val="auto"/>
              </w:rPr>
            </w:pPr>
          </w:p>
        </w:tc>
        <w:tc>
          <w:tcPr>
            <w:tcW w:w="2180" w:type="dxa"/>
            <w:vAlign w:val="bottom"/>
            <w:tcBorders>
              <w:bottom w:val="single" w:sz="8" w:color="auto"/>
            </w:tcBorders>
            <w:shd w:val="clear" w:color="auto" w:fill="F7F7F7"/>
          </w:tcPr>
          <w:p>
            <w:pPr>
              <w:spacing w:after="0"/>
              <w:rPr>
                <w:sz w:val="9"/>
                <w:szCs w:val="9"/>
                <w:color w:val="auto"/>
              </w:rPr>
            </w:pPr>
          </w:p>
        </w:tc>
        <w:tc>
          <w:tcPr>
            <w:tcW w:w="4180" w:type="dxa"/>
            <w:vAlign w:val="bottom"/>
            <w:tcBorders>
              <w:bottom w:val="single" w:sz="8" w:color="auto"/>
            </w:tcBorders>
            <w:shd w:val="clear" w:color="auto" w:fill="F7F7F7"/>
          </w:tcPr>
          <w:p>
            <w:pPr>
              <w:spacing w:after="0"/>
              <w:rPr>
                <w:sz w:val="9"/>
                <w:szCs w:val="9"/>
                <w:color w:val="auto"/>
              </w:rPr>
            </w:pPr>
          </w:p>
        </w:tc>
      </w:tr>
    </w:tbl>
    <w:p>
      <w:pPr>
        <w:spacing w:after="0" w:line="35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are no family relationships between any of our directors and any of our executive officers.</w:t>
      </w:r>
    </w:p>
    <w:p>
      <w:pPr>
        <w:spacing w:after="0" w:line="248" w:lineRule="exact"/>
        <w:rPr>
          <w:sz w:val="20"/>
          <w:szCs w:val="20"/>
          <w:color w:val="auto"/>
        </w:rPr>
      </w:pPr>
    </w:p>
    <w:p>
      <w:pPr>
        <w:ind w:left="660" w:right="240"/>
        <w:spacing w:after="0" w:line="295" w:lineRule="auto"/>
        <w:rPr>
          <w:sz w:val="20"/>
          <w:szCs w:val="20"/>
          <w:color w:val="auto"/>
        </w:rPr>
      </w:pPr>
      <w:r>
        <w:rPr>
          <w:rFonts w:ascii="Arial" w:cs="Arial" w:eastAsia="Arial" w:hAnsi="Arial"/>
          <w:sz w:val="16"/>
          <w:szCs w:val="16"/>
          <w:color w:val="auto"/>
        </w:rPr>
        <w:t>Mr. Rawlinson’s biography can be found under the section entitled “Proposal No. 1: Election of Directors” with the biographies of the other members of the Board. Biographies for our other executive officers are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217170</wp:posOffset>
            </wp:positionV>
            <wp:extent cx="59664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80"/>
        <w:spacing w:after="0"/>
        <w:rPr>
          <w:sz w:val="20"/>
          <w:szCs w:val="20"/>
          <w:color w:val="auto"/>
        </w:rPr>
      </w:pPr>
      <w:r>
        <w:rPr>
          <w:rFonts w:ascii="Arial" w:cs="Arial" w:eastAsia="Arial" w:hAnsi="Arial"/>
          <w:sz w:val="21"/>
          <w:szCs w:val="21"/>
          <w:b w:val="1"/>
          <w:bCs w:val="1"/>
          <w:color w:val="auto"/>
        </w:rPr>
        <w:t>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-1760855</wp:posOffset>
            </wp:positionV>
            <wp:extent cx="1397000" cy="13970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97000" cy="1397000"/>
                    </a:xfrm>
                    <a:prstGeom prst="rect">
                      <a:avLst/>
                    </a:prstGeom>
                    <a:noFill/>
                  </pic:spPr>
                </pic:pic>
              </a:graphicData>
            </a:graphic>
          </wp:anchor>
        </w:drawing>
      </w:r>
    </w:p>
    <w:p>
      <w:pPr>
        <w:spacing w:after="0" w:line="194" w:lineRule="exact"/>
        <w:rPr>
          <w:sz w:val="20"/>
          <w:szCs w:val="20"/>
          <w:color w:val="auto"/>
        </w:rPr>
      </w:pPr>
    </w:p>
    <w:p>
      <w:pPr>
        <w:ind w:left="980"/>
        <w:spacing w:after="0"/>
        <w:rPr>
          <w:sz w:val="20"/>
          <w:szCs w:val="20"/>
          <w:color w:val="auto"/>
        </w:rPr>
      </w:pPr>
      <w:r>
        <w:rPr>
          <w:rFonts w:ascii="Arial" w:cs="Arial" w:eastAsia="Arial" w:hAnsi="Arial"/>
          <w:sz w:val="14"/>
          <w:szCs w:val="14"/>
          <w:color w:val="auto"/>
        </w:rPr>
        <w:t>Chief Financial Officer</w:t>
      </w:r>
    </w:p>
    <w:p>
      <w:pPr>
        <w:spacing w:after="0" w:line="163" w:lineRule="exact"/>
        <w:rPr>
          <w:sz w:val="20"/>
          <w:szCs w:val="20"/>
          <w:color w:val="auto"/>
        </w:rPr>
      </w:pPr>
    </w:p>
    <w:p>
      <w:pPr>
        <w:ind w:left="980"/>
        <w:spacing w:after="0"/>
        <w:rPr>
          <w:sz w:val="20"/>
          <w:szCs w:val="20"/>
          <w:color w:val="auto"/>
        </w:rPr>
      </w:pPr>
      <w:r>
        <w:rPr>
          <w:rFonts w:ascii="Arial" w:cs="Arial" w:eastAsia="Arial" w:hAnsi="Arial"/>
          <w:sz w:val="14"/>
          <w:szCs w:val="14"/>
          <w:color w:val="auto"/>
        </w:rPr>
        <w:t>Age: 50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440"/>
        <w:spacing w:after="0" w:line="253" w:lineRule="auto"/>
        <w:rPr>
          <w:sz w:val="20"/>
          <w:szCs w:val="20"/>
          <w:color w:val="auto"/>
        </w:rPr>
      </w:pPr>
      <w:r>
        <w:rPr>
          <w:rFonts w:ascii="Arial" w:cs="Arial" w:eastAsia="Arial" w:hAnsi="Arial"/>
          <w:sz w:val="16"/>
          <w:szCs w:val="16"/>
          <w:b w:val="1"/>
          <w:bCs w:val="1"/>
          <w:color w:val="auto"/>
        </w:rPr>
        <w:t xml:space="preserve">Sherry House </w:t>
      </w:r>
      <w:r>
        <w:rPr>
          <w:rFonts w:ascii="Arial" w:cs="Arial" w:eastAsia="Arial" w:hAnsi="Arial"/>
          <w:sz w:val="16"/>
          <w:szCs w:val="16"/>
          <w:color w:val="auto"/>
        </w:rPr>
        <w:t>has served as our Chief Financial Officer since May 2021. Before</w:t>
      </w:r>
      <w:r>
        <w:rPr>
          <w:rFonts w:ascii="Arial" w:cs="Arial" w:eastAsia="Arial" w:hAnsi="Arial"/>
          <w:sz w:val="16"/>
          <w:szCs w:val="16"/>
          <w:b w:val="1"/>
          <w:bCs w:val="1"/>
          <w:color w:val="auto"/>
        </w:rPr>
        <w:t xml:space="preserve"> </w:t>
      </w:r>
      <w:r>
        <w:rPr>
          <w:rFonts w:ascii="Arial" w:cs="Arial" w:eastAsia="Arial" w:hAnsi="Arial"/>
          <w:sz w:val="16"/>
          <w:szCs w:val="16"/>
          <w:color w:val="auto"/>
        </w:rPr>
        <w:t>joining us, Ms. House served as the Treasurer &amp; Head of Investor Relations at Waymo LLC, an autonomous vehicle technology company, from July 2020 to April 2021, the Director of Corporate Development from January 2019 to</w:t>
      </w:r>
    </w:p>
    <w:p>
      <w:pPr>
        <w:ind w:right="340"/>
        <w:spacing w:after="0" w:line="247" w:lineRule="auto"/>
        <w:rPr>
          <w:sz w:val="20"/>
          <w:szCs w:val="20"/>
          <w:color w:val="auto"/>
        </w:rPr>
      </w:pPr>
      <w:r>
        <w:rPr>
          <w:rFonts w:ascii="Arial" w:cs="Arial" w:eastAsia="Arial" w:hAnsi="Arial"/>
          <w:sz w:val="16"/>
          <w:szCs w:val="16"/>
          <w:color w:val="auto"/>
        </w:rPr>
        <w:t>June 2020, and the Director of Business &amp; Corporate Finance from August 2017 to January 2019. Prior to Waymo, she served as Vice President of Corporate Development at Visteon Corporation, an automotive electronics supplier, from December 2016 to August 2017 and as Managing Director at Deloitte Corporate Finance LLC, a global professional services firm, from November 2014 to December 2016, and as Senior Vice President from May 2011 to November 2014. Ms. House also previously held high level positions at GTCR, Alta Partners, and General Motors. Ms. House holds a B.S. in Mechanical Engineering and a B.S. in Industrial Engineering from Kettering University and a Master of Manufacturing Engineering and an M.B.A. from the University of Michigan. She is also a licensed and registered C.P.A. in the State of Illinois.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605155</wp:posOffset>
            </wp:positionV>
            <wp:extent cx="596646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832" w:lineRule="exact"/>
        <w:rPr>
          <w:sz w:val="20"/>
          <w:szCs w:val="20"/>
          <w:color w:val="auto"/>
        </w:rPr>
      </w:pPr>
    </w:p>
    <w:p>
      <w:pPr>
        <w:sectPr>
          <w:pgSz w:w="11900" w:h="16838" w:orient="portrait"/>
          <w:cols w:equalWidth="0" w:num="2">
            <w:col w:w="3100" w:space="720"/>
            <w:col w:w="6220"/>
          </w:cols>
          <w:pgMar w:left="580" w:top="132"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2"/>
          <w:szCs w:val="12"/>
          <w:b w:val="1"/>
          <w:bCs w:val="1"/>
          <w:color w:val="auto"/>
        </w:rPr>
        <w:t>40</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110490</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type w:val="continuous"/>
        </w:sectPr>
      </w:pPr>
    </w:p>
    <w:bookmarkStart w:id="49" w:name="page50"/>
    <w:bookmarkEnd w:id="49"/>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468630</wp:posOffset>
            </wp:positionV>
            <wp:extent cx="59664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820" w:right="360"/>
        <w:spacing w:after="0" w:line="250" w:lineRule="auto"/>
        <w:rPr>
          <w:sz w:val="20"/>
          <w:szCs w:val="20"/>
          <w:color w:val="auto"/>
        </w:rPr>
      </w:pPr>
      <w:r>
        <w:rPr>
          <w:rFonts w:ascii="Arial" w:cs="Arial" w:eastAsia="Arial" w:hAnsi="Arial"/>
          <w:sz w:val="16"/>
          <w:szCs w:val="16"/>
          <w:b w:val="1"/>
          <w:bCs w:val="1"/>
          <w:color w:val="auto"/>
        </w:rPr>
        <w:t xml:space="preserve">Eric Bach </w:t>
      </w:r>
      <w:r>
        <w:rPr>
          <w:rFonts w:ascii="Arial" w:cs="Arial" w:eastAsia="Arial" w:hAnsi="Arial"/>
          <w:sz w:val="16"/>
          <w:szCs w:val="16"/>
          <w:color w:val="auto"/>
        </w:rPr>
        <w:t>has served as our Senior Vice President, Product and Chief Engineer</w:t>
      </w:r>
      <w:r>
        <w:rPr>
          <w:rFonts w:ascii="Arial" w:cs="Arial" w:eastAsia="Arial" w:hAnsi="Arial"/>
          <w:sz w:val="16"/>
          <w:szCs w:val="16"/>
          <w:b w:val="1"/>
          <w:bCs w:val="1"/>
          <w:color w:val="auto"/>
        </w:rPr>
        <w:t xml:space="preserve"> </w:t>
      </w:r>
      <w:r>
        <w:rPr>
          <w:rFonts w:ascii="Arial" w:cs="Arial" w:eastAsia="Arial" w:hAnsi="Arial"/>
          <w:sz w:val="16"/>
          <w:szCs w:val="16"/>
          <w:color w:val="auto"/>
        </w:rPr>
        <w:t>since March 2021. Mr. Bach previously served as our Vice President, Hardware Engineering from September 2018 to February 2021 and as Senior Director, Body Engineering from April 2015 to August 2018. Prior to joining us, Mr. Bach was Director of Engineering at Tesla, Inc. from January 2012 to March 2015. From 2000 to December 2011, he served in a variety of engineering and program leadership roles at Volkswagen AG in both Germany and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-839470</wp:posOffset>
            </wp:positionV>
            <wp:extent cx="1397000" cy="13970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97000" cy="1397000"/>
                    </a:xfrm>
                    <a:prstGeom prst="rect">
                      <a:avLst/>
                    </a:prstGeom>
                    <a:noFill/>
                  </pic:spPr>
                </pic:pic>
              </a:graphicData>
            </a:graphic>
          </wp:anchor>
        </w:drawing>
      </w:r>
    </w:p>
    <w:p>
      <w:pPr>
        <w:ind w:left="3820" w:right="420"/>
        <w:spacing w:after="0" w:line="260" w:lineRule="auto"/>
        <w:rPr>
          <w:sz w:val="20"/>
          <w:szCs w:val="20"/>
          <w:color w:val="auto"/>
        </w:rPr>
      </w:pPr>
      <w:r>
        <w:rPr>
          <w:rFonts w:ascii="Arial" w:cs="Arial" w:eastAsia="Arial" w:hAnsi="Arial"/>
          <w:sz w:val="16"/>
          <w:szCs w:val="16"/>
          <w:color w:val="auto"/>
        </w:rPr>
        <w:t>Mr. Bach holds a Diplom-Ingenieur degree from Friedrich-Alexander University in Erlangen, Germany.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Eric Bach</w:t>
      </w:r>
    </w:p>
    <w:p>
      <w:pPr>
        <w:spacing w:after="0" w:line="203" w:lineRule="exact"/>
        <w:rPr>
          <w:sz w:val="20"/>
          <w:szCs w:val="20"/>
          <w:color w:val="auto"/>
        </w:rPr>
      </w:pPr>
    </w:p>
    <w:p>
      <w:pPr>
        <w:ind w:left="980"/>
        <w:spacing w:after="0"/>
        <w:rPr>
          <w:sz w:val="20"/>
          <w:szCs w:val="20"/>
          <w:color w:val="auto"/>
        </w:rPr>
      </w:pPr>
      <w:r>
        <w:rPr>
          <w:rFonts w:ascii="Arial" w:cs="Arial" w:eastAsia="Arial" w:hAnsi="Arial"/>
          <w:sz w:val="14"/>
          <w:szCs w:val="14"/>
          <w:color w:val="auto"/>
        </w:rPr>
        <w:t>Senior Vice President, Product</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4"/>
          <w:szCs w:val="14"/>
          <w:color w:val="auto"/>
        </w:rPr>
        <w:t>and Chief Engineer</w:t>
      </w:r>
    </w:p>
    <w:p>
      <w:pPr>
        <w:spacing w:after="0" w:line="163" w:lineRule="exact"/>
        <w:rPr>
          <w:sz w:val="20"/>
          <w:szCs w:val="20"/>
          <w:color w:val="auto"/>
        </w:rPr>
      </w:pPr>
    </w:p>
    <w:p>
      <w:pPr>
        <w:ind w:left="980"/>
        <w:spacing w:after="0"/>
        <w:rPr>
          <w:sz w:val="20"/>
          <w:szCs w:val="20"/>
          <w:color w:val="auto"/>
        </w:rPr>
      </w:pPr>
      <w:r>
        <w:rPr>
          <w:rFonts w:ascii="Arial" w:cs="Arial" w:eastAsia="Arial" w:hAnsi="Arial"/>
          <w:sz w:val="14"/>
          <w:szCs w:val="14"/>
          <w:color w:val="auto"/>
        </w:rPr>
        <w:t>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203200</wp:posOffset>
            </wp:positionV>
            <wp:extent cx="59664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417830</wp:posOffset>
            </wp:positionV>
            <wp:extent cx="59664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Michael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-1768475</wp:posOffset>
            </wp:positionV>
            <wp:extent cx="1397000" cy="13970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97000" cy="1397000"/>
                    </a:xfrm>
                    <a:prstGeom prst="rect">
                      <a:avLst/>
                    </a:prstGeom>
                    <a:noFill/>
                  </pic:spPr>
                </pic:pic>
              </a:graphicData>
            </a:graphic>
          </wp:anchor>
        </w:drawing>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14"/>
          <w:szCs w:val="14"/>
          <w:color w:val="auto"/>
        </w:rPr>
        <w:t>Senior Vice President, Digital</w:t>
      </w:r>
    </w:p>
    <w:p>
      <w:pPr>
        <w:spacing w:after="0" w:line="163" w:lineRule="exact"/>
        <w:rPr>
          <w:sz w:val="20"/>
          <w:szCs w:val="20"/>
          <w:color w:val="auto"/>
        </w:rPr>
      </w:pPr>
    </w:p>
    <w:p>
      <w:pPr>
        <w:ind w:left="980"/>
        <w:spacing w:after="0"/>
        <w:rPr>
          <w:sz w:val="20"/>
          <w:szCs w:val="20"/>
          <w:color w:val="auto"/>
        </w:rPr>
      </w:pPr>
      <w:r>
        <w:rPr>
          <w:rFonts w:ascii="Arial" w:cs="Arial" w:eastAsia="Arial" w:hAnsi="Arial"/>
          <w:sz w:val="14"/>
          <w:szCs w:val="14"/>
          <w:color w:val="auto"/>
        </w:rPr>
        <w:t>Age: 55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Michael Bell </w:t>
      </w:r>
      <w:r>
        <w:rPr>
          <w:rFonts w:ascii="Arial" w:cs="Arial" w:eastAsia="Arial" w:hAnsi="Arial"/>
          <w:sz w:val="16"/>
          <w:szCs w:val="16"/>
          <w:color w:val="auto"/>
        </w:rPr>
        <w:t>has served as our Senior Vice President, Digital since</w:t>
      </w:r>
    </w:p>
    <w:p>
      <w:pPr>
        <w:spacing w:after="0" w:line="25" w:lineRule="exact"/>
        <w:rPr>
          <w:sz w:val="20"/>
          <w:szCs w:val="20"/>
          <w:color w:val="auto"/>
        </w:rPr>
      </w:pPr>
    </w:p>
    <w:p>
      <w:pPr>
        <w:ind w:right="340"/>
        <w:spacing w:after="0" w:line="247" w:lineRule="auto"/>
        <w:rPr>
          <w:sz w:val="20"/>
          <w:szCs w:val="20"/>
          <w:color w:val="auto"/>
        </w:rPr>
      </w:pPr>
      <w:r>
        <w:rPr>
          <w:rFonts w:ascii="Arial" w:cs="Arial" w:eastAsia="Arial" w:hAnsi="Arial"/>
          <w:sz w:val="16"/>
          <w:szCs w:val="16"/>
          <w:color w:val="auto"/>
        </w:rPr>
        <w:t>February 2021, and served as our consultant from August 2020 to February 2021. Prior to joining us, Mr. Bell served as Chief Technology Officer of electric vehicle startup Rivian, LLC from June 2019 until February 2020, and as the Chief Executive Officer and President of Silver Spring Networks, Inc., a networking platform and solutions provider for smart energy networks, from September 2015 until January 2018. Previously, from 2010 to 2015 he held various roles at Intel Corporation, a multinational technology corporation specializing in the production of semiconductor chips, including Corporate Vice President New Devices Group, Corporate VP Mobile and Communications Group and Corporate Vice President Ultra Mobility Group, and was head of Product Development at Palm, Inc. from 2007 to 2010. He worked at Apple, Inc. from 1991 to 2007 and played significant roles in development of Apple iPhone, iMac, AirPort and Apple TV products, serving as Vice President, CPU Software from 2002 to 2007. Mr. Bell has served on the board of directors of iRobot Corporation, a leading consumer robotics company, since March 2016. He holds a B.S. from the University of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483870</wp:posOffset>
            </wp:positionV>
            <wp:extent cx="59664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642" w:lineRule="exact"/>
        <w:rPr>
          <w:sz w:val="20"/>
          <w:szCs w:val="20"/>
          <w:color w:val="auto"/>
        </w:rPr>
      </w:pPr>
    </w:p>
    <w:p>
      <w:pPr>
        <w:sectPr>
          <w:pgSz w:w="11900" w:h="16838" w:orient="portrait"/>
          <w:cols w:equalWidth="0" w:num="2">
            <w:col w:w="3100" w:space="720"/>
            <w:col w:w="6220"/>
          </w:cols>
          <w:pgMar w:left="580" w:top="132"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60"/>
        <w:spacing w:after="0"/>
        <w:tabs>
          <w:tab w:leader="none" w:pos="9880" w:val="left"/>
        </w:tabs>
        <w:rPr>
          <w:sz w:val="20"/>
          <w:szCs w:val="20"/>
          <w:color w:val="auto"/>
        </w:rPr>
      </w:pPr>
      <w:r>
        <w:rPr>
          <w:rFonts w:ascii="Arial" w:cs="Arial" w:eastAsia="Arial" w:hAnsi="Arial"/>
          <w:sz w:val="13"/>
          <w:szCs w:val="13"/>
          <w:color w:val="auto"/>
        </w:rPr>
        <w:t>2022 Proxy Statement</w:t>
      </w:r>
      <w:r>
        <w:rPr>
          <w:sz w:val="20"/>
          <w:szCs w:val="20"/>
          <w:color w:val="auto"/>
        </w:rPr>
        <w:tab/>
      </w:r>
      <w:r>
        <w:rPr>
          <w:rFonts w:ascii="Arial" w:cs="Arial" w:eastAsia="Arial" w:hAnsi="Arial"/>
          <w:sz w:val="12"/>
          <w:szCs w:val="12"/>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type w:val="continuous"/>
        </w:sectPr>
      </w:pPr>
    </w:p>
    <w:bookmarkStart w:id="50" w:name="page51"/>
    <w:bookmarkEnd w:id="50"/>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36"/>
          <w:szCs w:val="36"/>
          <w:b w:val="1"/>
          <w:bCs w:val="1"/>
          <w:color w:val="auto"/>
        </w:rPr>
        <w:t>Executive Compensation</w:t>
      </w:r>
    </w:p>
    <w:p>
      <w:pPr>
        <w:spacing w:after="0" w:line="200" w:lineRule="exact"/>
        <w:rPr>
          <w:sz w:val="20"/>
          <w:szCs w:val="20"/>
          <w:color w:val="auto"/>
        </w:rPr>
      </w:pPr>
    </w:p>
    <w:p>
      <w:pPr>
        <w:spacing w:after="0" w:line="234" w:lineRule="exact"/>
        <w:rPr>
          <w:sz w:val="20"/>
          <w:szCs w:val="20"/>
          <w:color w:val="auto"/>
        </w:rPr>
      </w:pPr>
    </w:p>
    <w:p>
      <w:pPr>
        <w:ind w:left="660" w:right="620"/>
        <w:spacing w:after="0" w:line="260" w:lineRule="auto"/>
        <w:rPr>
          <w:sz w:val="20"/>
          <w:szCs w:val="20"/>
          <w:color w:val="auto"/>
        </w:rPr>
      </w:pPr>
      <w:r>
        <w:rPr>
          <w:rFonts w:ascii="Arial" w:cs="Arial" w:eastAsia="Arial" w:hAnsi="Arial"/>
          <w:sz w:val="27"/>
          <w:szCs w:val="27"/>
          <w:b w:val="1"/>
          <w:bCs w:val="1"/>
          <w:color w:val="auto"/>
        </w:rPr>
        <w:t>Message to Stockholders from the Compensation Committee of the Board of Directors</w:t>
      </w:r>
    </w:p>
    <w:p>
      <w:pPr>
        <w:spacing w:after="0" w:line="329" w:lineRule="exact"/>
        <w:rPr>
          <w:sz w:val="20"/>
          <w:szCs w:val="20"/>
          <w:color w:val="auto"/>
        </w:rPr>
      </w:pPr>
    </w:p>
    <w:p>
      <w:pPr>
        <w:ind w:left="660" w:right="40"/>
        <w:spacing w:after="0" w:line="284" w:lineRule="auto"/>
        <w:rPr>
          <w:sz w:val="20"/>
          <w:szCs w:val="20"/>
          <w:color w:val="auto"/>
        </w:rPr>
      </w:pPr>
      <w:r>
        <w:rPr>
          <w:rFonts w:ascii="Arial" w:cs="Arial" w:eastAsia="Arial" w:hAnsi="Arial"/>
          <w:sz w:val="16"/>
          <w:szCs w:val="16"/>
          <w:color w:val="auto"/>
        </w:rPr>
        <w:t>In 2007, Lucid Motors was formed with the idea of innovating new solutions for battery systems in sedans, motorcycles, vans, and buses. In 2013, under the leadership of Chief Technology Officer (now also Chief Executive Officer) Peter Rawlinson, the company began a transformation with a new mission: to create the most captivating luxury electric vehicles on the market centered around human experience. This revamped trajectory led us to an exciting and tangible milestone this past October, when we delivered the first Lucid Air Dream Edition models to customers. Further, our Lucid Air received the prestigious honor of being named the 2022 MotorTrend Car of the Year in November. The mission defined by Peter was turned into reality through the hard work and dedication of the incredible Lucid team.</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Lucid Motors began 2021 as a private company and ended the year as a public company with a market value of approximately</w:t>
      </w:r>
    </w:p>
    <w:p>
      <w:pPr>
        <w:spacing w:after="0" w:line="32" w:lineRule="exact"/>
        <w:rPr>
          <w:sz w:val="20"/>
          <w:szCs w:val="20"/>
          <w:color w:val="auto"/>
        </w:rPr>
      </w:pPr>
    </w:p>
    <w:p>
      <w:pPr>
        <w:ind w:left="660" w:right="100"/>
        <w:spacing w:after="0" w:line="286" w:lineRule="auto"/>
        <w:rPr>
          <w:sz w:val="20"/>
          <w:szCs w:val="20"/>
          <w:color w:val="auto"/>
        </w:rPr>
      </w:pPr>
      <w:r>
        <w:rPr>
          <w:rFonts w:ascii="Arial" w:cs="Arial" w:eastAsia="Arial" w:hAnsi="Arial"/>
          <w:sz w:val="16"/>
          <w:szCs w:val="16"/>
          <w:color w:val="auto"/>
        </w:rPr>
        <w:t>$62.69 billion as of December 31, 2021. By the end of 2021, Peter and the Lucid team grew the value of the organization by more than $50 billion, compared to the $11.75 billion valuation of Atieva, our predecessor company, in connection with the Merger that took us public on July 23, 2021. In addition, becoming a public company has allowed us to invite even more investors along in this exciting journey with us. We are delighted by the investor response in 2021.</w:t>
      </w:r>
    </w:p>
    <w:p>
      <w:pPr>
        <w:spacing w:after="0" w:line="203" w:lineRule="exact"/>
        <w:rPr>
          <w:sz w:val="20"/>
          <w:szCs w:val="20"/>
          <w:color w:val="auto"/>
        </w:rPr>
      </w:pPr>
    </w:p>
    <w:p>
      <w:pPr>
        <w:ind w:left="660"/>
        <w:spacing w:after="0" w:line="284" w:lineRule="auto"/>
        <w:rPr>
          <w:sz w:val="20"/>
          <w:szCs w:val="20"/>
          <w:color w:val="auto"/>
        </w:rPr>
      </w:pPr>
      <w:r>
        <w:rPr>
          <w:rFonts w:ascii="Arial" w:cs="Arial" w:eastAsia="Arial" w:hAnsi="Arial"/>
          <w:sz w:val="16"/>
          <w:szCs w:val="16"/>
          <w:color w:val="auto"/>
        </w:rPr>
        <w:t>We have come a long way over the past several years to transform the company from one that is focused on battery and powertrain technology for other manufacturers, to a vertically-integrated EV company creating the most captivating luxury electric vehicles in the world. Manifesting these ideas into reality, with external validation and accolades, can only occur through insightful and passionate leaders and team members. Peter Rawlinson joined Lucid after holding successful leadership and technical roles at other large automotive manufacturers, including serving as Chief Engineer for Tesla’s Model S. Other senior leaders have proven themselves in their respective fields at the very best automotive, technology, design and operations companies in the world. We believe that the vision, passion and diligence of Lucid’s leadership team is unparalleled.</w:t>
      </w:r>
    </w:p>
    <w:p>
      <w:pPr>
        <w:spacing w:after="0" w:line="204" w:lineRule="exact"/>
        <w:rPr>
          <w:sz w:val="20"/>
          <w:szCs w:val="20"/>
          <w:color w:val="auto"/>
        </w:rPr>
      </w:pPr>
    </w:p>
    <w:p>
      <w:pPr>
        <w:ind w:left="660" w:right="220"/>
        <w:spacing w:after="0" w:line="295" w:lineRule="auto"/>
        <w:rPr>
          <w:sz w:val="20"/>
          <w:szCs w:val="20"/>
          <w:color w:val="auto"/>
        </w:rPr>
      </w:pPr>
      <w:r>
        <w:rPr>
          <w:rFonts w:ascii="Arial" w:cs="Arial" w:eastAsia="Arial" w:hAnsi="Arial"/>
          <w:sz w:val="16"/>
          <w:szCs w:val="16"/>
          <w:color w:val="auto"/>
        </w:rPr>
        <w:t>We are extremely proud of the business and financial achievements of the Lucid team. In that vein, we are pleased to present to you our Compensation Discussion and Analysis in 2021.</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Andrew Liveris (Chair)</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Frank Lindenberg</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Tony Posawatz</w:t>
      </w:r>
    </w:p>
    <w:p>
      <w:pPr>
        <w:sectPr>
          <w:pgSz w:w="11900" w:h="16838" w:orient="portrait"/>
          <w:cols w:equalWidth="0" w:num="1">
            <w:col w:w="10040"/>
          </w:cols>
          <w:pgMar w:left="580" w:top="132"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2"/>
          <w:szCs w:val="12"/>
          <w:b w:val="1"/>
          <w:bCs w:val="1"/>
          <w:color w:val="auto"/>
        </w:rPr>
        <w:t>42</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110490</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type w:val="continuous"/>
        </w:sectPr>
      </w:pPr>
    </w:p>
    <w:bookmarkStart w:id="51" w:name="page52"/>
    <w:bookmarkEnd w:id="51"/>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36"/>
          <w:szCs w:val="36"/>
          <w:b w:val="1"/>
          <w:bCs w:val="1"/>
          <w:color w:val="auto"/>
        </w:rPr>
        <w:t>Compensation Discussion and Analysis</w:t>
      </w:r>
    </w:p>
    <w:p>
      <w:pPr>
        <w:spacing w:after="0" w:line="38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Overview</w:t>
      </w:r>
    </w:p>
    <w:p>
      <w:pPr>
        <w:spacing w:after="0" w:line="205" w:lineRule="exact"/>
        <w:rPr>
          <w:sz w:val="20"/>
          <w:szCs w:val="20"/>
          <w:color w:val="auto"/>
        </w:rPr>
      </w:pPr>
    </w:p>
    <w:p>
      <w:pPr>
        <w:ind w:left="660" w:right="120"/>
        <w:spacing w:after="0" w:line="288" w:lineRule="auto"/>
        <w:rPr>
          <w:sz w:val="20"/>
          <w:szCs w:val="20"/>
          <w:color w:val="auto"/>
        </w:rPr>
      </w:pPr>
      <w:r>
        <w:rPr>
          <w:rFonts w:ascii="Arial" w:cs="Arial" w:eastAsia="Arial" w:hAnsi="Arial"/>
          <w:sz w:val="16"/>
          <w:szCs w:val="16"/>
          <w:color w:val="auto"/>
        </w:rPr>
        <w:t>This Compensation Discussion and Analysis (“CD&amp;A”) describes our executive compensation program in 2021 for our named executive officers (“NEOs”), including our compensation philosophy and process, the objectives and elements of the program and the material factors considered in making compensation decisions.</w:t>
      </w:r>
    </w:p>
    <w:p>
      <w:pPr>
        <w:spacing w:after="0" w:line="202" w:lineRule="exact"/>
        <w:rPr>
          <w:sz w:val="20"/>
          <w:szCs w:val="20"/>
          <w:color w:val="auto"/>
        </w:rPr>
      </w:pPr>
    </w:p>
    <w:p>
      <w:pPr>
        <w:ind w:left="660" w:right="40"/>
        <w:spacing w:after="0" w:line="286" w:lineRule="auto"/>
        <w:rPr>
          <w:sz w:val="20"/>
          <w:szCs w:val="20"/>
          <w:color w:val="auto"/>
        </w:rPr>
      </w:pPr>
      <w:r>
        <w:rPr>
          <w:rFonts w:ascii="Arial" w:cs="Arial" w:eastAsia="Arial" w:hAnsi="Arial"/>
          <w:sz w:val="16"/>
          <w:szCs w:val="16"/>
          <w:color w:val="auto"/>
        </w:rPr>
        <w:t>Our NEOs were among the executive officers of Atieva, our predecessor entity, prior to the Merger and became our executive officers following the Merger. The compensation of these executive officers for the portion of 2021 that occurred prior to the Merger was determined by the board of directors of Atieva (the “Atieva Board”) or the compensation committee of Atieva (the “Atieva Committee”), not by our current Board or Compensation Committee, which were constituted in connection with the Merger.</w:t>
      </w:r>
    </w:p>
    <w:p>
      <w:pPr>
        <w:spacing w:after="0" w:line="203" w:lineRule="exact"/>
        <w:rPr>
          <w:sz w:val="20"/>
          <w:szCs w:val="20"/>
          <w:color w:val="auto"/>
        </w:rPr>
      </w:pPr>
    </w:p>
    <w:p>
      <w:pPr>
        <w:ind w:left="660"/>
        <w:spacing w:after="0" w:line="285" w:lineRule="auto"/>
        <w:rPr>
          <w:sz w:val="20"/>
          <w:szCs w:val="20"/>
          <w:color w:val="auto"/>
        </w:rPr>
      </w:pPr>
      <w:r>
        <w:rPr>
          <w:rFonts w:ascii="Arial" w:cs="Arial" w:eastAsia="Arial" w:hAnsi="Arial"/>
          <w:sz w:val="16"/>
          <w:szCs w:val="16"/>
          <w:color w:val="auto"/>
        </w:rPr>
        <w:t>Our NEOs for 2021 include (i) our Chief Executive Officer/Chief Technology Officer (“CEO”), (ii) our Chief Financial Officer (“CFO”) and (iii) our two other executive officers serving as of December 31, 2021 (we did not have any other executive officers as of such date). Michael Klein and Jay Taragin, Churchill’s CEO and CFO, respectively, prior to the Merger, did not receive any compensation for services rendered to us in 2021 (except that The Klein Group, LLC, an affiliate of the Sponsor and Mr. Klein, received fees for financial advisory services provided to Lucid post-Merger. See “Certain Relationships and Related Party Transactions”).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NEOs for 2021 are:</w:t>
      </w:r>
    </w:p>
    <w:p>
      <w:pPr>
        <w:spacing w:after="0" w:line="287" w:lineRule="exact"/>
        <w:rPr>
          <w:sz w:val="20"/>
          <w:szCs w:val="20"/>
          <w:color w:val="auto"/>
        </w:rPr>
      </w:pPr>
    </w:p>
    <w:tbl>
      <w:tblPr>
        <w:tblLayout w:type="fixed"/>
        <w:tblInd w:w="660" w:type="dxa"/>
        <w:tblCellMar>
          <w:top w:w="0" w:type="dxa"/>
          <w:left w:w="0" w:type="dxa"/>
          <w:bottom w:w="0" w:type="dxa"/>
          <w:right w:w="0" w:type="dxa"/>
        </w:tblCellMar>
      </w:tblPr>
      <w:tr>
        <w:trPr>
          <w:trHeight w:val="281"/>
        </w:trPr>
        <w:tc>
          <w:tcPr>
            <w:tcW w:w="2260" w:type="dxa"/>
            <w:vAlign w:val="bottom"/>
            <w:shd w:val="clear" w:color="auto" w:fill="000000"/>
          </w:tcPr>
          <w:p>
            <w:pPr>
              <w:ind w:left="160"/>
              <w:spacing w:after="0"/>
              <w:rPr>
                <w:sz w:val="20"/>
                <w:szCs w:val="20"/>
                <w:color w:val="auto"/>
              </w:rPr>
            </w:pPr>
            <w:r>
              <w:rPr>
                <w:rFonts w:ascii="Arial" w:cs="Arial" w:eastAsia="Arial" w:hAnsi="Arial"/>
                <w:sz w:val="13"/>
                <w:szCs w:val="13"/>
                <w:b w:val="1"/>
                <w:bCs w:val="1"/>
                <w:color w:val="FEFEFE"/>
              </w:rPr>
              <w:t>Name</w:t>
            </w:r>
          </w:p>
        </w:tc>
        <w:tc>
          <w:tcPr>
            <w:tcW w:w="7120" w:type="dxa"/>
            <w:vAlign w:val="bottom"/>
            <w:shd w:val="clear" w:color="auto" w:fill="000000"/>
          </w:tcPr>
          <w:p>
            <w:pPr>
              <w:ind w:left="1040"/>
              <w:spacing w:after="0"/>
              <w:rPr>
                <w:sz w:val="20"/>
                <w:szCs w:val="20"/>
                <w:color w:val="auto"/>
              </w:rPr>
            </w:pPr>
            <w:r>
              <w:rPr>
                <w:rFonts w:ascii="Arial" w:cs="Arial" w:eastAsia="Arial" w:hAnsi="Arial"/>
                <w:sz w:val="13"/>
                <w:szCs w:val="13"/>
                <w:b w:val="1"/>
                <w:bCs w:val="1"/>
                <w:color w:val="FEFEFE"/>
              </w:rPr>
              <w:t>Position</w:t>
            </w:r>
          </w:p>
        </w:tc>
      </w:tr>
      <w:tr>
        <w:trPr>
          <w:trHeight w:val="124"/>
        </w:trPr>
        <w:tc>
          <w:tcPr>
            <w:tcW w:w="2260" w:type="dxa"/>
            <w:vAlign w:val="bottom"/>
            <w:shd w:val="clear" w:color="auto" w:fill="000000"/>
          </w:tcPr>
          <w:p>
            <w:pPr>
              <w:spacing w:after="0"/>
              <w:rPr>
                <w:sz w:val="10"/>
                <w:szCs w:val="10"/>
                <w:color w:val="auto"/>
              </w:rPr>
            </w:pPr>
          </w:p>
        </w:tc>
        <w:tc>
          <w:tcPr>
            <w:tcW w:w="7120" w:type="dxa"/>
            <w:vAlign w:val="bottom"/>
            <w:shd w:val="clear" w:color="auto" w:fill="000000"/>
          </w:tcPr>
          <w:p>
            <w:pPr>
              <w:spacing w:after="0"/>
              <w:rPr>
                <w:sz w:val="10"/>
                <w:szCs w:val="10"/>
                <w:color w:val="auto"/>
              </w:rPr>
            </w:pPr>
          </w:p>
        </w:tc>
      </w:tr>
      <w:tr>
        <w:trPr>
          <w:trHeight w:val="312"/>
        </w:trPr>
        <w:tc>
          <w:tcPr>
            <w:tcW w:w="2260" w:type="dxa"/>
            <w:vAlign w:val="bottom"/>
          </w:tcPr>
          <w:p>
            <w:pPr>
              <w:ind w:left="160"/>
              <w:spacing w:after="0"/>
              <w:rPr>
                <w:sz w:val="20"/>
                <w:szCs w:val="20"/>
                <w:color w:val="auto"/>
              </w:rPr>
            </w:pPr>
            <w:r>
              <w:rPr>
                <w:rFonts w:ascii="Arial" w:cs="Arial" w:eastAsia="Arial" w:hAnsi="Arial"/>
                <w:sz w:val="14"/>
                <w:szCs w:val="14"/>
                <w:color w:val="auto"/>
              </w:rPr>
              <w:t>Peter Rawlinson</w:t>
            </w:r>
          </w:p>
        </w:tc>
        <w:tc>
          <w:tcPr>
            <w:tcW w:w="7120" w:type="dxa"/>
            <w:vAlign w:val="bottom"/>
          </w:tcPr>
          <w:p>
            <w:pPr>
              <w:ind w:left="1040"/>
              <w:spacing w:after="0"/>
              <w:rPr>
                <w:sz w:val="20"/>
                <w:szCs w:val="20"/>
                <w:color w:val="auto"/>
              </w:rPr>
            </w:pPr>
            <w:r>
              <w:rPr>
                <w:rFonts w:ascii="Arial" w:cs="Arial" w:eastAsia="Arial" w:hAnsi="Arial"/>
                <w:sz w:val="14"/>
                <w:szCs w:val="14"/>
                <w:color w:val="auto"/>
              </w:rPr>
              <w:t>Chief Executive Officer and Chief Technology Officer</w:t>
            </w:r>
          </w:p>
        </w:tc>
      </w:tr>
      <w:tr>
        <w:trPr>
          <w:trHeight w:val="93"/>
        </w:trPr>
        <w:tc>
          <w:tcPr>
            <w:tcW w:w="2260" w:type="dxa"/>
            <w:vAlign w:val="bottom"/>
            <w:tcBorders>
              <w:bottom w:val="single" w:sz="8" w:color="auto"/>
            </w:tcBorders>
          </w:tcPr>
          <w:p>
            <w:pPr>
              <w:spacing w:after="0"/>
              <w:rPr>
                <w:sz w:val="8"/>
                <w:szCs w:val="8"/>
                <w:color w:val="auto"/>
              </w:rPr>
            </w:pPr>
          </w:p>
        </w:tc>
        <w:tc>
          <w:tcPr>
            <w:tcW w:w="7120" w:type="dxa"/>
            <w:vAlign w:val="bottom"/>
            <w:tcBorders>
              <w:bottom w:val="single" w:sz="8" w:color="auto"/>
            </w:tcBorders>
          </w:tcPr>
          <w:p>
            <w:pPr>
              <w:spacing w:after="0"/>
              <w:rPr>
                <w:sz w:val="8"/>
                <w:szCs w:val="8"/>
                <w:color w:val="auto"/>
              </w:rPr>
            </w:pPr>
          </w:p>
        </w:tc>
      </w:tr>
      <w:tr>
        <w:trPr>
          <w:trHeight w:val="292"/>
        </w:trPr>
        <w:tc>
          <w:tcPr>
            <w:tcW w:w="2260" w:type="dxa"/>
            <w:vAlign w:val="bottom"/>
            <w:shd w:val="clear" w:color="auto" w:fill="F7F7F7"/>
          </w:tcPr>
          <w:p>
            <w:pPr>
              <w:ind w:left="160"/>
              <w:spacing w:after="0"/>
              <w:rPr>
                <w:sz w:val="20"/>
                <w:szCs w:val="20"/>
                <w:color w:val="auto"/>
              </w:rPr>
            </w:pPr>
            <w:r>
              <w:rPr>
                <w:rFonts w:ascii="Arial" w:cs="Arial" w:eastAsia="Arial" w:hAnsi="Arial"/>
                <w:sz w:val="14"/>
                <w:szCs w:val="14"/>
                <w:color w:val="auto"/>
              </w:rPr>
              <w:t>Sherry House</w:t>
            </w:r>
          </w:p>
        </w:tc>
        <w:tc>
          <w:tcPr>
            <w:tcW w:w="7120" w:type="dxa"/>
            <w:vAlign w:val="bottom"/>
            <w:shd w:val="clear" w:color="auto" w:fill="F7F7F7"/>
          </w:tcPr>
          <w:p>
            <w:pPr>
              <w:ind w:left="1040"/>
              <w:spacing w:after="0"/>
              <w:rPr>
                <w:sz w:val="20"/>
                <w:szCs w:val="20"/>
                <w:color w:val="auto"/>
              </w:rPr>
            </w:pPr>
            <w:r>
              <w:rPr>
                <w:rFonts w:ascii="Arial" w:cs="Arial" w:eastAsia="Arial" w:hAnsi="Arial"/>
                <w:sz w:val="14"/>
                <w:szCs w:val="14"/>
                <w:color w:val="auto"/>
              </w:rPr>
              <w:t>Chief Financial Officer</w:t>
            </w:r>
          </w:p>
        </w:tc>
      </w:tr>
      <w:tr>
        <w:trPr>
          <w:trHeight w:val="106"/>
        </w:trPr>
        <w:tc>
          <w:tcPr>
            <w:tcW w:w="2260" w:type="dxa"/>
            <w:vAlign w:val="bottom"/>
            <w:tcBorders>
              <w:bottom w:val="single" w:sz="8" w:color="auto"/>
            </w:tcBorders>
            <w:shd w:val="clear" w:color="auto" w:fill="F7F7F7"/>
          </w:tcPr>
          <w:p>
            <w:pPr>
              <w:spacing w:after="0"/>
              <w:rPr>
                <w:sz w:val="9"/>
                <w:szCs w:val="9"/>
                <w:color w:val="auto"/>
              </w:rPr>
            </w:pPr>
          </w:p>
        </w:tc>
        <w:tc>
          <w:tcPr>
            <w:tcW w:w="7120" w:type="dxa"/>
            <w:vAlign w:val="bottom"/>
            <w:tcBorders>
              <w:bottom w:val="single" w:sz="8" w:color="auto"/>
            </w:tcBorders>
            <w:shd w:val="clear" w:color="auto" w:fill="F7F7F7"/>
          </w:tcPr>
          <w:p>
            <w:pPr>
              <w:spacing w:after="0"/>
              <w:rPr>
                <w:sz w:val="9"/>
                <w:szCs w:val="9"/>
                <w:color w:val="auto"/>
              </w:rPr>
            </w:pPr>
          </w:p>
        </w:tc>
      </w:tr>
      <w:tr>
        <w:trPr>
          <w:trHeight w:val="292"/>
        </w:trPr>
        <w:tc>
          <w:tcPr>
            <w:tcW w:w="2260" w:type="dxa"/>
            <w:vAlign w:val="bottom"/>
          </w:tcPr>
          <w:p>
            <w:pPr>
              <w:ind w:left="160"/>
              <w:spacing w:after="0"/>
              <w:rPr>
                <w:sz w:val="20"/>
                <w:szCs w:val="20"/>
                <w:color w:val="auto"/>
              </w:rPr>
            </w:pPr>
            <w:r>
              <w:rPr>
                <w:rFonts w:ascii="Arial" w:cs="Arial" w:eastAsia="Arial" w:hAnsi="Arial"/>
                <w:sz w:val="14"/>
                <w:szCs w:val="14"/>
                <w:color w:val="auto"/>
              </w:rPr>
              <w:t>Eric Bach</w:t>
            </w:r>
          </w:p>
        </w:tc>
        <w:tc>
          <w:tcPr>
            <w:tcW w:w="7120" w:type="dxa"/>
            <w:vAlign w:val="bottom"/>
          </w:tcPr>
          <w:p>
            <w:pPr>
              <w:ind w:left="1040"/>
              <w:spacing w:after="0"/>
              <w:rPr>
                <w:sz w:val="20"/>
                <w:szCs w:val="20"/>
                <w:color w:val="auto"/>
              </w:rPr>
            </w:pPr>
            <w:r>
              <w:rPr>
                <w:rFonts w:ascii="Arial" w:cs="Arial" w:eastAsia="Arial" w:hAnsi="Arial"/>
                <w:sz w:val="14"/>
                <w:szCs w:val="14"/>
                <w:color w:val="auto"/>
              </w:rPr>
              <w:t>Senior Vice President, Product and Chief Engineer</w:t>
            </w:r>
          </w:p>
        </w:tc>
      </w:tr>
      <w:tr>
        <w:trPr>
          <w:trHeight w:val="107"/>
        </w:trPr>
        <w:tc>
          <w:tcPr>
            <w:tcW w:w="2260" w:type="dxa"/>
            <w:vAlign w:val="bottom"/>
            <w:tcBorders>
              <w:bottom w:val="single" w:sz="8" w:color="auto"/>
            </w:tcBorders>
          </w:tcPr>
          <w:p>
            <w:pPr>
              <w:spacing w:after="0"/>
              <w:rPr>
                <w:sz w:val="9"/>
                <w:szCs w:val="9"/>
                <w:color w:val="auto"/>
              </w:rPr>
            </w:pPr>
          </w:p>
        </w:tc>
        <w:tc>
          <w:tcPr>
            <w:tcW w:w="7120" w:type="dxa"/>
            <w:vAlign w:val="bottom"/>
            <w:tcBorders>
              <w:bottom w:val="single" w:sz="8" w:color="auto"/>
            </w:tcBorders>
          </w:tcPr>
          <w:p>
            <w:pPr>
              <w:spacing w:after="0"/>
              <w:rPr>
                <w:sz w:val="9"/>
                <w:szCs w:val="9"/>
                <w:color w:val="auto"/>
              </w:rPr>
            </w:pPr>
          </w:p>
        </w:tc>
      </w:tr>
      <w:tr>
        <w:trPr>
          <w:trHeight w:val="292"/>
        </w:trPr>
        <w:tc>
          <w:tcPr>
            <w:tcW w:w="2260" w:type="dxa"/>
            <w:vAlign w:val="bottom"/>
            <w:shd w:val="clear" w:color="auto" w:fill="F7F7F7"/>
          </w:tcPr>
          <w:p>
            <w:pPr>
              <w:ind w:left="160"/>
              <w:spacing w:after="0"/>
              <w:rPr>
                <w:sz w:val="20"/>
                <w:szCs w:val="20"/>
                <w:color w:val="auto"/>
              </w:rPr>
            </w:pPr>
            <w:r>
              <w:rPr>
                <w:rFonts w:ascii="Arial" w:cs="Arial" w:eastAsia="Arial" w:hAnsi="Arial"/>
                <w:sz w:val="14"/>
                <w:szCs w:val="14"/>
                <w:color w:val="auto"/>
              </w:rPr>
              <w:t>Michael Bell</w:t>
            </w:r>
          </w:p>
        </w:tc>
        <w:tc>
          <w:tcPr>
            <w:tcW w:w="7120" w:type="dxa"/>
            <w:vAlign w:val="bottom"/>
            <w:shd w:val="clear" w:color="auto" w:fill="F7F7F7"/>
          </w:tcPr>
          <w:p>
            <w:pPr>
              <w:ind w:left="1040"/>
              <w:spacing w:after="0"/>
              <w:rPr>
                <w:sz w:val="20"/>
                <w:szCs w:val="20"/>
                <w:color w:val="auto"/>
              </w:rPr>
            </w:pPr>
            <w:r>
              <w:rPr>
                <w:rFonts w:ascii="Arial" w:cs="Arial" w:eastAsia="Arial" w:hAnsi="Arial"/>
                <w:sz w:val="14"/>
                <w:szCs w:val="14"/>
                <w:color w:val="auto"/>
              </w:rPr>
              <w:t>Senior Vice President, Digital</w:t>
            </w:r>
          </w:p>
        </w:tc>
      </w:tr>
      <w:tr>
        <w:trPr>
          <w:trHeight w:val="106"/>
        </w:trPr>
        <w:tc>
          <w:tcPr>
            <w:tcW w:w="2260" w:type="dxa"/>
            <w:vAlign w:val="bottom"/>
            <w:tcBorders>
              <w:bottom w:val="single" w:sz="8" w:color="auto"/>
            </w:tcBorders>
            <w:shd w:val="clear" w:color="auto" w:fill="F7F7F7"/>
          </w:tcPr>
          <w:p>
            <w:pPr>
              <w:spacing w:after="0"/>
              <w:rPr>
                <w:sz w:val="9"/>
                <w:szCs w:val="9"/>
                <w:color w:val="auto"/>
              </w:rPr>
            </w:pPr>
          </w:p>
        </w:tc>
        <w:tc>
          <w:tcPr>
            <w:tcW w:w="7120" w:type="dxa"/>
            <w:vAlign w:val="bottom"/>
            <w:tcBorders>
              <w:bottom w:val="single" w:sz="8" w:color="auto"/>
            </w:tcBorders>
            <w:shd w:val="clear" w:color="auto" w:fill="F7F7F7"/>
          </w:tcPr>
          <w:p>
            <w:pPr>
              <w:spacing w:after="0"/>
              <w:rPr>
                <w:sz w:val="9"/>
                <w:szCs w:val="9"/>
                <w:color w:val="auto"/>
              </w:rPr>
            </w:pPr>
          </w:p>
        </w:tc>
      </w:tr>
    </w:tbl>
    <w:p>
      <w:pPr>
        <w:spacing w:after="0" w:line="200" w:lineRule="exact"/>
        <w:rPr>
          <w:sz w:val="20"/>
          <w:szCs w:val="20"/>
          <w:color w:val="auto"/>
        </w:rPr>
      </w:pPr>
    </w:p>
    <w:p>
      <w:pPr>
        <w:sectPr>
          <w:pgSz w:w="11900" w:h="16838" w:orient="portrait"/>
          <w:cols w:equalWidth="0" w:num="1">
            <w:col w:w="10040"/>
          </w:cols>
          <w:pgMar w:left="580" w:top="132"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spacing w:after="0"/>
        <w:tabs>
          <w:tab w:leader="none" w:pos="9880" w:val="left"/>
        </w:tabs>
        <w:rPr>
          <w:sz w:val="20"/>
          <w:szCs w:val="20"/>
          <w:color w:val="auto"/>
        </w:rPr>
      </w:pPr>
      <w:r>
        <w:rPr>
          <w:rFonts w:ascii="Arial" w:cs="Arial" w:eastAsia="Arial" w:hAnsi="Arial"/>
          <w:sz w:val="13"/>
          <w:szCs w:val="13"/>
          <w:color w:val="auto"/>
        </w:rPr>
        <w:t>2022 Proxy Statement</w:t>
      </w:r>
      <w:r>
        <w:rPr>
          <w:sz w:val="20"/>
          <w:szCs w:val="20"/>
          <w:color w:val="auto"/>
        </w:rPr>
        <w:tab/>
      </w:r>
      <w:r>
        <w:rPr>
          <w:rFonts w:ascii="Arial" w:cs="Arial" w:eastAsia="Arial" w:hAnsi="Arial"/>
          <w:sz w:val="12"/>
          <w:szCs w:val="12"/>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type w:val="continuous"/>
        </w:sectPr>
      </w:pPr>
    </w:p>
    <w:bookmarkStart w:id="52" w:name="page53"/>
    <w:bookmarkEnd w:id="52"/>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Executive Summary</w:t>
      </w:r>
    </w:p>
    <w:p>
      <w:pPr>
        <w:spacing w:after="0" w:line="379" w:lineRule="exact"/>
        <w:rPr>
          <w:sz w:val="20"/>
          <w:szCs w:val="20"/>
          <w:color w:val="auto"/>
        </w:rPr>
      </w:pPr>
    </w:p>
    <w:p>
      <w:pPr>
        <w:jc w:val="right"/>
        <w:ind w:right="7840"/>
        <w:spacing w:after="0"/>
        <w:rPr>
          <w:sz w:val="20"/>
          <w:szCs w:val="20"/>
          <w:color w:val="auto"/>
        </w:rPr>
      </w:pPr>
      <w:r>
        <w:rPr>
          <w:rFonts w:ascii="Arial" w:cs="Arial" w:eastAsia="Arial" w:hAnsi="Arial"/>
          <w:sz w:val="14"/>
          <w:szCs w:val="14"/>
          <w:b w:val="1"/>
          <w:bCs w:val="1"/>
          <w:color w:val="auto"/>
        </w:rPr>
        <w:t>Key Accomplishments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137795</wp:posOffset>
            </wp:positionV>
            <wp:extent cx="5760720" cy="7029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60720" cy="7029450"/>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2"/>
          <w:szCs w:val="12"/>
          <w:b w:val="1"/>
          <w:bCs w:val="1"/>
          <w:color w:val="auto"/>
        </w:rPr>
        <w:t>44</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110490</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type w:val="continuous"/>
        </w:sectPr>
      </w:pPr>
    </w:p>
    <w:bookmarkStart w:id="53" w:name="page54"/>
    <w:bookmarkEnd w:id="53"/>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ind w:right="2500"/>
        <w:spacing w:after="0"/>
        <w:rPr>
          <w:sz w:val="20"/>
          <w:szCs w:val="20"/>
          <w:color w:val="auto"/>
        </w:rPr>
      </w:pPr>
      <w:r>
        <w:rPr>
          <w:rFonts w:ascii="Arial" w:cs="Arial" w:eastAsia="Arial" w:hAnsi="Arial"/>
          <w:sz w:val="14"/>
          <w:szCs w:val="14"/>
          <w:b w:val="1"/>
          <w:bCs w:val="1"/>
          <w:color w:val="auto"/>
        </w:rPr>
        <w:t>Exponential Growth in Market Value and Employee Base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189230</wp:posOffset>
            </wp:positionV>
            <wp:extent cx="5734685" cy="24771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34685"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60"/>
        <w:spacing w:after="0"/>
        <w:rPr>
          <w:sz w:val="20"/>
          <w:szCs w:val="20"/>
          <w:color w:val="auto"/>
        </w:rPr>
      </w:pPr>
      <w:r>
        <w:rPr>
          <w:rFonts w:ascii="Arial" w:cs="Arial" w:eastAsia="Arial" w:hAnsi="Arial"/>
          <w:sz w:val="14"/>
          <w:szCs w:val="14"/>
          <w:b w:val="1"/>
          <w:bCs w:val="1"/>
          <w:color w:val="auto"/>
        </w:rPr>
        <w:t>Delivering a World Class Customer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wp:posOffset>
            </wp:positionH>
            <wp:positionV relativeFrom="paragraph">
              <wp:posOffset>154940</wp:posOffset>
            </wp:positionV>
            <wp:extent cx="5572125" cy="30943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572125" cy="309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440"/>
        <w:spacing w:after="0"/>
        <w:rPr>
          <w:sz w:val="20"/>
          <w:szCs w:val="20"/>
          <w:color w:val="auto"/>
        </w:rPr>
      </w:pPr>
      <w:r>
        <w:rPr>
          <w:rFonts w:ascii="Arial" w:cs="Arial" w:eastAsia="Arial" w:hAnsi="Arial"/>
          <w:sz w:val="14"/>
          <w:szCs w:val="14"/>
          <w:color w:val="auto"/>
        </w:rPr>
        <w:t>As of February 28, 2022</w:t>
      </w:r>
    </w:p>
    <w:p>
      <w:pPr>
        <w:sectPr>
          <w:pgSz w:w="11900" w:h="16838" w:orient="portrait"/>
          <w:cols w:equalWidth="0" w:num="1">
            <w:col w:w="10040"/>
          </w:cols>
          <w:pgMar w:left="580" w:top="132"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60"/>
        <w:spacing w:after="0"/>
        <w:tabs>
          <w:tab w:leader="none" w:pos="9880" w:val="left"/>
        </w:tabs>
        <w:rPr>
          <w:sz w:val="20"/>
          <w:szCs w:val="20"/>
          <w:color w:val="auto"/>
        </w:rPr>
      </w:pPr>
      <w:r>
        <w:rPr>
          <w:rFonts w:ascii="Arial" w:cs="Arial" w:eastAsia="Arial" w:hAnsi="Arial"/>
          <w:sz w:val="13"/>
          <w:szCs w:val="13"/>
          <w:color w:val="auto"/>
        </w:rPr>
        <w:t>2022 Proxy Statement</w:t>
      </w:r>
      <w:r>
        <w:rPr>
          <w:sz w:val="20"/>
          <w:szCs w:val="20"/>
          <w:color w:val="auto"/>
        </w:rPr>
        <w:tab/>
      </w:r>
      <w:r>
        <w:rPr>
          <w:rFonts w:ascii="Arial" w:cs="Arial" w:eastAsia="Arial" w:hAnsi="Arial"/>
          <w:sz w:val="12"/>
          <w:szCs w:val="12"/>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type w:val="continuous"/>
        </w:sectPr>
      </w:pPr>
    </w:p>
    <w:bookmarkStart w:id="54" w:name="page55"/>
    <w:bookmarkEnd w:id="54"/>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2021 Pay Actions in Connection with Key Accomplishments</w:t>
      </w:r>
    </w:p>
    <w:p>
      <w:pPr>
        <w:spacing w:after="0" w:line="205" w:lineRule="exact"/>
        <w:rPr>
          <w:sz w:val="20"/>
          <w:szCs w:val="20"/>
          <w:color w:val="auto"/>
        </w:rPr>
      </w:pPr>
    </w:p>
    <w:p>
      <w:pPr>
        <w:ind w:left="660"/>
        <w:spacing w:after="0" w:line="286" w:lineRule="auto"/>
        <w:rPr>
          <w:sz w:val="20"/>
          <w:szCs w:val="20"/>
          <w:color w:val="auto"/>
        </w:rPr>
      </w:pPr>
      <w:r>
        <w:rPr>
          <w:rFonts w:ascii="Arial" w:cs="Arial" w:eastAsia="Arial" w:hAnsi="Arial"/>
          <w:sz w:val="16"/>
          <w:szCs w:val="16"/>
          <w:color w:val="auto"/>
        </w:rPr>
        <w:t>We believe our executive compensation program provides effective incentives for our NEOs to lead us to achieve significant future growth, thereby producing, long-term value for our shareholders. In light of key accomplishments in 2021, our Compensation Committee or, prior the Merger, the Atieva Committee, approved the following pay actions for our NEOs, each of which is more fully described below in this CD&amp;A:</w:t>
      </w:r>
    </w:p>
    <w:p>
      <w:pPr>
        <w:spacing w:after="0" w:line="242" w:lineRule="exact"/>
        <w:rPr>
          <w:sz w:val="20"/>
          <w:szCs w:val="20"/>
          <w:color w:val="auto"/>
        </w:rPr>
      </w:pPr>
    </w:p>
    <w:tbl>
      <w:tblPr>
        <w:tblLayout w:type="fixed"/>
        <w:tblInd w:w="660" w:type="dxa"/>
        <w:tblCellMar>
          <w:top w:w="0" w:type="dxa"/>
          <w:left w:w="0" w:type="dxa"/>
          <w:bottom w:w="0" w:type="dxa"/>
          <w:right w:w="0" w:type="dxa"/>
        </w:tblCellMar>
      </w:tblPr>
      <w:tr>
        <w:trPr>
          <w:trHeight w:val="281"/>
        </w:trPr>
        <w:tc>
          <w:tcPr>
            <w:tcW w:w="2560" w:type="dxa"/>
            <w:vAlign w:val="bottom"/>
            <w:shd w:val="clear" w:color="auto" w:fill="000000"/>
          </w:tcPr>
          <w:p>
            <w:pPr>
              <w:ind w:left="160"/>
              <w:spacing w:after="0"/>
              <w:rPr>
                <w:sz w:val="20"/>
                <w:szCs w:val="20"/>
                <w:color w:val="auto"/>
              </w:rPr>
            </w:pPr>
            <w:r>
              <w:rPr>
                <w:rFonts w:ascii="Arial" w:cs="Arial" w:eastAsia="Arial" w:hAnsi="Arial"/>
                <w:sz w:val="13"/>
                <w:szCs w:val="13"/>
                <w:b w:val="1"/>
                <w:bCs w:val="1"/>
                <w:color w:val="FEFEFE"/>
              </w:rPr>
              <w:t>Pay Element</w:t>
            </w:r>
          </w:p>
        </w:tc>
        <w:tc>
          <w:tcPr>
            <w:tcW w:w="6820" w:type="dxa"/>
            <w:vAlign w:val="bottom"/>
            <w:shd w:val="clear" w:color="auto" w:fill="000000"/>
          </w:tcPr>
          <w:p>
            <w:pPr>
              <w:ind w:left="740"/>
              <w:spacing w:after="0"/>
              <w:rPr>
                <w:sz w:val="20"/>
                <w:szCs w:val="20"/>
                <w:color w:val="auto"/>
              </w:rPr>
            </w:pPr>
            <w:r>
              <w:rPr>
                <w:rFonts w:ascii="Arial" w:cs="Arial" w:eastAsia="Arial" w:hAnsi="Arial"/>
                <w:sz w:val="13"/>
                <w:szCs w:val="13"/>
                <w:b w:val="1"/>
                <w:bCs w:val="1"/>
                <w:color w:val="FEFEFE"/>
              </w:rPr>
              <w:t>Pay Action</w:t>
            </w:r>
          </w:p>
        </w:tc>
      </w:tr>
      <w:tr>
        <w:trPr>
          <w:trHeight w:val="138"/>
        </w:trPr>
        <w:tc>
          <w:tcPr>
            <w:tcW w:w="2560" w:type="dxa"/>
            <w:vAlign w:val="bottom"/>
            <w:shd w:val="clear" w:color="auto" w:fill="000000"/>
          </w:tcPr>
          <w:p>
            <w:pPr>
              <w:spacing w:after="0"/>
              <w:rPr>
                <w:sz w:val="11"/>
                <w:szCs w:val="11"/>
                <w:color w:val="auto"/>
              </w:rPr>
            </w:pPr>
          </w:p>
        </w:tc>
        <w:tc>
          <w:tcPr>
            <w:tcW w:w="6820" w:type="dxa"/>
            <w:vAlign w:val="bottom"/>
            <w:shd w:val="clear" w:color="auto" w:fill="000000"/>
          </w:tcPr>
          <w:p>
            <w:pPr>
              <w:spacing w:after="0"/>
              <w:rPr>
                <w:sz w:val="11"/>
                <w:szCs w:val="11"/>
                <w:color w:val="auto"/>
              </w:rPr>
            </w:pPr>
          </w:p>
        </w:tc>
      </w:tr>
      <w:tr>
        <w:trPr>
          <w:trHeight w:val="315"/>
        </w:trPr>
        <w:tc>
          <w:tcPr>
            <w:tcW w:w="2560" w:type="dxa"/>
            <w:vAlign w:val="bottom"/>
          </w:tcPr>
          <w:p>
            <w:pPr>
              <w:ind w:left="160"/>
              <w:spacing w:after="0"/>
              <w:rPr>
                <w:sz w:val="20"/>
                <w:szCs w:val="20"/>
                <w:color w:val="auto"/>
              </w:rPr>
            </w:pPr>
            <w:r>
              <w:rPr>
                <w:rFonts w:ascii="Arial" w:cs="Arial" w:eastAsia="Arial" w:hAnsi="Arial"/>
                <w:sz w:val="14"/>
                <w:szCs w:val="14"/>
                <w:b w:val="1"/>
                <w:bCs w:val="1"/>
                <w:color w:val="auto"/>
              </w:rPr>
              <w:t>Base Salary</w:t>
            </w:r>
          </w:p>
        </w:tc>
        <w:tc>
          <w:tcPr>
            <w:tcW w:w="6820" w:type="dxa"/>
            <w:vAlign w:val="bottom"/>
          </w:tcPr>
          <w:p>
            <w:pPr>
              <w:ind w:left="740"/>
              <w:spacing w:after="0"/>
              <w:rPr>
                <w:sz w:val="20"/>
                <w:szCs w:val="20"/>
                <w:color w:val="auto"/>
              </w:rPr>
            </w:pPr>
            <w:r>
              <w:rPr>
                <w:rFonts w:ascii="Arial" w:cs="Arial" w:eastAsia="Arial" w:hAnsi="Arial"/>
                <w:sz w:val="14"/>
                <w:szCs w:val="14"/>
                <w:color w:val="886B25"/>
              </w:rPr>
              <w:t xml:space="preserve">■ </w:t>
            </w:r>
            <w:r>
              <w:rPr>
                <w:rFonts w:ascii="Arial" w:cs="Arial" w:eastAsia="Arial" w:hAnsi="Arial"/>
                <w:sz w:val="14"/>
                <w:szCs w:val="14"/>
                <w:color w:val="000000"/>
              </w:rPr>
              <w:t>To align our NEOs’ cash compensation with competitive public company levels, our</w:t>
            </w:r>
          </w:p>
        </w:tc>
      </w:tr>
      <w:tr>
        <w:trPr>
          <w:trHeight w:val="162"/>
        </w:trPr>
        <w:tc>
          <w:tcPr>
            <w:tcW w:w="2560" w:type="dxa"/>
            <w:vAlign w:val="bottom"/>
          </w:tcPr>
          <w:p>
            <w:pPr>
              <w:spacing w:after="0"/>
              <w:rPr>
                <w:sz w:val="14"/>
                <w:szCs w:val="14"/>
                <w:color w:val="auto"/>
              </w:rPr>
            </w:pPr>
          </w:p>
        </w:tc>
        <w:tc>
          <w:tcPr>
            <w:tcW w:w="6820" w:type="dxa"/>
            <w:vAlign w:val="bottom"/>
          </w:tcPr>
          <w:p>
            <w:pPr>
              <w:ind w:left="880"/>
              <w:spacing w:after="0"/>
              <w:rPr>
                <w:sz w:val="20"/>
                <w:szCs w:val="20"/>
                <w:color w:val="auto"/>
              </w:rPr>
            </w:pPr>
            <w:r>
              <w:rPr>
                <w:rFonts w:ascii="Arial" w:cs="Arial" w:eastAsia="Arial" w:hAnsi="Arial"/>
                <w:sz w:val="14"/>
                <w:szCs w:val="14"/>
                <w:color w:val="auto"/>
              </w:rPr>
              <w:t>Compensation Committee increased the base salaries of Messrs. Rawlinson and Bach by</w:t>
            </w:r>
          </w:p>
        </w:tc>
      </w:tr>
      <w:tr>
        <w:trPr>
          <w:trHeight w:val="172"/>
        </w:trPr>
        <w:tc>
          <w:tcPr>
            <w:tcW w:w="2560" w:type="dxa"/>
            <w:vAlign w:val="bottom"/>
          </w:tcPr>
          <w:p>
            <w:pPr>
              <w:spacing w:after="0"/>
              <w:rPr>
                <w:sz w:val="14"/>
                <w:szCs w:val="14"/>
                <w:color w:val="auto"/>
              </w:rPr>
            </w:pPr>
          </w:p>
        </w:tc>
        <w:tc>
          <w:tcPr>
            <w:tcW w:w="6820" w:type="dxa"/>
            <w:vAlign w:val="bottom"/>
          </w:tcPr>
          <w:p>
            <w:pPr>
              <w:ind w:left="880"/>
              <w:spacing w:after="0"/>
              <w:rPr>
                <w:sz w:val="20"/>
                <w:szCs w:val="20"/>
                <w:color w:val="auto"/>
              </w:rPr>
            </w:pPr>
            <w:r>
              <w:rPr>
                <w:rFonts w:ascii="Arial" w:cs="Arial" w:eastAsia="Arial" w:hAnsi="Arial"/>
                <w:sz w:val="14"/>
                <w:szCs w:val="14"/>
                <w:color w:val="auto"/>
              </w:rPr>
              <w:t>15% and 13%, respectively, effective August 2021.</w:t>
            </w:r>
          </w:p>
        </w:tc>
      </w:tr>
      <w:tr>
        <w:trPr>
          <w:trHeight w:val="120"/>
        </w:trPr>
        <w:tc>
          <w:tcPr>
            <w:tcW w:w="2560" w:type="dxa"/>
            <w:vAlign w:val="bottom"/>
            <w:tcBorders>
              <w:bottom w:val="single" w:sz="8" w:color="auto"/>
            </w:tcBorders>
          </w:tcPr>
          <w:p>
            <w:pPr>
              <w:spacing w:after="0"/>
              <w:rPr>
                <w:sz w:val="10"/>
                <w:szCs w:val="10"/>
                <w:color w:val="auto"/>
              </w:rPr>
            </w:pPr>
          </w:p>
        </w:tc>
        <w:tc>
          <w:tcPr>
            <w:tcW w:w="6820" w:type="dxa"/>
            <w:vAlign w:val="bottom"/>
            <w:tcBorders>
              <w:bottom w:val="single" w:sz="8" w:color="auto"/>
            </w:tcBorders>
          </w:tcPr>
          <w:p>
            <w:pPr>
              <w:spacing w:after="0"/>
              <w:rPr>
                <w:sz w:val="10"/>
                <w:szCs w:val="10"/>
                <w:color w:val="auto"/>
              </w:rPr>
            </w:pPr>
          </w:p>
        </w:tc>
      </w:tr>
      <w:tr>
        <w:trPr>
          <w:trHeight w:val="309"/>
        </w:trPr>
        <w:tc>
          <w:tcPr>
            <w:tcW w:w="2560" w:type="dxa"/>
            <w:vAlign w:val="bottom"/>
            <w:shd w:val="clear" w:color="auto" w:fill="F7F7F7"/>
          </w:tcPr>
          <w:p>
            <w:pPr>
              <w:ind w:left="160"/>
              <w:spacing w:after="0"/>
              <w:rPr>
                <w:sz w:val="20"/>
                <w:szCs w:val="20"/>
                <w:color w:val="auto"/>
              </w:rPr>
            </w:pPr>
            <w:r>
              <w:rPr>
                <w:rFonts w:ascii="Arial" w:cs="Arial" w:eastAsia="Arial" w:hAnsi="Arial"/>
                <w:sz w:val="14"/>
                <w:szCs w:val="14"/>
                <w:b w:val="1"/>
                <w:bCs w:val="1"/>
                <w:color w:val="auto"/>
              </w:rPr>
              <w:t>Annual Incentive</w:t>
            </w:r>
          </w:p>
        </w:tc>
        <w:tc>
          <w:tcPr>
            <w:tcW w:w="6820" w:type="dxa"/>
            <w:vAlign w:val="bottom"/>
            <w:shd w:val="clear" w:color="auto" w:fill="F7F7F7"/>
          </w:tcPr>
          <w:p>
            <w:pPr>
              <w:ind w:left="740"/>
              <w:spacing w:after="0"/>
              <w:rPr>
                <w:sz w:val="20"/>
                <w:szCs w:val="20"/>
                <w:color w:val="auto"/>
              </w:rPr>
            </w:pPr>
            <w:r>
              <w:rPr>
                <w:rFonts w:ascii="Arial" w:cs="Arial" w:eastAsia="Arial" w:hAnsi="Arial"/>
                <w:sz w:val="14"/>
                <w:szCs w:val="14"/>
                <w:color w:val="886B25"/>
              </w:rPr>
              <w:t xml:space="preserve">■ </w:t>
            </w:r>
            <w:r>
              <w:rPr>
                <w:rFonts w:ascii="Arial" w:cs="Arial" w:eastAsia="Arial" w:hAnsi="Arial"/>
                <w:sz w:val="14"/>
                <w:szCs w:val="14"/>
                <w:color w:val="000000"/>
              </w:rPr>
              <w:t>Prior to the Merger, the Atieva Committee approved our 2021 annual cash bonus</w:t>
            </w:r>
          </w:p>
        </w:tc>
      </w:tr>
      <w:tr>
        <w:trPr>
          <w:trHeight w:val="162"/>
        </w:trPr>
        <w:tc>
          <w:tcPr>
            <w:tcW w:w="2560" w:type="dxa"/>
            <w:vAlign w:val="bottom"/>
            <w:shd w:val="clear" w:color="auto" w:fill="F7F7F7"/>
          </w:tcPr>
          <w:p>
            <w:pPr>
              <w:spacing w:after="0"/>
              <w:rPr>
                <w:sz w:val="14"/>
                <w:szCs w:val="14"/>
                <w:color w:val="auto"/>
              </w:rPr>
            </w:pPr>
          </w:p>
        </w:tc>
        <w:tc>
          <w:tcPr>
            <w:tcW w:w="6820" w:type="dxa"/>
            <w:vAlign w:val="bottom"/>
            <w:shd w:val="clear" w:color="auto" w:fill="F7F7F7"/>
          </w:tcPr>
          <w:p>
            <w:pPr>
              <w:ind w:left="880"/>
              <w:spacing w:after="0"/>
              <w:rPr>
                <w:sz w:val="20"/>
                <w:szCs w:val="20"/>
                <w:color w:val="auto"/>
              </w:rPr>
            </w:pPr>
            <w:r>
              <w:rPr>
                <w:rFonts w:ascii="Arial" w:cs="Arial" w:eastAsia="Arial" w:hAnsi="Arial"/>
                <w:sz w:val="14"/>
                <w:szCs w:val="14"/>
                <w:color w:val="auto"/>
              </w:rPr>
              <w:t>program, a significant portion of which was based on the timing of our start of production</w:t>
            </w:r>
          </w:p>
        </w:tc>
      </w:tr>
      <w:tr>
        <w:trPr>
          <w:trHeight w:val="162"/>
        </w:trPr>
        <w:tc>
          <w:tcPr>
            <w:tcW w:w="2560" w:type="dxa"/>
            <w:vAlign w:val="bottom"/>
            <w:shd w:val="clear" w:color="auto" w:fill="F7F7F7"/>
          </w:tcPr>
          <w:p>
            <w:pPr>
              <w:spacing w:after="0"/>
              <w:rPr>
                <w:sz w:val="14"/>
                <w:szCs w:val="14"/>
                <w:color w:val="auto"/>
              </w:rPr>
            </w:pPr>
          </w:p>
        </w:tc>
        <w:tc>
          <w:tcPr>
            <w:tcW w:w="6820" w:type="dxa"/>
            <w:vAlign w:val="bottom"/>
            <w:shd w:val="clear" w:color="auto" w:fill="F7F7F7"/>
          </w:tcPr>
          <w:p>
            <w:pPr>
              <w:ind w:left="880"/>
              <w:spacing w:after="0"/>
              <w:rPr>
                <w:sz w:val="20"/>
                <w:szCs w:val="20"/>
                <w:color w:val="auto"/>
              </w:rPr>
            </w:pPr>
            <w:r>
              <w:rPr>
                <w:rFonts w:ascii="Arial" w:cs="Arial" w:eastAsia="Arial" w:hAnsi="Arial"/>
                <w:sz w:val="14"/>
                <w:szCs w:val="14"/>
                <w:color w:val="auto"/>
              </w:rPr>
              <w:t>and customer deliveries of the Lucid Air. In November 2021, our Compensation</w:t>
            </w:r>
          </w:p>
        </w:tc>
      </w:tr>
      <w:tr>
        <w:trPr>
          <w:trHeight w:val="162"/>
        </w:trPr>
        <w:tc>
          <w:tcPr>
            <w:tcW w:w="2560" w:type="dxa"/>
            <w:vAlign w:val="bottom"/>
            <w:shd w:val="clear" w:color="auto" w:fill="F7F7F7"/>
          </w:tcPr>
          <w:p>
            <w:pPr>
              <w:spacing w:after="0"/>
              <w:rPr>
                <w:sz w:val="14"/>
                <w:szCs w:val="14"/>
                <w:color w:val="auto"/>
              </w:rPr>
            </w:pPr>
          </w:p>
        </w:tc>
        <w:tc>
          <w:tcPr>
            <w:tcW w:w="6820" w:type="dxa"/>
            <w:vAlign w:val="bottom"/>
            <w:shd w:val="clear" w:color="auto" w:fill="F7F7F7"/>
          </w:tcPr>
          <w:p>
            <w:pPr>
              <w:ind w:left="880"/>
              <w:spacing w:after="0"/>
              <w:rPr>
                <w:sz w:val="20"/>
                <w:szCs w:val="20"/>
                <w:color w:val="auto"/>
              </w:rPr>
            </w:pPr>
            <w:r>
              <w:rPr>
                <w:rFonts w:ascii="Arial" w:cs="Arial" w:eastAsia="Arial" w:hAnsi="Arial"/>
                <w:sz w:val="14"/>
                <w:szCs w:val="14"/>
                <w:color w:val="auto"/>
              </w:rPr>
              <w:t>Committee approved a payout under our 2021 annual cash bonus program given the</w:t>
            </w:r>
          </w:p>
        </w:tc>
      </w:tr>
      <w:tr>
        <w:trPr>
          <w:trHeight w:val="162"/>
        </w:trPr>
        <w:tc>
          <w:tcPr>
            <w:tcW w:w="2560" w:type="dxa"/>
            <w:vAlign w:val="bottom"/>
            <w:shd w:val="clear" w:color="auto" w:fill="F7F7F7"/>
          </w:tcPr>
          <w:p>
            <w:pPr>
              <w:spacing w:after="0"/>
              <w:rPr>
                <w:sz w:val="14"/>
                <w:szCs w:val="14"/>
                <w:color w:val="auto"/>
              </w:rPr>
            </w:pPr>
          </w:p>
        </w:tc>
        <w:tc>
          <w:tcPr>
            <w:tcW w:w="6820" w:type="dxa"/>
            <w:vAlign w:val="bottom"/>
            <w:shd w:val="clear" w:color="auto" w:fill="F7F7F7"/>
          </w:tcPr>
          <w:p>
            <w:pPr>
              <w:ind w:left="880"/>
              <w:spacing w:after="0"/>
              <w:rPr>
                <w:sz w:val="20"/>
                <w:szCs w:val="20"/>
                <w:color w:val="auto"/>
              </w:rPr>
            </w:pPr>
            <w:r>
              <w:rPr>
                <w:rFonts w:ascii="Arial" w:cs="Arial" w:eastAsia="Arial" w:hAnsi="Arial"/>
                <w:sz w:val="14"/>
                <w:szCs w:val="14"/>
                <w:color w:val="auto"/>
              </w:rPr>
              <w:t>successful achievement of the start of production and start of customer deliveries of the</w:t>
            </w:r>
          </w:p>
        </w:tc>
      </w:tr>
      <w:tr>
        <w:trPr>
          <w:trHeight w:val="162"/>
        </w:trPr>
        <w:tc>
          <w:tcPr>
            <w:tcW w:w="2560" w:type="dxa"/>
            <w:vAlign w:val="bottom"/>
            <w:shd w:val="clear" w:color="auto" w:fill="F7F7F7"/>
          </w:tcPr>
          <w:p>
            <w:pPr>
              <w:spacing w:after="0"/>
              <w:rPr>
                <w:sz w:val="14"/>
                <w:szCs w:val="14"/>
                <w:color w:val="auto"/>
              </w:rPr>
            </w:pPr>
          </w:p>
        </w:tc>
        <w:tc>
          <w:tcPr>
            <w:tcW w:w="6820" w:type="dxa"/>
            <w:vAlign w:val="bottom"/>
            <w:shd w:val="clear" w:color="auto" w:fill="F7F7F7"/>
          </w:tcPr>
          <w:p>
            <w:pPr>
              <w:ind w:left="880"/>
              <w:spacing w:after="0"/>
              <w:rPr>
                <w:sz w:val="20"/>
                <w:szCs w:val="20"/>
                <w:color w:val="auto"/>
              </w:rPr>
            </w:pPr>
            <w:r>
              <w:rPr>
                <w:rFonts w:ascii="Arial" w:cs="Arial" w:eastAsia="Arial" w:hAnsi="Arial"/>
                <w:sz w:val="14"/>
                <w:szCs w:val="14"/>
                <w:color w:val="auto"/>
              </w:rPr>
              <w:t>Lucid Air, as well as our NEOs’ respective contributions to Lucid’s overall success in</w:t>
            </w:r>
          </w:p>
        </w:tc>
      </w:tr>
      <w:tr>
        <w:trPr>
          <w:trHeight w:val="172"/>
        </w:trPr>
        <w:tc>
          <w:tcPr>
            <w:tcW w:w="2560" w:type="dxa"/>
            <w:vAlign w:val="bottom"/>
            <w:shd w:val="clear" w:color="auto" w:fill="F7F7F7"/>
          </w:tcPr>
          <w:p>
            <w:pPr>
              <w:spacing w:after="0"/>
              <w:rPr>
                <w:sz w:val="14"/>
                <w:szCs w:val="14"/>
                <w:color w:val="auto"/>
              </w:rPr>
            </w:pPr>
          </w:p>
        </w:tc>
        <w:tc>
          <w:tcPr>
            <w:tcW w:w="6820" w:type="dxa"/>
            <w:vAlign w:val="bottom"/>
            <w:shd w:val="clear" w:color="auto" w:fill="F7F7F7"/>
          </w:tcPr>
          <w:p>
            <w:pPr>
              <w:ind w:left="880"/>
              <w:spacing w:after="0"/>
              <w:rPr>
                <w:sz w:val="20"/>
                <w:szCs w:val="20"/>
                <w:color w:val="auto"/>
              </w:rPr>
            </w:pPr>
            <w:r>
              <w:rPr>
                <w:rFonts w:ascii="Arial" w:cs="Arial" w:eastAsia="Arial" w:hAnsi="Arial"/>
                <w:sz w:val="14"/>
                <w:szCs w:val="14"/>
                <w:color w:val="auto"/>
              </w:rPr>
              <w:t>2021.</w:t>
            </w:r>
          </w:p>
        </w:tc>
      </w:tr>
      <w:tr>
        <w:trPr>
          <w:trHeight w:val="120"/>
        </w:trPr>
        <w:tc>
          <w:tcPr>
            <w:tcW w:w="2560" w:type="dxa"/>
            <w:vAlign w:val="bottom"/>
            <w:tcBorders>
              <w:bottom w:val="single" w:sz="8" w:color="auto"/>
            </w:tcBorders>
            <w:shd w:val="clear" w:color="auto" w:fill="F7F7F7"/>
          </w:tcPr>
          <w:p>
            <w:pPr>
              <w:spacing w:after="0"/>
              <w:rPr>
                <w:sz w:val="10"/>
                <w:szCs w:val="10"/>
                <w:color w:val="auto"/>
              </w:rPr>
            </w:pPr>
          </w:p>
        </w:tc>
        <w:tc>
          <w:tcPr>
            <w:tcW w:w="6820" w:type="dxa"/>
            <w:vAlign w:val="bottom"/>
            <w:tcBorders>
              <w:bottom w:val="single" w:sz="8" w:color="auto"/>
            </w:tcBorders>
            <w:shd w:val="clear" w:color="auto" w:fill="F7F7F7"/>
          </w:tcPr>
          <w:p>
            <w:pPr>
              <w:spacing w:after="0"/>
              <w:rPr>
                <w:sz w:val="10"/>
                <w:szCs w:val="10"/>
                <w:color w:val="auto"/>
              </w:rPr>
            </w:pPr>
          </w:p>
        </w:tc>
      </w:tr>
      <w:tr>
        <w:trPr>
          <w:trHeight w:val="309"/>
        </w:trPr>
        <w:tc>
          <w:tcPr>
            <w:tcW w:w="2560" w:type="dxa"/>
            <w:vAlign w:val="bottom"/>
          </w:tcPr>
          <w:p>
            <w:pPr>
              <w:ind w:left="160"/>
              <w:spacing w:after="0"/>
              <w:rPr>
                <w:sz w:val="20"/>
                <w:szCs w:val="20"/>
                <w:color w:val="auto"/>
              </w:rPr>
            </w:pPr>
            <w:r>
              <w:rPr>
                <w:rFonts w:ascii="Arial" w:cs="Arial" w:eastAsia="Arial" w:hAnsi="Arial"/>
                <w:sz w:val="14"/>
                <w:szCs w:val="14"/>
                <w:b w:val="1"/>
                <w:bCs w:val="1"/>
                <w:color w:val="auto"/>
              </w:rPr>
              <w:t>Long-Term Incentives</w:t>
            </w:r>
          </w:p>
        </w:tc>
        <w:tc>
          <w:tcPr>
            <w:tcW w:w="6820" w:type="dxa"/>
            <w:vAlign w:val="bottom"/>
          </w:tcPr>
          <w:p>
            <w:pPr>
              <w:ind w:left="740"/>
              <w:spacing w:after="0"/>
              <w:rPr>
                <w:sz w:val="20"/>
                <w:szCs w:val="20"/>
                <w:color w:val="auto"/>
              </w:rPr>
            </w:pPr>
            <w:r>
              <w:rPr>
                <w:rFonts w:ascii="Arial" w:cs="Arial" w:eastAsia="Arial" w:hAnsi="Arial"/>
                <w:sz w:val="14"/>
                <w:szCs w:val="14"/>
                <w:color w:val="886B25"/>
              </w:rPr>
              <w:t xml:space="preserve">■ </w:t>
            </w:r>
            <w:r>
              <w:rPr>
                <w:rFonts w:ascii="Arial" w:cs="Arial" w:eastAsia="Arial" w:hAnsi="Arial"/>
                <w:sz w:val="14"/>
                <w:szCs w:val="14"/>
                <w:color w:val="000000"/>
              </w:rPr>
              <w:t>Prior to the Merger, Messrs. Bach and Bell and Ms. House were granted long-term</w:t>
            </w:r>
          </w:p>
        </w:tc>
      </w:tr>
      <w:tr>
        <w:trPr>
          <w:trHeight w:val="162"/>
        </w:trPr>
        <w:tc>
          <w:tcPr>
            <w:tcW w:w="2560" w:type="dxa"/>
            <w:vAlign w:val="bottom"/>
          </w:tcPr>
          <w:p>
            <w:pPr>
              <w:spacing w:after="0"/>
              <w:rPr>
                <w:sz w:val="14"/>
                <w:szCs w:val="14"/>
                <w:color w:val="auto"/>
              </w:rPr>
            </w:pPr>
          </w:p>
        </w:tc>
        <w:tc>
          <w:tcPr>
            <w:tcW w:w="6820" w:type="dxa"/>
            <w:vAlign w:val="bottom"/>
          </w:tcPr>
          <w:p>
            <w:pPr>
              <w:ind w:left="880"/>
              <w:spacing w:after="0"/>
              <w:rPr>
                <w:sz w:val="20"/>
                <w:szCs w:val="20"/>
                <w:color w:val="auto"/>
              </w:rPr>
            </w:pPr>
            <w:r>
              <w:rPr>
                <w:rFonts w:ascii="Arial" w:cs="Arial" w:eastAsia="Arial" w:hAnsi="Arial"/>
                <w:sz w:val="14"/>
                <w:szCs w:val="14"/>
                <w:color w:val="auto"/>
              </w:rPr>
              <w:t>incentive awards in the form of restricted stock units (“RSUs”) with time-based vesting.</w:t>
            </w:r>
          </w:p>
        </w:tc>
      </w:tr>
      <w:tr>
        <w:trPr>
          <w:trHeight w:val="162"/>
        </w:trPr>
        <w:tc>
          <w:tcPr>
            <w:tcW w:w="2560" w:type="dxa"/>
            <w:vAlign w:val="bottom"/>
          </w:tcPr>
          <w:p>
            <w:pPr>
              <w:spacing w:after="0"/>
              <w:rPr>
                <w:sz w:val="14"/>
                <w:szCs w:val="14"/>
                <w:color w:val="auto"/>
              </w:rPr>
            </w:pPr>
          </w:p>
        </w:tc>
        <w:tc>
          <w:tcPr>
            <w:tcW w:w="6820" w:type="dxa"/>
            <w:vAlign w:val="bottom"/>
          </w:tcPr>
          <w:p>
            <w:pPr>
              <w:ind w:left="880"/>
              <w:spacing w:after="0"/>
              <w:rPr>
                <w:sz w:val="20"/>
                <w:szCs w:val="20"/>
                <w:color w:val="auto"/>
              </w:rPr>
            </w:pPr>
            <w:r>
              <w:rPr>
                <w:rFonts w:ascii="Arial" w:cs="Arial" w:eastAsia="Arial" w:hAnsi="Arial"/>
                <w:sz w:val="14"/>
                <w:szCs w:val="14"/>
                <w:color w:val="auto"/>
              </w:rPr>
              <w:t>Mr. Bach’s award was granted in recognition of his performance and contribution to, and</w:t>
            </w:r>
          </w:p>
        </w:tc>
      </w:tr>
      <w:tr>
        <w:trPr>
          <w:trHeight w:val="162"/>
        </w:trPr>
        <w:tc>
          <w:tcPr>
            <w:tcW w:w="2560" w:type="dxa"/>
            <w:vAlign w:val="bottom"/>
          </w:tcPr>
          <w:p>
            <w:pPr>
              <w:spacing w:after="0"/>
              <w:rPr>
                <w:sz w:val="14"/>
                <w:szCs w:val="14"/>
                <w:color w:val="auto"/>
              </w:rPr>
            </w:pPr>
          </w:p>
        </w:tc>
        <w:tc>
          <w:tcPr>
            <w:tcW w:w="6820" w:type="dxa"/>
            <w:vAlign w:val="bottom"/>
          </w:tcPr>
          <w:p>
            <w:pPr>
              <w:ind w:left="880"/>
              <w:spacing w:after="0"/>
              <w:rPr>
                <w:sz w:val="20"/>
                <w:szCs w:val="20"/>
                <w:color w:val="auto"/>
              </w:rPr>
            </w:pPr>
            <w:r>
              <w:rPr>
                <w:rFonts w:ascii="Arial" w:cs="Arial" w:eastAsia="Arial" w:hAnsi="Arial"/>
                <w:sz w:val="14"/>
                <w:szCs w:val="14"/>
                <w:color w:val="auto"/>
              </w:rPr>
              <w:t>to further incentivize his retention with, the Company. Mr. Bell’s and Ms. House’s awards</w:t>
            </w:r>
          </w:p>
        </w:tc>
      </w:tr>
      <w:tr>
        <w:trPr>
          <w:trHeight w:val="172"/>
        </w:trPr>
        <w:tc>
          <w:tcPr>
            <w:tcW w:w="2560" w:type="dxa"/>
            <w:vAlign w:val="bottom"/>
          </w:tcPr>
          <w:p>
            <w:pPr>
              <w:spacing w:after="0"/>
              <w:rPr>
                <w:sz w:val="14"/>
                <w:szCs w:val="14"/>
                <w:color w:val="auto"/>
              </w:rPr>
            </w:pPr>
          </w:p>
        </w:tc>
        <w:tc>
          <w:tcPr>
            <w:tcW w:w="6820" w:type="dxa"/>
            <w:vAlign w:val="bottom"/>
          </w:tcPr>
          <w:p>
            <w:pPr>
              <w:ind w:left="880"/>
              <w:spacing w:after="0"/>
              <w:rPr>
                <w:sz w:val="20"/>
                <w:szCs w:val="20"/>
                <w:color w:val="auto"/>
              </w:rPr>
            </w:pPr>
            <w:r>
              <w:rPr>
                <w:rFonts w:ascii="Arial" w:cs="Arial" w:eastAsia="Arial" w:hAnsi="Arial"/>
                <w:sz w:val="14"/>
                <w:szCs w:val="14"/>
                <w:color w:val="auto"/>
              </w:rPr>
              <w:t>were granted in connection with their commencement of employment in 2021.</w:t>
            </w:r>
          </w:p>
        </w:tc>
      </w:tr>
      <w:tr>
        <w:trPr>
          <w:trHeight w:val="273"/>
        </w:trPr>
        <w:tc>
          <w:tcPr>
            <w:tcW w:w="2560" w:type="dxa"/>
            <w:vAlign w:val="bottom"/>
          </w:tcPr>
          <w:p>
            <w:pPr>
              <w:spacing w:after="0"/>
              <w:rPr>
                <w:sz w:val="23"/>
                <w:szCs w:val="23"/>
                <w:color w:val="auto"/>
              </w:rPr>
            </w:pPr>
          </w:p>
        </w:tc>
        <w:tc>
          <w:tcPr>
            <w:tcW w:w="6820" w:type="dxa"/>
            <w:vAlign w:val="bottom"/>
          </w:tcPr>
          <w:p>
            <w:pPr>
              <w:ind w:left="740"/>
              <w:spacing w:after="0"/>
              <w:rPr>
                <w:sz w:val="20"/>
                <w:szCs w:val="20"/>
                <w:color w:val="auto"/>
              </w:rPr>
            </w:pPr>
            <w:r>
              <w:rPr>
                <w:rFonts w:ascii="Arial" w:cs="Arial" w:eastAsia="Arial" w:hAnsi="Arial"/>
                <w:sz w:val="14"/>
                <w:szCs w:val="14"/>
                <w:color w:val="886B25"/>
              </w:rPr>
              <w:t xml:space="preserve">■ </w:t>
            </w:r>
            <w:r>
              <w:rPr>
                <w:rFonts w:ascii="Arial" w:cs="Arial" w:eastAsia="Arial" w:hAnsi="Arial"/>
                <w:sz w:val="14"/>
                <w:szCs w:val="14"/>
                <w:color w:val="000000"/>
              </w:rPr>
              <w:t>After the signing of the Merger Agreement but prior to the closing of the Merger,</w:t>
            </w:r>
          </w:p>
        </w:tc>
      </w:tr>
      <w:tr>
        <w:trPr>
          <w:trHeight w:val="162"/>
        </w:trPr>
        <w:tc>
          <w:tcPr>
            <w:tcW w:w="2560" w:type="dxa"/>
            <w:vAlign w:val="bottom"/>
          </w:tcPr>
          <w:p>
            <w:pPr>
              <w:spacing w:after="0"/>
              <w:rPr>
                <w:sz w:val="14"/>
                <w:szCs w:val="14"/>
                <w:color w:val="auto"/>
              </w:rPr>
            </w:pPr>
          </w:p>
        </w:tc>
        <w:tc>
          <w:tcPr>
            <w:tcW w:w="6820" w:type="dxa"/>
            <w:vAlign w:val="bottom"/>
          </w:tcPr>
          <w:p>
            <w:pPr>
              <w:ind w:left="880"/>
              <w:spacing w:after="0"/>
              <w:rPr>
                <w:sz w:val="20"/>
                <w:szCs w:val="20"/>
                <w:color w:val="auto"/>
              </w:rPr>
            </w:pPr>
            <w:r>
              <w:rPr>
                <w:rFonts w:ascii="Arial" w:cs="Arial" w:eastAsia="Arial" w:hAnsi="Arial"/>
                <w:sz w:val="14"/>
                <w:szCs w:val="14"/>
                <w:color w:val="auto"/>
              </w:rPr>
              <w:t>Mr. Rawlinson was granted a long-term incentive award in a mix of performance-based</w:t>
            </w:r>
          </w:p>
        </w:tc>
      </w:tr>
      <w:tr>
        <w:trPr>
          <w:trHeight w:val="162"/>
        </w:trPr>
        <w:tc>
          <w:tcPr>
            <w:tcW w:w="2560" w:type="dxa"/>
            <w:vAlign w:val="bottom"/>
          </w:tcPr>
          <w:p>
            <w:pPr>
              <w:spacing w:after="0"/>
              <w:rPr>
                <w:sz w:val="14"/>
                <w:szCs w:val="14"/>
                <w:color w:val="auto"/>
              </w:rPr>
            </w:pPr>
          </w:p>
        </w:tc>
        <w:tc>
          <w:tcPr>
            <w:tcW w:w="6820" w:type="dxa"/>
            <w:vAlign w:val="bottom"/>
          </w:tcPr>
          <w:p>
            <w:pPr>
              <w:ind w:left="880"/>
              <w:spacing w:after="0"/>
              <w:rPr>
                <w:sz w:val="20"/>
                <w:szCs w:val="20"/>
                <w:color w:val="auto"/>
              </w:rPr>
            </w:pPr>
            <w:r>
              <w:rPr>
                <w:rFonts w:ascii="Arial" w:cs="Arial" w:eastAsia="Arial" w:hAnsi="Arial"/>
                <w:sz w:val="14"/>
                <w:szCs w:val="14"/>
                <w:color w:val="auto"/>
              </w:rPr>
              <w:t>and time-based vesting RSUs, which was based on meeting certain market capitalization</w:t>
            </w:r>
          </w:p>
        </w:tc>
      </w:tr>
      <w:tr>
        <w:trPr>
          <w:trHeight w:val="162"/>
        </w:trPr>
        <w:tc>
          <w:tcPr>
            <w:tcW w:w="2560" w:type="dxa"/>
            <w:vAlign w:val="bottom"/>
          </w:tcPr>
          <w:p>
            <w:pPr>
              <w:spacing w:after="0"/>
              <w:rPr>
                <w:sz w:val="14"/>
                <w:szCs w:val="14"/>
                <w:color w:val="auto"/>
              </w:rPr>
            </w:pPr>
          </w:p>
        </w:tc>
        <w:tc>
          <w:tcPr>
            <w:tcW w:w="6820" w:type="dxa"/>
            <w:vAlign w:val="bottom"/>
          </w:tcPr>
          <w:p>
            <w:pPr>
              <w:ind w:left="880"/>
              <w:spacing w:after="0"/>
              <w:rPr>
                <w:sz w:val="20"/>
                <w:szCs w:val="20"/>
                <w:color w:val="auto"/>
              </w:rPr>
            </w:pPr>
            <w:r>
              <w:rPr>
                <w:rFonts w:ascii="Arial" w:cs="Arial" w:eastAsia="Arial" w:hAnsi="Arial"/>
                <w:sz w:val="14"/>
                <w:szCs w:val="14"/>
                <w:color w:val="auto"/>
              </w:rPr>
              <w:t>objectives and subject to the closing of the Merger. This award was granted in recognition</w:t>
            </w:r>
          </w:p>
        </w:tc>
      </w:tr>
      <w:tr>
        <w:trPr>
          <w:trHeight w:val="162"/>
        </w:trPr>
        <w:tc>
          <w:tcPr>
            <w:tcW w:w="2560" w:type="dxa"/>
            <w:vAlign w:val="bottom"/>
          </w:tcPr>
          <w:p>
            <w:pPr>
              <w:spacing w:after="0"/>
              <w:rPr>
                <w:sz w:val="14"/>
                <w:szCs w:val="14"/>
                <w:color w:val="auto"/>
              </w:rPr>
            </w:pPr>
          </w:p>
        </w:tc>
        <w:tc>
          <w:tcPr>
            <w:tcW w:w="6820" w:type="dxa"/>
            <w:vAlign w:val="bottom"/>
          </w:tcPr>
          <w:p>
            <w:pPr>
              <w:ind w:left="880"/>
              <w:spacing w:after="0"/>
              <w:rPr>
                <w:sz w:val="20"/>
                <w:szCs w:val="20"/>
                <w:color w:val="auto"/>
              </w:rPr>
            </w:pPr>
            <w:r>
              <w:rPr>
                <w:rFonts w:ascii="Arial" w:cs="Arial" w:eastAsia="Arial" w:hAnsi="Arial"/>
                <w:sz w:val="14"/>
                <w:szCs w:val="14"/>
                <w:color w:val="auto"/>
              </w:rPr>
              <w:t>of Mr. Rawlinson’s years of dedication and leadership in driving the company’s</w:t>
            </w:r>
          </w:p>
        </w:tc>
      </w:tr>
      <w:tr>
        <w:trPr>
          <w:trHeight w:val="162"/>
        </w:trPr>
        <w:tc>
          <w:tcPr>
            <w:tcW w:w="2560" w:type="dxa"/>
            <w:vAlign w:val="bottom"/>
          </w:tcPr>
          <w:p>
            <w:pPr>
              <w:spacing w:after="0"/>
              <w:rPr>
                <w:sz w:val="14"/>
                <w:szCs w:val="14"/>
                <w:color w:val="auto"/>
              </w:rPr>
            </w:pPr>
          </w:p>
        </w:tc>
        <w:tc>
          <w:tcPr>
            <w:tcW w:w="6820" w:type="dxa"/>
            <w:vAlign w:val="bottom"/>
          </w:tcPr>
          <w:p>
            <w:pPr>
              <w:ind w:left="880"/>
              <w:spacing w:after="0"/>
              <w:rPr>
                <w:sz w:val="20"/>
                <w:szCs w:val="20"/>
                <w:color w:val="auto"/>
              </w:rPr>
            </w:pPr>
            <w:r>
              <w:rPr>
                <w:rFonts w:ascii="Arial" w:cs="Arial" w:eastAsia="Arial" w:hAnsi="Arial"/>
                <w:sz w:val="14"/>
                <w:szCs w:val="14"/>
                <w:color w:val="auto"/>
              </w:rPr>
              <w:t>technological innovation and transformation and his critical importance to the success of</w:t>
            </w:r>
          </w:p>
        </w:tc>
      </w:tr>
      <w:tr>
        <w:trPr>
          <w:trHeight w:val="162"/>
        </w:trPr>
        <w:tc>
          <w:tcPr>
            <w:tcW w:w="2560" w:type="dxa"/>
            <w:vAlign w:val="bottom"/>
          </w:tcPr>
          <w:p>
            <w:pPr>
              <w:spacing w:after="0"/>
              <w:rPr>
                <w:sz w:val="14"/>
                <w:szCs w:val="14"/>
                <w:color w:val="auto"/>
              </w:rPr>
            </w:pPr>
          </w:p>
        </w:tc>
        <w:tc>
          <w:tcPr>
            <w:tcW w:w="6820" w:type="dxa"/>
            <w:vAlign w:val="bottom"/>
          </w:tcPr>
          <w:p>
            <w:pPr>
              <w:ind w:left="880"/>
              <w:spacing w:after="0"/>
              <w:rPr>
                <w:sz w:val="20"/>
                <w:szCs w:val="20"/>
                <w:color w:val="auto"/>
              </w:rPr>
            </w:pPr>
            <w:r>
              <w:rPr>
                <w:rFonts w:ascii="Arial" w:cs="Arial" w:eastAsia="Arial" w:hAnsi="Arial"/>
                <w:sz w:val="14"/>
                <w:szCs w:val="14"/>
                <w:color w:val="auto"/>
              </w:rPr>
              <w:t>the company before, during and after the Merger. At the time of the grant, Mr. Rawlinson</w:t>
            </w:r>
          </w:p>
        </w:tc>
      </w:tr>
      <w:tr>
        <w:trPr>
          <w:trHeight w:val="162"/>
        </w:trPr>
        <w:tc>
          <w:tcPr>
            <w:tcW w:w="2560" w:type="dxa"/>
            <w:vAlign w:val="bottom"/>
          </w:tcPr>
          <w:p>
            <w:pPr>
              <w:spacing w:after="0"/>
              <w:rPr>
                <w:sz w:val="14"/>
                <w:szCs w:val="14"/>
                <w:color w:val="auto"/>
              </w:rPr>
            </w:pPr>
          </w:p>
        </w:tc>
        <w:tc>
          <w:tcPr>
            <w:tcW w:w="6820" w:type="dxa"/>
            <w:vAlign w:val="bottom"/>
          </w:tcPr>
          <w:p>
            <w:pPr>
              <w:ind w:left="880"/>
              <w:spacing w:after="0"/>
              <w:rPr>
                <w:sz w:val="20"/>
                <w:szCs w:val="20"/>
                <w:color w:val="auto"/>
              </w:rPr>
            </w:pPr>
            <w:r>
              <w:rPr>
                <w:rFonts w:ascii="Arial" w:cs="Arial" w:eastAsia="Arial" w:hAnsi="Arial"/>
                <w:sz w:val="14"/>
                <w:szCs w:val="14"/>
                <w:color w:val="auto"/>
              </w:rPr>
              <w:t>did not have any unvested equity awards and this award was intended as a way to align</w:t>
            </w:r>
          </w:p>
        </w:tc>
      </w:tr>
      <w:tr>
        <w:trPr>
          <w:trHeight w:val="162"/>
        </w:trPr>
        <w:tc>
          <w:tcPr>
            <w:tcW w:w="2560" w:type="dxa"/>
            <w:vAlign w:val="bottom"/>
          </w:tcPr>
          <w:p>
            <w:pPr>
              <w:spacing w:after="0"/>
              <w:rPr>
                <w:sz w:val="14"/>
                <w:szCs w:val="14"/>
                <w:color w:val="auto"/>
              </w:rPr>
            </w:pPr>
          </w:p>
        </w:tc>
        <w:tc>
          <w:tcPr>
            <w:tcW w:w="6820" w:type="dxa"/>
            <w:vAlign w:val="bottom"/>
          </w:tcPr>
          <w:p>
            <w:pPr>
              <w:ind w:left="880"/>
              <w:spacing w:after="0"/>
              <w:rPr>
                <w:sz w:val="20"/>
                <w:szCs w:val="20"/>
                <w:color w:val="auto"/>
              </w:rPr>
            </w:pPr>
            <w:r>
              <w:rPr>
                <w:rFonts w:ascii="Arial" w:cs="Arial" w:eastAsia="Arial" w:hAnsi="Arial"/>
                <w:sz w:val="14"/>
                <w:szCs w:val="14"/>
                <w:color w:val="auto"/>
              </w:rPr>
              <w:t>Mr. Rawlinson’s long-term interest with that of the company and its stockholders. This</w:t>
            </w:r>
          </w:p>
        </w:tc>
      </w:tr>
      <w:tr>
        <w:trPr>
          <w:trHeight w:val="172"/>
        </w:trPr>
        <w:tc>
          <w:tcPr>
            <w:tcW w:w="2560" w:type="dxa"/>
            <w:vAlign w:val="bottom"/>
          </w:tcPr>
          <w:p>
            <w:pPr>
              <w:spacing w:after="0"/>
              <w:rPr>
                <w:sz w:val="14"/>
                <w:szCs w:val="14"/>
                <w:color w:val="auto"/>
              </w:rPr>
            </w:pPr>
          </w:p>
        </w:tc>
        <w:tc>
          <w:tcPr>
            <w:tcW w:w="6820" w:type="dxa"/>
            <w:vAlign w:val="bottom"/>
          </w:tcPr>
          <w:p>
            <w:pPr>
              <w:ind w:left="880"/>
              <w:spacing w:after="0"/>
              <w:rPr>
                <w:sz w:val="20"/>
                <w:szCs w:val="20"/>
                <w:color w:val="auto"/>
              </w:rPr>
            </w:pPr>
            <w:r>
              <w:rPr>
                <w:rFonts w:ascii="Arial" w:cs="Arial" w:eastAsia="Arial" w:hAnsi="Arial"/>
                <w:sz w:val="14"/>
                <w:szCs w:val="14"/>
                <w:color w:val="auto"/>
              </w:rPr>
              <w:t>award is described in more detail under “Pre-Merger CEO Compensation” below.</w:t>
            </w:r>
          </w:p>
        </w:tc>
      </w:tr>
      <w:tr>
        <w:trPr>
          <w:trHeight w:val="106"/>
        </w:trPr>
        <w:tc>
          <w:tcPr>
            <w:tcW w:w="2560" w:type="dxa"/>
            <w:vAlign w:val="bottom"/>
            <w:tcBorders>
              <w:bottom w:val="single" w:sz="8" w:color="auto"/>
            </w:tcBorders>
          </w:tcPr>
          <w:p>
            <w:pPr>
              <w:spacing w:after="0"/>
              <w:rPr>
                <w:sz w:val="9"/>
                <w:szCs w:val="9"/>
                <w:color w:val="auto"/>
              </w:rPr>
            </w:pPr>
          </w:p>
        </w:tc>
        <w:tc>
          <w:tcPr>
            <w:tcW w:w="6820" w:type="dxa"/>
            <w:vAlign w:val="bottom"/>
            <w:tcBorders>
              <w:bottom w:val="single" w:sz="8" w:color="auto"/>
            </w:tcBorders>
          </w:tcPr>
          <w:p>
            <w:pPr>
              <w:spacing w:after="0"/>
              <w:rPr>
                <w:sz w:val="9"/>
                <w:szCs w:val="9"/>
                <w:color w:val="auto"/>
              </w:rPr>
            </w:pPr>
          </w:p>
        </w:tc>
      </w:tr>
      <w:tr>
        <w:trPr>
          <w:trHeight w:val="309"/>
        </w:trPr>
        <w:tc>
          <w:tcPr>
            <w:tcW w:w="2560" w:type="dxa"/>
            <w:vAlign w:val="bottom"/>
            <w:shd w:val="clear" w:color="auto" w:fill="F7F7F7"/>
          </w:tcPr>
          <w:p>
            <w:pPr>
              <w:ind w:left="160"/>
              <w:spacing w:after="0"/>
              <w:rPr>
                <w:sz w:val="20"/>
                <w:szCs w:val="20"/>
                <w:color w:val="auto"/>
              </w:rPr>
            </w:pPr>
            <w:r>
              <w:rPr>
                <w:rFonts w:ascii="Arial" w:cs="Arial" w:eastAsia="Arial" w:hAnsi="Arial"/>
                <w:sz w:val="14"/>
                <w:szCs w:val="14"/>
                <w:b w:val="1"/>
                <w:bCs w:val="1"/>
                <w:color w:val="auto"/>
              </w:rPr>
              <w:t>CEO Transaction Bonus</w:t>
            </w:r>
          </w:p>
        </w:tc>
        <w:tc>
          <w:tcPr>
            <w:tcW w:w="6820" w:type="dxa"/>
            <w:vAlign w:val="bottom"/>
            <w:shd w:val="clear" w:color="auto" w:fill="F7F7F7"/>
          </w:tcPr>
          <w:p>
            <w:pPr>
              <w:ind w:left="740"/>
              <w:spacing w:after="0"/>
              <w:rPr>
                <w:sz w:val="20"/>
                <w:szCs w:val="20"/>
                <w:color w:val="auto"/>
              </w:rPr>
            </w:pPr>
            <w:r>
              <w:rPr>
                <w:rFonts w:ascii="Arial" w:cs="Arial" w:eastAsia="Arial" w:hAnsi="Arial"/>
                <w:sz w:val="14"/>
                <w:szCs w:val="14"/>
                <w:color w:val="886B25"/>
              </w:rPr>
              <w:t xml:space="preserve">■ </w:t>
            </w:r>
            <w:r>
              <w:rPr>
                <w:rFonts w:ascii="Arial" w:cs="Arial" w:eastAsia="Arial" w:hAnsi="Arial"/>
                <w:sz w:val="14"/>
                <w:szCs w:val="14"/>
                <w:color w:val="000000"/>
              </w:rPr>
              <w:t>After the signing of the Merger Agreement but prior to the closing of the Merger, the</w:t>
            </w:r>
          </w:p>
        </w:tc>
      </w:tr>
      <w:tr>
        <w:trPr>
          <w:trHeight w:val="162"/>
        </w:trPr>
        <w:tc>
          <w:tcPr>
            <w:tcW w:w="2560" w:type="dxa"/>
            <w:vAlign w:val="bottom"/>
            <w:shd w:val="clear" w:color="auto" w:fill="F7F7F7"/>
          </w:tcPr>
          <w:p>
            <w:pPr>
              <w:spacing w:after="0"/>
              <w:rPr>
                <w:sz w:val="14"/>
                <w:szCs w:val="14"/>
                <w:color w:val="auto"/>
              </w:rPr>
            </w:pPr>
          </w:p>
        </w:tc>
        <w:tc>
          <w:tcPr>
            <w:tcW w:w="6820" w:type="dxa"/>
            <w:vAlign w:val="bottom"/>
            <w:shd w:val="clear" w:color="auto" w:fill="F7F7F7"/>
          </w:tcPr>
          <w:p>
            <w:pPr>
              <w:ind w:left="880"/>
              <w:spacing w:after="0"/>
              <w:rPr>
                <w:sz w:val="20"/>
                <w:szCs w:val="20"/>
                <w:color w:val="auto"/>
              </w:rPr>
            </w:pPr>
            <w:r>
              <w:rPr>
                <w:rFonts w:ascii="Arial" w:cs="Arial" w:eastAsia="Arial" w:hAnsi="Arial"/>
                <w:sz w:val="14"/>
                <w:szCs w:val="14"/>
                <w:color w:val="auto"/>
              </w:rPr>
              <w:t>Atieva Board approved a $2 million cash transaction bonus payable to Mr. Rawlinson,</w:t>
            </w:r>
          </w:p>
        </w:tc>
      </w:tr>
      <w:tr>
        <w:trPr>
          <w:trHeight w:val="162"/>
        </w:trPr>
        <w:tc>
          <w:tcPr>
            <w:tcW w:w="2560" w:type="dxa"/>
            <w:vAlign w:val="bottom"/>
            <w:shd w:val="clear" w:color="auto" w:fill="F7F7F7"/>
          </w:tcPr>
          <w:p>
            <w:pPr>
              <w:spacing w:after="0"/>
              <w:rPr>
                <w:sz w:val="14"/>
                <w:szCs w:val="14"/>
                <w:color w:val="auto"/>
              </w:rPr>
            </w:pPr>
          </w:p>
        </w:tc>
        <w:tc>
          <w:tcPr>
            <w:tcW w:w="6820" w:type="dxa"/>
            <w:vAlign w:val="bottom"/>
            <w:shd w:val="clear" w:color="auto" w:fill="F7F7F7"/>
          </w:tcPr>
          <w:p>
            <w:pPr>
              <w:ind w:left="880"/>
              <w:spacing w:after="0"/>
              <w:rPr>
                <w:sz w:val="20"/>
                <w:szCs w:val="20"/>
                <w:color w:val="auto"/>
              </w:rPr>
            </w:pPr>
            <w:r>
              <w:rPr>
                <w:rFonts w:ascii="Arial" w:cs="Arial" w:eastAsia="Arial" w:hAnsi="Arial"/>
                <w:sz w:val="14"/>
                <w:szCs w:val="14"/>
                <w:color w:val="auto"/>
              </w:rPr>
              <w:t>subject to the closing of the Merger and Mr. Rawlinson’s continued employment through</w:t>
            </w:r>
          </w:p>
        </w:tc>
      </w:tr>
      <w:tr>
        <w:trPr>
          <w:trHeight w:val="162"/>
        </w:trPr>
        <w:tc>
          <w:tcPr>
            <w:tcW w:w="2560" w:type="dxa"/>
            <w:vAlign w:val="bottom"/>
            <w:shd w:val="clear" w:color="auto" w:fill="F7F7F7"/>
          </w:tcPr>
          <w:p>
            <w:pPr>
              <w:spacing w:after="0"/>
              <w:rPr>
                <w:sz w:val="14"/>
                <w:szCs w:val="14"/>
                <w:color w:val="auto"/>
              </w:rPr>
            </w:pPr>
          </w:p>
        </w:tc>
        <w:tc>
          <w:tcPr>
            <w:tcW w:w="6820" w:type="dxa"/>
            <w:vAlign w:val="bottom"/>
            <w:shd w:val="clear" w:color="auto" w:fill="F7F7F7"/>
          </w:tcPr>
          <w:p>
            <w:pPr>
              <w:ind w:left="880"/>
              <w:spacing w:after="0"/>
              <w:rPr>
                <w:sz w:val="20"/>
                <w:szCs w:val="20"/>
                <w:color w:val="auto"/>
              </w:rPr>
            </w:pPr>
            <w:r>
              <w:rPr>
                <w:rFonts w:ascii="Arial" w:cs="Arial" w:eastAsia="Arial" w:hAnsi="Arial"/>
                <w:sz w:val="14"/>
                <w:szCs w:val="14"/>
                <w:color w:val="auto"/>
              </w:rPr>
              <w:t>the closing of the Merger. The bonus was awarded in recognition of Mr. Rawlinson’s</w:t>
            </w:r>
          </w:p>
        </w:tc>
      </w:tr>
      <w:tr>
        <w:trPr>
          <w:trHeight w:val="172"/>
        </w:trPr>
        <w:tc>
          <w:tcPr>
            <w:tcW w:w="2560" w:type="dxa"/>
            <w:vAlign w:val="bottom"/>
            <w:shd w:val="clear" w:color="auto" w:fill="F7F7F7"/>
          </w:tcPr>
          <w:p>
            <w:pPr>
              <w:spacing w:after="0"/>
              <w:rPr>
                <w:sz w:val="14"/>
                <w:szCs w:val="14"/>
                <w:color w:val="auto"/>
              </w:rPr>
            </w:pPr>
          </w:p>
        </w:tc>
        <w:tc>
          <w:tcPr>
            <w:tcW w:w="6820" w:type="dxa"/>
            <w:vAlign w:val="bottom"/>
            <w:shd w:val="clear" w:color="auto" w:fill="F7F7F7"/>
          </w:tcPr>
          <w:p>
            <w:pPr>
              <w:ind w:left="880"/>
              <w:spacing w:after="0"/>
              <w:rPr>
                <w:sz w:val="20"/>
                <w:szCs w:val="20"/>
                <w:color w:val="auto"/>
              </w:rPr>
            </w:pPr>
            <w:r>
              <w:rPr>
                <w:rFonts w:ascii="Arial" w:cs="Arial" w:eastAsia="Arial" w:hAnsi="Arial"/>
                <w:sz w:val="14"/>
                <w:szCs w:val="14"/>
                <w:color w:val="auto"/>
              </w:rPr>
              <w:t>leadership throughout the Merger process.</w:t>
            </w:r>
          </w:p>
        </w:tc>
      </w:tr>
      <w:tr>
        <w:trPr>
          <w:trHeight w:val="107"/>
        </w:trPr>
        <w:tc>
          <w:tcPr>
            <w:tcW w:w="2560" w:type="dxa"/>
            <w:vAlign w:val="bottom"/>
            <w:tcBorders>
              <w:bottom w:val="single" w:sz="8" w:color="auto"/>
            </w:tcBorders>
            <w:shd w:val="clear" w:color="auto" w:fill="F7F7F7"/>
          </w:tcPr>
          <w:p>
            <w:pPr>
              <w:spacing w:after="0"/>
              <w:rPr>
                <w:sz w:val="9"/>
                <w:szCs w:val="9"/>
                <w:color w:val="auto"/>
              </w:rPr>
            </w:pPr>
          </w:p>
        </w:tc>
        <w:tc>
          <w:tcPr>
            <w:tcW w:w="6820" w:type="dxa"/>
            <w:vAlign w:val="bottom"/>
            <w:tcBorders>
              <w:bottom w:val="single" w:sz="8" w:color="auto"/>
            </w:tcBorders>
            <w:shd w:val="clear" w:color="auto" w:fill="F7F7F7"/>
          </w:tcPr>
          <w:p>
            <w:pPr>
              <w:spacing w:after="0"/>
              <w:rPr>
                <w:sz w:val="9"/>
                <w:szCs w:val="9"/>
                <w:color w:val="auto"/>
              </w:rPr>
            </w:pPr>
          </w:p>
        </w:tc>
      </w:tr>
    </w:tbl>
    <w:p>
      <w:pPr>
        <w:spacing w:after="0" w:line="24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Compensation Philosophy and Objectives</w:t>
      </w:r>
    </w:p>
    <w:p>
      <w:pPr>
        <w:spacing w:after="0" w:line="205" w:lineRule="exact"/>
        <w:rPr>
          <w:sz w:val="20"/>
          <w:szCs w:val="20"/>
          <w:color w:val="auto"/>
        </w:rPr>
      </w:pPr>
    </w:p>
    <w:p>
      <w:pPr>
        <w:ind w:left="660"/>
        <w:spacing w:after="0" w:line="284" w:lineRule="auto"/>
        <w:rPr>
          <w:sz w:val="20"/>
          <w:szCs w:val="20"/>
          <w:color w:val="auto"/>
        </w:rPr>
      </w:pPr>
      <w:r>
        <w:rPr>
          <w:rFonts w:ascii="Arial" w:cs="Arial" w:eastAsia="Arial" w:hAnsi="Arial"/>
          <w:sz w:val="16"/>
          <w:szCs w:val="16"/>
          <w:color w:val="auto"/>
        </w:rPr>
        <w:t>Our executive compensation program is designed to attract, retain and motivate top-level talent who possess the skills and leadership necessary to grow our business and enable long-term value creation by (i) providing compensation packages that are competitive with market practice and drive and reward the achievement of our business objectives; (ii) closely aligning the interests of our NEOs with those of our stockholders by providing a significant portion of our NEOs’ compensation in equity and, with respect to our CEO, linking a significant portion of his compensation to performance-based results and (iii) appropriately aligning compensation with both short-term and long-term Company performance measures and strategic objectives.</w:t>
      </w:r>
    </w:p>
    <w:p>
      <w:pPr>
        <w:spacing w:after="0" w:line="206" w:lineRule="exact"/>
        <w:rPr>
          <w:sz w:val="20"/>
          <w:szCs w:val="20"/>
          <w:color w:val="auto"/>
        </w:rPr>
      </w:pPr>
    </w:p>
    <w:p>
      <w:pPr>
        <w:ind w:left="660"/>
        <w:spacing w:after="0" w:line="288" w:lineRule="auto"/>
        <w:rPr>
          <w:sz w:val="20"/>
          <w:szCs w:val="20"/>
          <w:color w:val="auto"/>
        </w:rPr>
      </w:pPr>
      <w:r>
        <w:rPr>
          <w:rFonts w:ascii="Arial" w:cs="Arial" w:eastAsia="Arial" w:hAnsi="Arial"/>
          <w:sz w:val="16"/>
          <w:szCs w:val="16"/>
          <w:color w:val="auto"/>
        </w:rPr>
        <w:t>To ensure that management’s interests are aligned with those of our stockholders and to motivate and reward individual initiative and effort, our executive compensation program emphasizes a pay-for-performance compensation philosophy so that attainment of company and individual performance goals are rewarded.</w:t>
      </w:r>
    </w:p>
    <w:p>
      <w:pPr>
        <w:spacing w:after="0" w:line="202" w:lineRule="exact"/>
        <w:rPr>
          <w:sz w:val="20"/>
          <w:szCs w:val="20"/>
          <w:color w:val="auto"/>
        </w:rPr>
      </w:pPr>
    </w:p>
    <w:p>
      <w:pPr>
        <w:ind w:left="660"/>
        <w:spacing w:after="0" w:line="284" w:lineRule="auto"/>
        <w:rPr>
          <w:sz w:val="20"/>
          <w:szCs w:val="20"/>
          <w:color w:val="auto"/>
        </w:rPr>
      </w:pPr>
      <w:r>
        <w:rPr>
          <w:rFonts w:ascii="Arial" w:cs="Arial" w:eastAsia="Arial" w:hAnsi="Arial"/>
          <w:sz w:val="16"/>
          <w:szCs w:val="16"/>
          <w:color w:val="auto"/>
        </w:rPr>
        <w:t>Our executive compensation program design includes a mix of three key compensation elements — (i) base salary, (ii) short-term cash incentive awards and (iii) long-term equity incentive awards. In determining the amount of each compensation element awarded to our NEOs, our Compensation Committee looks at each NEO’s overall compensation package, as well as the amount of each compensation element for the NEO relative to both internal and external pay to determine whether such amounts and the overall mix of compensation elements for the NEO’s role further the principles and objectives of our executive compensation program.</w:t>
      </w:r>
    </w:p>
    <w:p>
      <w:pPr>
        <w:sectPr>
          <w:pgSz w:w="11900" w:h="16838" w:orient="portrait"/>
          <w:cols w:equalWidth="0" w:num="1">
            <w:col w:w="10040"/>
          </w:cols>
          <w:pgMar w:left="580" w:top="132" w:right="1279" w:bottom="1440" w:gutter="0" w:footer="0" w:header="0"/>
        </w:sectPr>
      </w:pPr>
    </w:p>
    <w:p>
      <w:pPr>
        <w:spacing w:after="0" w:line="371"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2"/>
          <w:szCs w:val="12"/>
          <w:b w:val="1"/>
          <w:bCs w:val="1"/>
          <w:color w:val="auto"/>
        </w:rPr>
        <w:t>46</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110490</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type w:val="continuous"/>
        </w:sectPr>
      </w:pPr>
    </w:p>
    <w:bookmarkStart w:id="55" w:name="page56"/>
    <w:bookmarkEnd w:id="55"/>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60" w:right="820"/>
        <w:spacing w:after="0" w:line="278" w:lineRule="auto"/>
        <w:rPr>
          <w:sz w:val="20"/>
          <w:szCs w:val="20"/>
          <w:color w:val="auto"/>
        </w:rPr>
      </w:pPr>
      <w:r>
        <w:rPr>
          <w:rFonts w:ascii="Arial" w:cs="Arial" w:eastAsia="Arial" w:hAnsi="Arial"/>
          <w:sz w:val="16"/>
          <w:szCs w:val="16"/>
          <w:color w:val="auto"/>
        </w:rPr>
        <w:t>Being a technology company, in addition to an automotive company, we seek to hire and retain experienced talent from the competitive technology sector, who have the ability to lead across multiple disciplines and through our highly regulated industries.</w:t>
      </w:r>
    </w:p>
    <w:p>
      <w:pPr>
        <w:spacing w:after="0" w:line="195" w:lineRule="exact"/>
        <w:rPr>
          <w:sz w:val="20"/>
          <w:szCs w:val="20"/>
          <w:color w:val="auto"/>
        </w:rPr>
      </w:pPr>
    </w:p>
    <w:p>
      <w:pPr>
        <w:ind w:left="660" w:right="760"/>
        <w:spacing w:after="0" w:line="268" w:lineRule="auto"/>
        <w:rPr>
          <w:sz w:val="20"/>
          <w:szCs w:val="20"/>
          <w:color w:val="auto"/>
        </w:rPr>
      </w:pPr>
      <w:r>
        <w:rPr>
          <w:rFonts w:ascii="Arial" w:cs="Arial" w:eastAsia="Arial" w:hAnsi="Arial"/>
          <w:sz w:val="16"/>
          <w:szCs w:val="16"/>
          <w:color w:val="auto"/>
        </w:rPr>
        <w:t>While the Compensation Committee considers a multitude of factors in its deliberations, it places no formal weighting on any one factor. As we continue to grow as a public company, the Compensation Committee intends to annually review and analyze market trends and adjust the design and operation of our executive compensation program from time to time as it deems appropriate, and will consider the extent to which the compensation of our executive officers should be further linked to performance-based results.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Executive Compensation Best Practices</w:t>
      </w:r>
    </w:p>
    <w:p>
      <w:pPr>
        <w:spacing w:after="0" w:line="192" w:lineRule="exact"/>
        <w:rPr>
          <w:sz w:val="20"/>
          <w:szCs w:val="20"/>
          <w:color w:val="auto"/>
        </w:rPr>
      </w:pPr>
    </w:p>
    <w:p>
      <w:pPr>
        <w:ind w:left="660" w:right="1160"/>
        <w:spacing w:after="0" w:line="278" w:lineRule="auto"/>
        <w:rPr>
          <w:sz w:val="20"/>
          <w:szCs w:val="20"/>
          <w:color w:val="auto"/>
        </w:rPr>
      </w:pPr>
      <w:r>
        <w:rPr>
          <w:rFonts w:ascii="Arial" w:cs="Arial" w:eastAsia="Arial" w:hAnsi="Arial"/>
          <w:sz w:val="16"/>
          <w:szCs w:val="16"/>
          <w:color w:val="auto"/>
        </w:rPr>
        <w:t>Our executive compensation program is guided by the following corporate governance best practices designed to protect the interests of our stockholders:</w:t>
      </w:r>
    </w:p>
    <w:p>
      <w:pPr>
        <w:spacing w:after="0" w:line="107" w:lineRule="exact"/>
        <w:rPr>
          <w:sz w:val="20"/>
          <w:szCs w:val="20"/>
          <w:color w:val="auto"/>
        </w:rPr>
      </w:pPr>
    </w:p>
    <w:p>
      <w:pPr>
        <w:ind w:left="820" w:right="820" w:hanging="166"/>
        <w:spacing w:after="0" w:line="321" w:lineRule="auto"/>
        <w:tabs>
          <w:tab w:leader="none" w:pos="820" w:val="left"/>
        </w:tabs>
        <w:numPr>
          <w:ilvl w:val="0"/>
          <w:numId w:val="29"/>
        </w:numPr>
        <w:rPr>
          <w:rFonts w:ascii="Arial" w:cs="Arial" w:eastAsia="Arial" w:hAnsi="Arial"/>
          <w:sz w:val="16"/>
          <w:szCs w:val="16"/>
          <w:color w:val="886B25"/>
        </w:rPr>
      </w:pPr>
      <w:r>
        <w:rPr>
          <w:rFonts w:ascii="Arial" w:cs="Arial" w:eastAsia="Arial" w:hAnsi="Arial"/>
          <w:sz w:val="16"/>
          <w:szCs w:val="16"/>
          <w:b w:val="1"/>
          <w:bCs w:val="1"/>
          <w:i w:val="1"/>
          <w:iCs w:val="1"/>
          <w:color w:val="auto"/>
        </w:rPr>
        <w:t xml:space="preserve">Independent Compensation Committee. </w:t>
      </w:r>
      <w:r>
        <w:rPr>
          <w:rFonts w:ascii="Arial" w:cs="Arial" w:eastAsia="Arial" w:hAnsi="Arial"/>
          <w:sz w:val="16"/>
          <w:szCs w:val="16"/>
          <w:color w:val="auto"/>
        </w:rPr>
        <w:t>Our Compensation Committee consists only of independent directors, even though,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a controlled company, we are not required to have an independent compensation committee under Nasdaq rules.</w:t>
      </w:r>
    </w:p>
    <w:p>
      <w:pPr>
        <w:spacing w:after="0" w:line="74" w:lineRule="exact"/>
        <w:rPr>
          <w:rFonts w:ascii="Arial" w:cs="Arial" w:eastAsia="Arial" w:hAnsi="Arial"/>
          <w:sz w:val="16"/>
          <w:szCs w:val="16"/>
          <w:color w:val="886B25"/>
        </w:rPr>
      </w:pPr>
    </w:p>
    <w:p>
      <w:pPr>
        <w:ind w:left="820" w:right="880" w:hanging="166"/>
        <w:spacing w:after="0" w:line="321" w:lineRule="auto"/>
        <w:tabs>
          <w:tab w:leader="none" w:pos="820" w:val="left"/>
        </w:tabs>
        <w:numPr>
          <w:ilvl w:val="0"/>
          <w:numId w:val="29"/>
        </w:numPr>
        <w:rPr>
          <w:rFonts w:ascii="Arial" w:cs="Arial" w:eastAsia="Arial" w:hAnsi="Arial"/>
          <w:sz w:val="16"/>
          <w:szCs w:val="16"/>
          <w:color w:val="886B25"/>
        </w:rPr>
      </w:pPr>
      <w:r>
        <w:rPr>
          <w:rFonts w:ascii="Arial" w:cs="Arial" w:eastAsia="Arial" w:hAnsi="Arial"/>
          <w:sz w:val="16"/>
          <w:szCs w:val="16"/>
          <w:b w:val="1"/>
          <w:bCs w:val="1"/>
          <w:i w:val="1"/>
          <w:iCs w:val="1"/>
          <w:color w:val="auto"/>
        </w:rPr>
        <w:t>Balanced Short-Term and Long-Term Compensation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balance short- and long-term incentives to discourage short-term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risk-taking at the expense of long-term results.</w:t>
      </w:r>
    </w:p>
    <w:p>
      <w:pPr>
        <w:spacing w:after="0" w:line="61" w:lineRule="exact"/>
        <w:rPr>
          <w:rFonts w:ascii="Arial" w:cs="Arial" w:eastAsia="Arial" w:hAnsi="Arial"/>
          <w:sz w:val="16"/>
          <w:szCs w:val="16"/>
          <w:color w:val="886B25"/>
        </w:rPr>
      </w:pPr>
    </w:p>
    <w:p>
      <w:pPr>
        <w:ind w:left="820" w:right="880" w:hanging="166"/>
        <w:spacing w:after="0" w:line="321" w:lineRule="auto"/>
        <w:tabs>
          <w:tab w:leader="none" w:pos="820" w:val="left"/>
        </w:tabs>
        <w:numPr>
          <w:ilvl w:val="0"/>
          <w:numId w:val="29"/>
        </w:numPr>
        <w:rPr>
          <w:rFonts w:ascii="Arial" w:cs="Arial" w:eastAsia="Arial" w:hAnsi="Arial"/>
          <w:sz w:val="16"/>
          <w:szCs w:val="16"/>
          <w:color w:val="886B25"/>
        </w:rPr>
      </w:pPr>
      <w:r>
        <w:rPr>
          <w:rFonts w:ascii="Arial" w:cs="Arial" w:eastAsia="Arial" w:hAnsi="Arial"/>
          <w:sz w:val="16"/>
          <w:szCs w:val="16"/>
          <w:b w:val="1"/>
          <w:bCs w:val="1"/>
          <w:i w:val="1"/>
          <w:iCs w:val="1"/>
          <w:color w:val="auto"/>
        </w:rPr>
        <w:t>Maintain an Independent Compensation Committee Advisor</w:t>
      </w:r>
      <w:r>
        <w:rPr>
          <w:rFonts w:ascii="Arial" w:cs="Arial" w:eastAsia="Arial" w:hAnsi="Arial"/>
          <w:sz w:val="16"/>
          <w:szCs w:val="16"/>
          <w:color w:val="auto"/>
        </w:rPr>
        <w:t>. Our Compensation Committee engages its own independent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consultant.</w:t>
      </w:r>
    </w:p>
    <w:p>
      <w:pPr>
        <w:spacing w:after="0" w:line="74" w:lineRule="exact"/>
        <w:rPr>
          <w:rFonts w:ascii="Arial" w:cs="Arial" w:eastAsia="Arial" w:hAnsi="Arial"/>
          <w:sz w:val="16"/>
          <w:szCs w:val="16"/>
          <w:color w:val="886B25"/>
        </w:rPr>
      </w:pPr>
    </w:p>
    <w:p>
      <w:pPr>
        <w:ind w:left="820" w:right="820" w:hanging="166"/>
        <w:spacing w:after="0" w:line="321" w:lineRule="auto"/>
        <w:tabs>
          <w:tab w:leader="none" w:pos="820" w:val="left"/>
        </w:tabs>
        <w:numPr>
          <w:ilvl w:val="0"/>
          <w:numId w:val="29"/>
        </w:numPr>
        <w:rPr>
          <w:rFonts w:ascii="Arial" w:cs="Arial" w:eastAsia="Arial" w:hAnsi="Arial"/>
          <w:sz w:val="16"/>
          <w:szCs w:val="16"/>
          <w:color w:val="886B25"/>
        </w:rPr>
      </w:pPr>
      <w:r>
        <w:rPr>
          <w:rFonts w:ascii="Arial" w:cs="Arial" w:eastAsia="Arial" w:hAnsi="Arial"/>
          <w:sz w:val="16"/>
          <w:szCs w:val="16"/>
          <w:b w:val="1"/>
          <w:bCs w:val="1"/>
          <w:i w:val="1"/>
          <w:iCs w:val="1"/>
          <w:color w:val="auto"/>
        </w:rPr>
        <w:t>No Special Executive Retirement Plans</w:t>
      </w:r>
      <w:r>
        <w:rPr>
          <w:rFonts w:ascii="Arial" w:cs="Arial" w:eastAsia="Arial" w:hAnsi="Arial"/>
          <w:sz w:val="16"/>
          <w:szCs w:val="16"/>
          <w:color w:val="auto"/>
        </w:rPr>
        <w:t>. We do not offer pension arrangements or retirement plans or arrangements with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NEOs that are different from or in addition to those offered to our other employees.</w:t>
      </w:r>
    </w:p>
    <w:p>
      <w:pPr>
        <w:spacing w:after="0" w:line="74" w:lineRule="exact"/>
        <w:rPr>
          <w:rFonts w:ascii="Arial" w:cs="Arial" w:eastAsia="Arial" w:hAnsi="Arial"/>
          <w:sz w:val="16"/>
          <w:szCs w:val="16"/>
          <w:color w:val="886B25"/>
        </w:rPr>
      </w:pPr>
    </w:p>
    <w:p>
      <w:pPr>
        <w:ind w:left="820" w:right="720" w:hanging="166"/>
        <w:spacing w:after="0" w:line="321" w:lineRule="auto"/>
        <w:tabs>
          <w:tab w:leader="none" w:pos="820" w:val="left"/>
        </w:tabs>
        <w:numPr>
          <w:ilvl w:val="0"/>
          <w:numId w:val="29"/>
        </w:numPr>
        <w:rPr>
          <w:rFonts w:ascii="Arial" w:cs="Arial" w:eastAsia="Arial" w:hAnsi="Arial"/>
          <w:sz w:val="16"/>
          <w:szCs w:val="16"/>
          <w:color w:val="886B25"/>
        </w:rPr>
      </w:pPr>
      <w:r>
        <w:rPr>
          <w:rFonts w:ascii="Arial" w:cs="Arial" w:eastAsia="Arial" w:hAnsi="Arial"/>
          <w:sz w:val="16"/>
          <w:szCs w:val="16"/>
          <w:b w:val="1"/>
          <w:bCs w:val="1"/>
          <w:i w:val="1"/>
          <w:iCs w:val="1"/>
          <w:color w:val="auto"/>
        </w:rPr>
        <w:t>No “Single-Trigger” Change in Control Arrangements</w:t>
      </w:r>
      <w:r>
        <w:rPr>
          <w:rFonts w:ascii="Arial" w:cs="Arial" w:eastAsia="Arial" w:hAnsi="Arial"/>
          <w:sz w:val="16"/>
          <w:szCs w:val="16"/>
          <w:color w:val="auto"/>
        </w:rPr>
        <w:t>. We do not provide for “single-trigger” acceleration of compensation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benefits solely upon a change in control.</w:t>
      </w:r>
    </w:p>
    <w:p>
      <w:pPr>
        <w:spacing w:after="0" w:line="74" w:lineRule="exact"/>
        <w:rPr>
          <w:rFonts w:ascii="Arial" w:cs="Arial" w:eastAsia="Arial" w:hAnsi="Arial"/>
          <w:sz w:val="16"/>
          <w:szCs w:val="16"/>
          <w:color w:val="886B25"/>
        </w:rPr>
      </w:pPr>
    </w:p>
    <w:p>
      <w:pPr>
        <w:ind w:left="820" w:right="840" w:hanging="166"/>
        <w:spacing w:after="0" w:line="321" w:lineRule="auto"/>
        <w:tabs>
          <w:tab w:leader="none" w:pos="820" w:val="left"/>
        </w:tabs>
        <w:numPr>
          <w:ilvl w:val="0"/>
          <w:numId w:val="29"/>
        </w:numPr>
        <w:rPr>
          <w:rFonts w:ascii="Arial" w:cs="Arial" w:eastAsia="Arial" w:hAnsi="Arial"/>
          <w:sz w:val="16"/>
          <w:szCs w:val="16"/>
          <w:color w:val="886B25"/>
        </w:rPr>
      </w:pPr>
      <w:r>
        <w:rPr>
          <w:rFonts w:ascii="Arial" w:cs="Arial" w:eastAsia="Arial" w:hAnsi="Arial"/>
          <w:sz w:val="16"/>
          <w:szCs w:val="16"/>
          <w:b w:val="1"/>
          <w:bCs w:val="1"/>
          <w:i w:val="1"/>
          <w:iCs w:val="1"/>
          <w:color w:val="auto"/>
        </w:rPr>
        <w:t>Conduct Annual Compensation Review</w:t>
      </w:r>
      <w:r>
        <w:rPr>
          <w:rFonts w:ascii="Arial" w:cs="Arial" w:eastAsia="Arial" w:hAnsi="Arial"/>
          <w:sz w:val="16"/>
          <w:szCs w:val="16"/>
          <w:color w:val="auto"/>
        </w:rPr>
        <w:t>. The Compensation Committee conducts a review at least annually of our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philosophy and strategy, including a market assessment of executive pay practices.</w:t>
      </w:r>
    </w:p>
    <w:p>
      <w:pPr>
        <w:spacing w:after="0" w:line="61" w:lineRule="exact"/>
        <w:rPr>
          <w:rFonts w:ascii="Arial" w:cs="Arial" w:eastAsia="Arial" w:hAnsi="Arial"/>
          <w:sz w:val="16"/>
          <w:szCs w:val="16"/>
          <w:color w:val="886B25"/>
        </w:rPr>
      </w:pPr>
    </w:p>
    <w:p>
      <w:pPr>
        <w:ind w:left="820" w:right="1140" w:hanging="166"/>
        <w:spacing w:after="0" w:line="321" w:lineRule="auto"/>
        <w:tabs>
          <w:tab w:leader="none" w:pos="820" w:val="left"/>
        </w:tabs>
        <w:numPr>
          <w:ilvl w:val="0"/>
          <w:numId w:val="29"/>
        </w:numPr>
        <w:rPr>
          <w:rFonts w:ascii="Arial" w:cs="Arial" w:eastAsia="Arial" w:hAnsi="Arial"/>
          <w:sz w:val="16"/>
          <w:szCs w:val="16"/>
          <w:color w:val="886B25"/>
        </w:rPr>
      </w:pPr>
      <w:r>
        <w:rPr>
          <w:rFonts w:ascii="Arial" w:cs="Arial" w:eastAsia="Arial" w:hAnsi="Arial"/>
          <w:sz w:val="16"/>
          <w:szCs w:val="16"/>
          <w:b w:val="1"/>
          <w:bCs w:val="1"/>
          <w:i w:val="1"/>
          <w:iCs w:val="1"/>
          <w:color w:val="auto"/>
        </w:rPr>
        <w:t xml:space="preserve">Performance Based. </w:t>
      </w:r>
      <w:r>
        <w:rPr>
          <w:rFonts w:ascii="Arial" w:cs="Arial" w:eastAsia="Arial" w:hAnsi="Arial"/>
          <w:sz w:val="16"/>
          <w:szCs w:val="16"/>
          <w:color w:val="auto"/>
        </w:rPr>
        <w:t>Our compensation is tied to both individual performance and company performance in terms of size,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measures of success and continued eligibility.</w:t>
      </w:r>
    </w:p>
    <w:p>
      <w:pPr>
        <w:spacing w:after="0" w:line="74" w:lineRule="exact"/>
        <w:rPr>
          <w:rFonts w:ascii="Arial" w:cs="Arial" w:eastAsia="Arial" w:hAnsi="Arial"/>
          <w:sz w:val="16"/>
          <w:szCs w:val="16"/>
          <w:color w:val="886B25"/>
        </w:rPr>
      </w:pPr>
    </w:p>
    <w:p>
      <w:pPr>
        <w:ind w:left="820" w:right="860" w:hanging="166"/>
        <w:spacing w:after="0" w:line="321" w:lineRule="auto"/>
        <w:tabs>
          <w:tab w:leader="none" w:pos="820" w:val="left"/>
        </w:tabs>
        <w:numPr>
          <w:ilvl w:val="0"/>
          <w:numId w:val="29"/>
        </w:numPr>
        <w:rPr>
          <w:rFonts w:ascii="Arial" w:cs="Arial" w:eastAsia="Arial" w:hAnsi="Arial"/>
          <w:sz w:val="16"/>
          <w:szCs w:val="16"/>
          <w:color w:val="886B25"/>
        </w:rPr>
      </w:pPr>
      <w:r>
        <w:rPr>
          <w:rFonts w:ascii="Arial" w:cs="Arial" w:eastAsia="Arial" w:hAnsi="Arial"/>
          <w:sz w:val="16"/>
          <w:szCs w:val="16"/>
          <w:b w:val="1"/>
          <w:bCs w:val="1"/>
          <w:i w:val="1"/>
          <w:iCs w:val="1"/>
          <w:color w:val="auto"/>
        </w:rPr>
        <w:t xml:space="preserve">No Excise Tax “Gross-Ups.” </w:t>
      </w:r>
      <w:r>
        <w:rPr>
          <w:rFonts w:ascii="Arial" w:cs="Arial" w:eastAsia="Arial" w:hAnsi="Arial"/>
          <w:sz w:val="16"/>
          <w:szCs w:val="16"/>
          <w:color w:val="auto"/>
        </w:rPr>
        <w:t>We do not provide any “gross-ups” for excise taxes that our employees might owe as a result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application of Sections 280G or 4999 of the Code.</w:t>
      </w:r>
    </w:p>
    <w:p>
      <w:pPr>
        <w:spacing w:after="0" w:line="74" w:lineRule="exact"/>
        <w:rPr>
          <w:rFonts w:ascii="Arial" w:cs="Arial" w:eastAsia="Arial" w:hAnsi="Arial"/>
          <w:sz w:val="16"/>
          <w:szCs w:val="16"/>
          <w:color w:val="886B25"/>
        </w:rPr>
      </w:pPr>
    </w:p>
    <w:p>
      <w:pPr>
        <w:ind w:left="820" w:right="900" w:hanging="166"/>
        <w:spacing w:after="0" w:line="301" w:lineRule="auto"/>
        <w:tabs>
          <w:tab w:leader="none" w:pos="820" w:val="left"/>
        </w:tabs>
        <w:numPr>
          <w:ilvl w:val="0"/>
          <w:numId w:val="29"/>
        </w:numPr>
        <w:rPr>
          <w:rFonts w:ascii="Arial" w:cs="Arial" w:eastAsia="Arial" w:hAnsi="Arial"/>
          <w:sz w:val="16"/>
          <w:szCs w:val="16"/>
          <w:color w:val="886B25"/>
        </w:rPr>
      </w:pPr>
      <w:r>
        <w:rPr>
          <w:rFonts w:ascii="Arial" w:cs="Arial" w:eastAsia="Arial" w:hAnsi="Arial"/>
          <w:sz w:val="16"/>
          <w:szCs w:val="16"/>
          <w:b w:val="1"/>
          <w:bCs w:val="1"/>
          <w:i w:val="1"/>
          <w:iCs w:val="1"/>
          <w:color w:val="auto"/>
        </w:rPr>
        <w:t>Perform Annual Compensation-Related Risk Assessment</w:t>
      </w:r>
      <w:r>
        <w:rPr>
          <w:rFonts w:ascii="Arial" w:cs="Arial" w:eastAsia="Arial" w:hAnsi="Arial"/>
          <w:sz w:val="16"/>
          <w:szCs w:val="16"/>
          <w:color w:val="auto"/>
        </w:rPr>
        <w:t>. We have strong risk and control policies, we take risk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into account when making executive compensation decisions, and we conduct an annual risk assessment of our executive and broad-based compensation programs to promote prudent risk management.</w:t>
      </w:r>
    </w:p>
    <w:p>
      <w:pPr>
        <w:spacing w:after="0" w:line="90" w:lineRule="exact"/>
        <w:rPr>
          <w:rFonts w:ascii="Arial" w:cs="Arial" w:eastAsia="Arial" w:hAnsi="Arial"/>
          <w:sz w:val="16"/>
          <w:szCs w:val="16"/>
          <w:color w:val="886B25"/>
        </w:rPr>
      </w:pPr>
    </w:p>
    <w:p>
      <w:pPr>
        <w:ind w:left="820" w:hanging="166"/>
        <w:spacing w:after="0"/>
        <w:tabs>
          <w:tab w:leader="none" w:pos="820" w:val="left"/>
        </w:tabs>
        <w:numPr>
          <w:ilvl w:val="0"/>
          <w:numId w:val="29"/>
        </w:numPr>
        <w:rPr>
          <w:rFonts w:ascii="Arial" w:cs="Arial" w:eastAsia="Arial" w:hAnsi="Arial"/>
          <w:sz w:val="16"/>
          <w:szCs w:val="16"/>
          <w:color w:val="886B25"/>
        </w:rPr>
      </w:pPr>
      <w:r>
        <w:rPr>
          <w:rFonts w:ascii="Arial" w:cs="Arial" w:eastAsia="Arial" w:hAnsi="Arial"/>
          <w:sz w:val="16"/>
          <w:szCs w:val="16"/>
          <w:b w:val="1"/>
          <w:bCs w:val="1"/>
          <w:i w:val="1"/>
          <w:iCs w:val="1"/>
          <w:color w:val="auto"/>
        </w:rPr>
        <w:t xml:space="preserve">No Excessive Perks. </w:t>
      </w:r>
      <w:r>
        <w:rPr>
          <w:rFonts w:ascii="Arial" w:cs="Arial" w:eastAsia="Arial" w:hAnsi="Arial"/>
          <w:sz w:val="16"/>
          <w:szCs w:val="16"/>
          <w:color w:val="auto"/>
        </w:rPr>
        <w:t>We do not provide material executive perquisites to our NEOs.</w:t>
      </w:r>
    </w:p>
    <w:p>
      <w:pPr>
        <w:spacing w:after="0" w:line="167" w:lineRule="exact"/>
        <w:rPr>
          <w:rFonts w:ascii="Arial" w:cs="Arial" w:eastAsia="Arial" w:hAnsi="Arial"/>
          <w:sz w:val="16"/>
          <w:szCs w:val="16"/>
          <w:color w:val="886B25"/>
        </w:rPr>
      </w:pPr>
    </w:p>
    <w:p>
      <w:pPr>
        <w:ind w:left="820" w:right="980" w:hanging="166"/>
        <w:spacing w:after="0" w:line="321" w:lineRule="auto"/>
        <w:tabs>
          <w:tab w:leader="none" w:pos="820" w:val="left"/>
        </w:tabs>
        <w:numPr>
          <w:ilvl w:val="0"/>
          <w:numId w:val="29"/>
        </w:numPr>
        <w:rPr>
          <w:rFonts w:ascii="Arial" w:cs="Arial" w:eastAsia="Arial" w:hAnsi="Arial"/>
          <w:sz w:val="16"/>
          <w:szCs w:val="16"/>
          <w:color w:val="886B25"/>
        </w:rPr>
      </w:pPr>
      <w:r>
        <w:rPr>
          <w:rFonts w:ascii="Arial" w:cs="Arial" w:eastAsia="Arial" w:hAnsi="Arial"/>
          <w:sz w:val="16"/>
          <w:szCs w:val="16"/>
          <w:b w:val="1"/>
          <w:bCs w:val="1"/>
          <w:i w:val="1"/>
          <w:iCs w:val="1"/>
          <w:color w:val="auto"/>
        </w:rPr>
        <w:t xml:space="preserve">Do Not Permit Hedging or Pledging. </w:t>
      </w:r>
      <w:r>
        <w:rPr>
          <w:rFonts w:ascii="Arial" w:cs="Arial" w:eastAsia="Arial" w:hAnsi="Arial"/>
          <w:sz w:val="16"/>
          <w:szCs w:val="16"/>
          <w:color w:val="auto"/>
        </w:rPr>
        <w:t>We prohibit directors and employees, including our NEOs, from hedging and pledging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Lucid securities.</w:t>
      </w:r>
    </w:p>
    <w:p>
      <w:pPr>
        <w:spacing w:after="0" w:line="162" w:lineRule="exact"/>
        <w:rPr>
          <w:sz w:val="20"/>
          <w:szCs w:val="20"/>
          <w:color w:val="auto"/>
        </w:rPr>
      </w:pPr>
    </w:p>
    <w:p>
      <w:pPr>
        <w:ind w:left="660" w:right="1180"/>
        <w:spacing w:after="0" w:line="278" w:lineRule="auto"/>
        <w:rPr>
          <w:sz w:val="20"/>
          <w:szCs w:val="20"/>
          <w:color w:val="auto"/>
        </w:rPr>
      </w:pPr>
      <w:r>
        <w:rPr>
          <w:rFonts w:ascii="Arial" w:cs="Arial" w:eastAsia="Arial" w:hAnsi="Arial"/>
          <w:sz w:val="16"/>
          <w:szCs w:val="16"/>
          <w:color w:val="auto"/>
        </w:rPr>
        <w:t>As we continue to transition from a newly public company to a more mature public company, we will continue to evaluate our compensation program relative to similarly situated companies.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Executive Compensation Process</w:t>
      </w:r>
    </w:p>
    <w:p>
      <w:pPr>
        <w:spacing w:after="0" w:line="37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Role of the Compensation Committee and Management</w:t>
      </w:r>
    </w:p>
    <w:p>
      <w:pPr>
        <w:spacing w:after="0" w:line="192" w:lineRule="exact"/>
        <w:rPr>
          <w:sz w:val="20"/>
          <w:szCs w:val="20"/>
          <w:color w:val="auto"/>
        </w:rPr>
      </w:pPr>
    </w:p>
    <w:p>
      <w:pPr>
        <w:ind w:left="660" w:right="680"/>
        <w:spacing w:after="0" w:line="266" w:lineRule="auto"/>
        <w:rPr>
          <w:sz w:val="20"/>
          <w:szCs w:val="20"/>
          <w:color w:val="auto"/>
        </w:rPr>
      </w:pPr>
      <w:r>
        <w:rPr>
          <w:rFonts w:ascii="Arial" w:cs="Arial" w:eastAsia="Arial" w:hAnsi="Arial"/>
          <w:sz w:val="16"/>
          <w:szCs w:val="16"/>
          <w:color w:val="auto"/>
        </w:rPr>
        <w:t>With respect to the portion of 2021 that preceded the closing of the Merger, our executive compensation program was administered by the Atieva Committee. Since the closing of the Merger, our executive compensation program has been administered primarily by our Compensation Committee, which is comprised entirely of independent directors (even though, as a controlled company, we are not required to have an independent compensation committee under Nasdaq rules). The Compensation Committee establishes our overall compensation philosophy and objectives, and is responsible for establishing, overseeing and evaluating our executive compensation program. The Compensation Committee reviews and assesses whether our executive compensation program aligns with our compensation philosophy and objectives, and approves the specific</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900" w:type="dxa"/>
            <w:vAlign w:val="bottom"/>
          </w:tcPr>
          <w:p>
            <w:pPr>
              <w:ind w:left="660"/>
              <w:spacing w:after="0"/>
              <w:rPr>
                <w:sz w:val="20"/>
                <w:szCs w:val="20"/>
                <w:color w:val="auto"/>
              </w:rPr>
            </w:pPr>
            <w:r>
              <w:rPr>
                <w:rFonts w:ascii="Arial" w:cs="Arial" w:eastAsia="Arial" w:hAnsi="Arial"/>
                <w:sz w:val="13"/>
                <w:szCs w:val="13"/>
                <w:color w:val="auto"/>
              </w:rPr>
              <w:t>2022 Proxy Statement</w:t>
            </w:r>
          </w:p>
        </w:tc>
        <w:tc>
          <w:tcPr>
            <w:tcW w:w="4820" w:type="dxa"/>
            <w:vAlign w:val="bottom"/>
          </w:tcPr>
          <w:p>
            <w:pPr>
              <w:jc w:val="right"/>
              <w:ind w:right="617"/>
              <w:spacing w:after="0"/>
              <w:rPr>
                <w:sz w:val="20"/>
                <w:szCs w:val="20"/>
                <w:color w:val="auto"/>
              </w:rPr>
            </w:pPr>
            <w:r>
              <w:rPr>
                <w:rFonts w:ascii="Arial" w:cs="Arial" w:eastAsia="Arial" w:hAnsi="Arial"/>
                <w:sz w:val="13"/>
                <w:szCs w:val="13"/>
                <w:b w:val="1"/>
                <w:bCs w:val="1"/>
                <w:color w:val="auto"/>
              </w:rPr>
              <w:t>47</w:t>
            </w:r>
          </w:p>
        </w:tc>
      </w:tr>
      <w:tr>
        <w:trPr>
          <w:trHeight w:val="171"/>
        </w:trPr>
        <w:tc>
          <w:tcPr>
            <w:tcW w:w="5900" w:type="dxa"/>
            <w:vAlign w:val="bottom"/>
            <w:tcBorders>
              <w:bottom w:val="single" w:sz="8" w:color="9A9A9A"/>
            </w:tcBorders>
          </w:tcPr>
          <w:p>
            <w:pPr>
              <w:spacing w:after="0"/>
              <w:rPr>
                <w:sz w:val="14"/>
                <w:szCs w:val="14"/>
                <w:color w:val="auto"/>
              </w:rPr>
            </w:pPr>
          </w:p>
        </w:tc>
        <w:tc>
          <w:tcPr>
            <w:tcW w:w="48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56" w:name="page57"/>
    <w:bookmarkEnd w:id="56"/>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60" w:right="100"/>
        <w:spacing w:after="0" w:line="268" w:lineRule="auto"/>
        <w:rPr>
          <w:sz w:val="20"/>
          <w:szCs w:val="20"/>
          <w:color w:val="auto"/>
        </w:rPr>
      </w:pPr>
      <w:r>
        <w:rPr>
          <w:rFonts w:ascii="Arial" w:cs="Arial" w:eastAsia="Arial" w:hAnsi="Arial"/>
          <w:sz w:val="16"/>
          <w:szCs w:val="16"/>
          <w:color w:val="auto"/>
        </w:rPr>
        <w:t>compensation of our NEOs, other than the compensation of our CEO and equity grants to our NEOs, where the Compensation Committee makes recommendations to our Board. Following such recommendation, and after discussion with the members of the Compensation Committee regarding their assessment and recommendations, the Board approves CEO compensation and equity grants to our NEOs.</w:t>
      </w:r>
    </w:p>
    <w:p>
      <w:pPr>
        <w:spacing w:after="0" w:line="204" w:lineRule="exact"/>
        <w:rPr>
          <w:sz w:val="20"/>
          <w:szCs w:val="20"/>
          <w:color w:val="auto"/>
        </w:rPr>
      </w:pPr>
    </w:p>
    <w:p>
      <w:pPr>
        <w:ind w:left="660" w:right="20"/>
        <w:spacing w:after="0" w:line="266" w:lineRule="auto"/>
        <w:rPr>
          <w:sz w:val="20"/>
          <w:szCs w:val="20"/>
          <w:color w:val="auto"/>
        </w:rPr>
      </w:pPr>
      <w:r>
        <w:rPr>
          <w:rFonts w:ascii="Arial" w:cs="Arial" w:eastAsia="Arial" w:hAnsi="Arial"/>
          <w:sz w:val="16"/>
          <w:szCs w:val="16"/>
          <w:color w:val="auto"/>
        </w:rPr>
        <w:t>The Compensation Committee also consults with members of our management team, including our CEO and our Vice President of People when making compensation decisions. Our CEO works closely with the Compensation Committee and provides the Compensation Committee with performance assessments and compensation recommendations for each NEO (other than himself), based on each NEO’s level of performance and corporate performance. While the Compensation Committee considers our CEO’s recommendations, the Compensation Committee ultimately uses its own business judgment and experience in approving, or making recommendations to the Board where applicable, regarding individual compensation elements and the amount of each element for our NEOs. Our CEO recuses himself from all determinations regarding his own compensation.</w:t>
      </w:r>
    </w:p>
    <w:p>
      <w:pPr>
        <w:spacing w:after="0" w:line="206" w:lineRule="exact"/>
        <w:rPr>
          <w:sz w:val="20"/>
          <w:szCs w:val="20"/>
          <w:color w:val="auto"/>
        </w:rPr>
      </w:pPr>
    </w:p>
    <w:p>
      <w:pPr>
        <w:ind w:left="660" w:right="160"/>
        <w:spacing w:after="0" w:line="271" w:lineRule="auto"/>
        <w:rPr>
          <w:sz w:val="20"/>
          <w:szCs w:val="20"/>
          <w:color w:val="auto"/>
        </w:rPr>
      </w:pPr>
      <w:r>
        <w:rPr>
          <w:rFonts w:ascii="Arial" w:cs="Arial" w:eastAsia="Arial" w:hAnsi="Arial"/>
          <w:sz w:val="16"/>
          <w:szCs w:val="16"/>
          <w:color w:val="auto"/>
        </w:rPr>
        <w:t>The compensation of our NEOs will be reviewed at least annually by our Compensation Committee and will be informed by the recommendations of our CEO. Our Compensation Committee will then evaluate and determine any recommended compensation adjustments or awards to our NEOs or make recommendations to the Board for final determination.</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Role of Compensation Consultant</w:t>
      </w:r>
    </w:p>
    <w:p>
      <w:pPr>
        <w:spacing w:after="0" w:line="192" w:lineRule="exact"/>
        <w:rPr>
          <w:sz w:val="20"/>
          <w:szCs w:val="20"/>
          <w:color w:val="auto"/>
        </w:rPr>
      </w:pPr>
    </w:p>
    <w:p>
      <w:pPr>
        <w:ind w:left="660" w:right="40"/>
        <w:spacing w:after="0" w:line="267" w:lineRule="auto"/>
        <w:rPr>
          <w:sz w:val="20"/>
          <w:szCs w:val="20"/>
          <w:color w:val="auto"/>
        </w:rPr>
      </w:pPr>
      <w:r>
        <w:rPr>
          <w:rFonts w:ascii="Arial" w:cs="Arial" w:eastAsia="Arial" w:hAnsi="Arial"/>
          <w:sz w:val="16"/>
          <w:szCs w:val="16"/>
          <w:color w:val="auto"/>
        </w:rPr>
        <w:t>With respect to the portion of 2021 that preceded the closing of the Merger, the Atieva Committee engaged Aon to provide advice on matters relating to our executive compensation program, including information regarding competitive market practices, assessments and trends and advice relating to the design and structure of our executive compensation program. Following the closing of the Merger, the Compensation Committee is directly responsible for the appointment, compensation and oversight of the work of any compensation advisor and has sole authority to approve all such advisors’ fees and other retention terms.</w:t>
      </w:r>
    </w:p>
    <w:p>
      <w:pPr>
        <w:spacing w:after="0" w:line="205" w:lineRule="exact"/>
        <w:rPr>
          <w:sz w:val="20"/>
          <w:szCs w:val="20"/>
          <w:color w:val="auto"/>
        </w:rPr>
      </w:pPr>
    </w:p>
    <w:p>
      <w:pPr>
        <w:ind w:left="660" w:right="60"/>
        <w:spacing w:after="0" w:line="266" w:lineRule="auto"/>
        <w:rPr>
          <w:sz w:val="20"/>
          <w:szCs w:val="20"/>
          <w:color w:val="auto"/>
        </w:rPr>
      </w:pPr>
      <w:r>
        <w:rPr>
          <w:rFonts w:ascii="Arial" w:cs="Arial" w:eastAsia="Arial" w:hAnsi="Arial"/>
          <w:sz w:val="16"/>
          <w:szCs w:val="16"/>
          <w:color w:val="auto"/>
        </w:rPr>
        <w:t>Following the closing of the Merger, after evaluating Aon’s independence by considering the requirements adopted by Nasdaq and the SEC, our Compensation Committee continued to engage Aon to assist on matters relating to our executive compensation program pursuant to its authority under the Compensation Committee charter. Aon also updated the Compensation Committee on corporate governance and regulatory issues and developments. A representative of Aon attended meetings of the Compensation Committee as requested and also communicated with the Compensation Committee Chair outside of meetings. In addition to providing services to the Compensation Committee, Aon provided to us salary surveys and services relating to the tracking of the CEO’s long-term incentive award described in more detail under “Pre-Merger CEO Compensation” below.</w:t>
      </w:r>
    </w:p>
    <w:p>
      <w:pPr>
        <w:spacing w:after="0" w:line="206" w:lineRule="exact"/>
        <w:rPr>
          <w:sz w:val="20"/>
          <w:szCs w:val="20"/>
          <w:color w:val="auto"/>
        </w:rPr>
      </w:pPr>
    </w:p>
    <w:p>
      <w:pPr>
        <w:ind w:left="660" w:right="80"/>
        <w:spacing w:after="0" w:line="266" w:lineRule="auto"/>
        <w:rPr>
          <w:sz w:val="20"/>
          <w:szCs w:val="20"/>
          <w:color w:val="auto"/>
        </w:rPr>
      </w:pPr>
      <w:r>
        <w:rPr>
          <w:rFonts w:ascii="Arial" w:cs="Arial" w:eastAsia="Arial" w:hAnsi="Arial"/>
          <w:sz w:val="16"/>
          <w:szCs w:val="16"/>
          <w:color w:val="auto"/>
        </w:rPr>
        <w:t>In November 2021, after conducting a competitive search process and considering a number of candidates, the Compensation Committee decided to engage Pay Governance as its compensation consultant going forward. The Compensation Committee has evaluated Pay Governance’s independence by considering the requirements adopted by Nasdaq and the SEC, and determined that its relationship with Pay Governance does not raise any conflict of interest. As part of the Compensation Committee’s determination of Pay Governance’s independence, it received written confirmation from Pay Governance addressing these factors and supporting the independence determination. Pay Governance has not provided any other services to us and has not received any compensation from us other than with respect to services to our Compensation Committee.</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Analysis of Fiscal 2021 Compensation</w:t>
      </w:r>
    </w:p>
    <w:p>
      <w:pPr>
        <w:spacing w:after="0" w:line="36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Compensation Elements</w:t>
      </w:r>
    </w:p>
    <w:p>
      <w:pPr>
        <w:spacing w:after="0" w:line="192" w:lineRule="exact"/>
        <w:rPr>
          <w:sz w:val="20"/>
          <w:szCs w:val="20"/>
          <w:color w:val="auto"/>
        </w:rPr>
      </w:pPr>
    </w:p>
    <w:p>
      <w:pPr>
        <w:ind w:left="660" w:right="100"/>
        <w:spacing w:after="0" w:line="266" w:lineRule="auto"/>
        <w:rPr>
          <w:sz w:val="20"/>
          <w:szCs w:val="20"/>
          <w:color w:val="auto"/>
        </w:rPr>
      </w:pPr>
      <w:r>
        <w:rPr>
          <w:rFonts w:ascii="Arial" w:cs="Arial" w:eastAsia="Arial" w:hAnsi="Arial"/>
          <w:sz w:val="16"/>
          <w:szCs w:val="16"/>
          <w:color w:val="auto"/>
        </w:rPr>
        <w:t>The 2021 executive compensation program consisted of the following elements: base salary, annual incentive compensation and long-term equity incentive compensation in the form of time-based restricted stock units. Our CEO was also granted performance-based restricted stock units and a cash transaction bonus as described in more detail below. Each element, which is further discussed below, is intended to reward and motivate executives in different ways consistent with our overall compensation philosophy. Each of the above-described compensation elements for our NEOs for fiscal 2021 is discussed in detail below, including a description of the particular element and how it fits into our overall executive compensation philosophy and objectives.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Compensation-Setting Process and Competitive Positioning</w:t>
      </w:r>
    </w:p>
    <w:p>
      <w:pPr>
        <w:spacing w:after="0" w:line="205" w:lineRule="exact"/>
        <w:rPr>
          <w:sz w:val="20"/>
          <w:szCs w:val="20"/>
          <w:color w:val="auto"/>
        </w:rPr>
      </w:pPr>
    </w:p>
    <w:p>
      <w:pPr>
        <w:ind w:left="660" w:right="100"/>
        <w:spacing w:after="0" w:line="288" w:lineRule="auto"/>
        <w:rPr>
          <w:sz w:val="20"/>
          <w:szCs w:val="20"/>
          <w:color w:val="auto"/>
        </w:rPr>
      </w:pPr>
      <w:r>
        <w:rPr>
          <w:rFonts w:ascii="Arial" w:cs="Arial" w:eastAsia="Arial" w:hAnsi="Arial"/>
          <w:sz w:val="16"/>
          <w:szCs w:val="16"/>
          <w:color w:val="auto"/>
        </w:rPr>
        <w:t>When determining recommendations for our NEOs’ fiscal 2021 compensation levels, the Compensation Committee and, prior to the Merger, the Atieva Board, reviewed base salary, target annual incentive compensation opportunity, target total short-term compensation (</w:t>
      </w:r>
      <w:r>
        <w:rPr>
          <w:rFonts w:ascii="Arial" w:cs="Arial" w:eastAsia="Arial" w:hAnsi="Arial"/>
          <w:sz w:val="16"/>
          <w:szCs w:val="16"/>
          <w:i w:val="1"/>
          <w:iCs w:val="1"/>
          <w:color w:val="auto"/>
        </w:rPr>
        <w:t>i.e.,</w:t>
      </w:r>
      <w:r>
        <w:rPr>
          <w:rFonts w:ascii="Arial" w:cs="Arial" w:eastAsia="Arial" w:hAnsi="Arial"/>
          <w:sz w:val="16"/>
          <w:szCs w:val="16"/>
          <w:color w:val="auto"/>
        </w:rPr>
        <w:t xml:space="preserve"> base salary plus target incentive opportunity), annual long-term incentive and total direct compensation values</w:t>
      </w:r>
    </w:p>
    <w:p>
      <w:pPr>
        <w:spacing w:after="0" w:line="367"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2"/>
          <w:szCs w:val="12"/>
          <w:b w:val="1"/>
          <w:bCs w:val="1"/>
          <w:color w:val="auto"/>
        </w:rPr>
        <w:t>48</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110490</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sectPr>
      </w:pPr>
    </w:p>
    <w:bookmarkStart w:id="57" w:name="page58"/>
    <w:bookmarkEnd w:id="57"/>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780"/>
        <w:spacing w:after="0" w:line="251" w:lineRule="auto"/>
        <w:rPr>
          <w:sz w:val="20"/>
          <w:szCs w:val="20"/>
          <w:color w:val="auto"/>
        </w:rPr>
      </w:pPr>
      <w:r>
        <w:rPr>
          <w:rFonts w:ascii="Arial" w:cs="Arial" w:eastAsia="Arial" w:hAnsi="Arial"/>
          <w:sz w:val="16"/>
          <w:szCs w:val="16"/>
          <w:color w:val="auto"/>
        </w:rPr>
        <w:t>for our NEOs and those of similarly situated executives in the public market. Aon provided data at the 50</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and 75</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percentiles for such compensation, which the committees used as a reference. The Compensation Committee considers such data relevant to, but not determinative of, its consideration of overall executive compensation matters. The committees did not benchmark any compensation element to a specific percentile, and the committees instead established our NEOs’ compensation at levels they deemed appropriate after considering other factors, including each of our NEOs’ experience, performance, contributions and responsibilities, our short-term and long-term objectives, retention considerations and prevailing market conditions.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Base Salary</w:t>
      </w:r>
    </w:p>
    <w:p>
      <w:pPr>
        <w:spacing w:after="0" w:line="192" w:lineRule="exact"/>
        <w:rPr>
          <w:sz w:val="20"/>
          <w:szCs w:val="20"/>
          <w:color w:val="auto"/>
        </w:rPr>
      </w:pPr>
    </w:p>
    <w:p>
      <w:pPr>
        <w:ind w:left="660" w:right="740"/>
        <w:spacing w:after="0" w:line="266" w:lineRule="auto"/>
        <w:rPr>
          <w:sz w:val="20"/>
          <w:szCs w:val="20"/>
          <w:color w:val="auto"/>
        </w:rPr>
      </w:pPr>
      <w:r>
        <w:rPr>
          <w:rFonts w:ascii="Arial" w:cs="Arial" w:eastAsia="Arial" w:hAnsi="Arial"/>
          <w:sz w:val="16"/>
          <w:szCs w:val="16"/>
          <w:color w:val="auto"/>
        </w:rPr>
        <w:t>Base salaries provide a fixed source of compensation to our NEOs and are designed to reward executives for their performance and our short-term performance. We believe generally that a competitive base salary is a necessary element of our executive compensation program and is critical in attracting and retaining executive talent, including our NEOs. Base salaries for our NEOs are also intended to be competitive with those received by other individuals in similar positions at the companies with which we compete for talent, as well as equitable internally across our executive team. We believe that other compensation elements (short-term incentives and long-term incentives) are more important to attracting, motivating and retaining talent based on the current stage of the Company.</w:t>
      </w:r>
    </w:p>
    <w:p>
      <w:pPr>
        <w:spacing w:after="0" w:line="206" w:lineRule="exact"/>
        <w:rPr>
          <w:sz w:val="20"/>
          <w:szCs w:val="20"/>
          <w:color w:val="auto"/>
        </w:rPr>
      </w:pPr>
    </w:p>
    <w:p>
      <w:pPr>
        <w:ind w:left="660" w:right="700"/>
        <w:spacing w:after="0" w:line="268" w:lineRule="auto"/>
        <w:rPr>
          <w:sz w:val="20"/>
          <w:szCs w:val="20"/>
          <w:color w:val="auto"/>
        </w:rPr>
      </w:pPr>
      <w:r>
        <w:rPr>
          <w:rFonts w:ascii="Arial" w:cs="Arial" w:eastAsia="Arial" w:hAnsi="Arial"/>
          <w:sz w:val="16"/>
          <w:szCs w:val="16"/>
          <w:color w:val="auto"/>
        </w:rPr>
        <w:t>In setting annual base salaries, the Compensation Committee takes into consideration our overall financial and operating performance, each NEO’s individual performance, an evaluation of how the compensation we pay our executive officers compares both to our performance and to our peers, and other relevant factors. For NEOs other than the CEO, the Compensation Committee receives an evaluation from the CEO on that individual’s performance and a recommendation for a salary adjustment.</w:t>
      </w:r>
    </w:p>
    <w:p>
      <w:pPr>
        <w:spacing w:after="0" w:line="204" w:lineRule="exact"/>
        <w:rPr>
          <w:sz w:val="20"/>
          <w:szCs w:val="20"/>
          <w:color w:val="auto"/>
        </w:rPr>
      </w:pPr>
    </w:p>
    <w:p>
      <w:pPr>
        <w:jc w:val="both"/>
        <w:ind w:left="660" w:right="680"/>
        <w:spacing w:after="0" w:line="268" w:lineRule="auto"/>
        <w:rPr>
          <w:sz w:val="20"/>
          <w:szCs w:val="20"/>
          <w:color w:val="auto"/>
        </w:rPr>
      </w:pPr>
      <w:r>
        <w:rPr>
          <w:rFonts w:ascii="Arial" w:cs="Arial" w:eastAsia="Arial" w:hAnsi="Arial"/>
          <w:sz w:val="16"/>
          <w:szCs w:val="16"/>
          <w:color w:val="auto"/>
        </w:rPr>
        <w:t>The Compensation Committee intends to review the base salaries of our NEOs on an annual basis and make adjustments to base salaries as it deems necessary or appropriate. To the extent base salaries are adjusted, the amount of any such adjustment would reflect a review of competitive market data, consideration of relative levels of pay internally, individual performance of the NEO, and any other circumstances that the Compensation Committee determines are relevant.</w:t>
      </w:r>
    </w:p>
    <w:p>
      <w:pPr>
        <w:spacing w:after="0" w:line="204" w:lineRule="exact"/>
        <w:rPr>
          <w:sz w:val="20"/>
          <w:szCs w:val="20"/>
          <w:color w:val="auto"/>
        </w:rPr>
      </w:pPr>
    </w:p>
    <w:p>
      <w:pPr>
        <w:ind w:left="660" w:right="700"/>
        <w:spacing w:after="0" w:line="266" w:lineRule="auto"/>
        <w:rPr>
          <w:sz w:val="20"/>
          <w:szCs w:val="20"/>
          <w:color w:val="auto"/>
        </w:rPr>
      </w:pPr>
      <w:r>
        <w:rPr>
          <w:rFonts w:ascii="Arial" w:cs="Arial" w:eastAsia="Arial" w:hAnsi="Arial"/>
          <w:sz w:val="16"/>
          <w:szCs w:val="16"/>
          <w:color w:val="auto"/>
        </w:rPr>
        <w:t>In September 2021, the Compensation Committee reviewed the base salaries of our NEOs, taking into consideration a competitive market analysis performed by Aon. The Compensation Committee also considered the recommendations of our CEO (except with respect to his own base salary), as well as the other factors described above. Consistent with our intended approach to provide compensation competitive with an aggregated benchmark group of companies and in recognition of their performance, the Compensation Committee approved an increase in the annual base salaries for certain of our NEOs effective as of August 2, 2021, shortly after the Merger. The base salaries for our NEOs both before and after August 2, 2021 are set forth in the table below.</w:t>
      </w: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Fiscal 2021 Base Salaries</w:t>
      </w:r>
    </w:p>
    <w:p>
      <w:pPr>
        <w:spacing w:after="0" w:line="307" w:lineRule="exact"/>
        <w:rPr>
          <w:sz w:val="20"/>
          <w:szCs w:val="20"/>
          <w:color w:val="auto"/>
        </w:rPr>
      </w:pPr>
    </w:p>
    <w:tbl>
      <w:tblPr>
        <w:tblLayout w:type="fixed"/>
        <w:tblInd w:w="660" w:type="dxa"/>
        <w:tblCellMar>
          <w:top w:w="0" w:type="dxa"/>
          <w:left w:w="0" w:type="dxa"/>
          <w:bottom w:w="0" w:type="dxa"/>
          <w:right w:w="0" w:type="dxa"/>
        </w:tblCellMar>
      </w:tblPr>
      <w:tr>
        <w:trPr>
          <w:trHeight w:val="248"/>
        </w:trPr>
        <w:tc>
          <w:tcPr>
            <w:tcW w:w="3680" w:type="dxa"/>
            <w:vAlign w:val="bottom"/>
            <w:shd w:val="clear" w:color="auto" w:fill="000000"/>
          </w:tcPr>
          <w:p>
            <w:pPr>
              <w:ind w:left="140"/>
              <w:spacing w:after="0"/>
              <w:rPr>
                <w:sz w:val="20"/>
                <w:szCs w:val="20"/>
                <w:color w:val="auto"/>
              </w:rPr>
            </w:pPr>
            <w:r>
              <w:rPr>
                <w:rFonts w:ascii="Arial" w:cs="Arial" w:eastAsia="Arial" w:hAnsi="Arial"/>
                <w:sz w:val="13"/>
                <w:szCs w:val="13"/>
                <w:b w:val="1"/>
                <w:bCs w:val="1"/>
                <w:color w:val="FEFEFE"/>
              </w:rPr>
              <w:t>Name</w:t>
            </w:r>
          </w:p>
        </w:tc>
        <w:tc>
          <w:tcPr>
            <w:tcW w:w="3920" w:type="dxa"/>
            <w:vAlign w:val="bottom"/>
            <w:shd w:val="clear" w:color="auto" w:fill="000000"/>
          </w:tcPr>
          <w:p>
            <w:pPr>
              <w:jc w:val="center"/>
              <w:ind w:left="2451"/>
              <w:spacing w:after="0"/>
              <w:rPr>
                <w:sz w:val="20"/>
                <w:szCs w:val="20"/>
                <w:color w:val="auto"/>
              </w:rPr>
            </w:pPr>
            <w:r>
              <w:rPr>
                <w:rFonts w:ascii="Arial" w:cs="Arial" w:eastAsia="Arial" w:hAnsi="Arial"/>
                <w:sz w:val="13"/>
                <w:szCs w:val="13"/>
                <w:b w:val="1"/>
                <w:bCs w:val="1"/>
                <w:color w:val="FEFEFE"/>
                <w:w w:val="97"/>
              </w:rPr>
              <w:t>Base Salary Prior to</w:t>
            </w:r>
          </w:p>
        </w:tc>
        <w:tc>
          <w:tcPr>
            <w:tcW w:w="1780" w:type="dxa"/>
            <w:vAlign w:val="bottom"/>
            <w:shd w:val="clear" w:color="auto" w:fill="000000"/>
          </w:tcPr>
          <w:p>
            <w:pPr>
              <w:jc w:val="center"/>
              <w:ind w:right="11"/>
              <w:spacing w:after="0"/>
              <w:rPr>
                <w:sz w:val="20"/>
                <w:szCs w:val="20"/>
                <w:color w:val="auto"/>
              </w:rPr>
            </w:pPr>
            <w:r>
              <w:rPr>
                <w:rFonts w:ascii="Arial" w:cs="Arial" w:eastAsia="Arial" w:hAnsi="Arial"/>
                <w:sz w:val="13"/>
                <w:szCs w:val="13"/>
                <w:b w:val="1"/>
                <w:bCs w:val="1"/>
                <w:color w:val="FEFEFE"/>
                <w:w w:val="97"/>
              </w:rPr>
              <w:t>Base Salary Effective as</w:t>
            </w:r>
          </w:p>
        </w:tc>
      </w:tr>
      <w:tr>
        <w:trPr>
          <w:trHeight w:val="168"/>
        </w:trPr>
        <w:tc>
          <w:tcPr>
            <w:tcW w:w="3680" w:type="dxa"/>
            <w:vAlign w:val="bottom"/>
            <w:shd w:val="clear" w:color="auto" w:fill="000000"/>
          </w:tcPr>
          <w:p>
            <w:pPr>
              <w:spacing w:after="0"/>
              <w:rPr>
                <w:sz w:val="14"/>
                <w:szCs w:val="14"/>
                <w:color w:val="auto"/>
              </w:rPr>
            </w:pPr>
          </w:p>
        </w:tc>
        <w:tc>
          <w:tcPr>
            <w:tcW w:w="3920" w:type="dxa"/>
            <w:vAlign w:val="bottom"/>
            <w:shd w:val="clear" w:color="auto" w:fill="000000"/>
          </w:tcPr>
          <w:p>
            <w:pPr>
              <w:jc w:val="center"/>
              <w:ind w:left="2451"/>
              <w:spacing w:after="0"/>
              <w:rPr>
                <w:sz w:val="20"/>
                <w:szCs w:val="20"/>
                <w:color w:val="auto"/>
              </w:rPr>
            </w:pPr>
            <w:r>
              <w:rPr>
                <w:rFonts w:ascii="Arial" w:cs="Arial" w:eastAsia="Arial" w:hAnsi="Arial"/>
                <w:sz w:val="13"/>
                <w:szCs w:val="13"/>
                <w:b w:val="1"/>
                <w:bCs w:val="1"/>
                <w:color w:val="FEFEFE"/>
                <w:w w:val="95"/>
              </w:rPr>
              <w:t>August 2, 2021</w:t>
            </w:r>
          </w:p>
        </w:tc>
        <w:tc>
          <w:tcPr>
            <w:tcW w:w="1780" w:type="dxa"/>
            <w:vAlign w:val="bottom"/>
            <w:shd w:val="clear" w:color="auto" w:fill="000000"/>
          </w:tcPr>
          <w:p>
            <w:pPr>
              <w:jc w:val="center"/>
              <w:ind w:right="31"/>
              <w:spacing w:after="0"/>
              <w:rPr>
                <w:sz w:val="20"/>
                <w:szCs w:val="20"/>
                <w:color w:val="auto"/>
              </w:rPr>
            </w:pPr>
            <w:r>
              <w:rPr>
                <w:rFonts w:ascii="Arial" w:cs="Arial" w:eastAsia="Arial" w:hAnsi="Arial"/>
                <w:sz w:val="13"/>
                <w:szCs w:val="13"/>
                <w:b w:val="1"/>
                <w:bCs w:val="1"/>
                <w:color w:val="FEFEFE"/>
                <w:w w:val="96"/>
              </w:rPr>
              <w:t>of August 2, 2021</w:t>
            </w:r>
          </w:p>
        </w:tc>
      </w:tr>
      <w:tr>
        <w:trPr>
          <w:trHeight w:val="124"/>
        </w:trPr>
        <w:tc>
          <w:tcPr>
            <w:tcW w:w="3680" w:type="dxa"/>
            <w:vAlign w:val="bottom"/>
            <w:shd w:val="clear" w:color="auto" w:fill="000000"/>
          </w:tcPr>
          <w:p>
            <w:pPr>
              <w:spacing w:after="0"/>
              <w:rPr>
                <w:sz w:val="10"/>
                <w:szCs w:val="10"/>
                <w:color w:val="auto"/>
              </w:rPr>
            </w:pPr>
          </w:p>
        </w:tc>
        <w:tc>
          <w:tcPr>
            <w:tcW w:w="3920" w:type="dxa"/>
            <w:vAlign w:val="bottom"/>
            <w:shd w:val="clear" w:color="auto" w:fill="000000"/>
          </w:tcPr>
          <w:p>
            <w:pPr>
              <w:spacing w:after="0"/>
              <w:rPr>
                <w:sz w:val="10"/>
                <w:szCs w:val="10"/>
                <w:color w:val="auto"/>
              </w:rPr>
            </w:pPr>
          </w:p>
        </w:tc>
        <w:tc>
          <w:tcPr>
            <w:tcW w:w="1780" w:type="dxa"/>
            <w:vAlign w:val="bottom"/>
            <w:shd w:val="clear" w:color="auto" w:fill="000000"/>
          </w:tcPr>
          <w:p>
            <w:pPr>
              <w:spacing w:after="0"/>
              <w:rPr>
                <w:sz w:val="10"/>
                <w:szCs w:val="10"/>
                <w:color w:val="auto"/>
              </w:rPr>
            </w:pPr>
          </w:p>
        </w:tc>
      </w:tr>
      <w:tr>
        <w:trPr>
          <w:trHeight w:val="312"/>
        </w:trPr>
        <w:tc>
          <w:tcPr>
            <w:tcW w:w="3680" w:type="dxa"/>
            <w:vAlign w:val="bottom"/>
          </w:tcPr>
          <w:p>
            <w:pPr>
              <w:ind w:left="140"/>
              <w:spacing w:after="0"/>
              <w:rPr>
                <w:sz w:val="20"/>
                <w:szCs w:val="20"/>
                <w:color w:val="auto"/>
              </w:rPr>
            </w:pPr>
            <w:r>
              <w:rPr>
                <w:rFonts w:ascii="Arial" w:cs="Arial" w:eastAsia="Arial" w:hAnsi="Arial"/>
                <w:sz w:val="14"/>
                <w:szCs w:val="14"/>
                <w:color w:val="auto"/>
              </w:rPr>
              <w:t>Mr. Rawlinson</w:t>
            </w:r>
          </w:p>
        </w:tc>
        <w:tc>
          <w:tcPr>
            <w:tcW w:w="3920" w:type="dxa"/>
            <w:vAlign w:val="bottom"/>
          </w:tcPr>
          <w:p>
            <w:pPr>
              <w:jc w:val="center"/>
              <w:ind w:left="2451"/>
              <w:spacing w:after="0"/>
              <w:rPr>
                <w:sz w:val="20"/>
                <w:szCs w:val="20"/>
                <w:color w:val="auto"/>
              </w:rPr>
            </w:pPr>
            <w:r>
              <w:rPr>
                <w:rFonts w:ascii="Arial" w:cs="Arial" w:eastAsia="Arial" w:hAnsi="Arial"/>
                <w:sz w:val="14"/>
                <w:szCs w:val="14"/>
                <w:color w:val="auto"/>
              </w:rPr>
              <w:t>$ 500,000</w:t>
            </w:r>
          </w:p>
        </w:tc>
        <w:tc>
          <w:tcPr>
            <w:tcW w:w="1780" w:type="dxa"/>
            <w:vAlign w:val="bottom"/>
          </w:tcPr>
          <w:p>
            <w:pPr>
              <w:jc w:val="center"/>
              <w:ind w:right="51"/>
              <w:spacing w:after="0"/>
              <w:rPr>
                <w:sz w:val="20"/>
                <w:szCs w:val="20"/>
                <w:color w:val="auto"/>
              </w:rPr>
            </w:pPr>
            <w:r>
              <w:rPr>
                <w:rFonts w:ascii="Arial" w:cs="Arial" w:eastAsia="Arial" w:hAnsi="Arial"/>
                <w:sz w:val="14"/>
                <w:szCs w:val="14"/>
                <w:color w:val="auto"/>
              </w:rPr>
              <w:t>$ 575,000</w:t>
            </w:r>
          </w:p>
        </w:tc>
      </w:tr>
      <w:tr>
        <w:trPr>
          <w:trHeight w:val="93"/>
        </w:trPr>
        <w:tc>
          <w:tcPr>
            <w:tcW w:w="3680" w:type="dxa"/>
            <w:vAlign w:val="bottom"/>
            <w:tcBorders>
              <w:bottom w:val="single" w:sz="8" w:color="auto"/>
            </w:tcBorders>
          </w:tcPr>
          <w:p>
            <w:pPr>
              <w:spacing w:after="0"/>
              <w:rPr>
                <w:sz w:val="8"/>
                <w:szCs w:val="8"/>
                <w:color w:val="auto"/>
              </w:rPr>
            </w:pPr>
          </w:p>
        </w:tc>
        <w:tc>
          <w:tcPr>
            <w:tcW w:w="392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r>
      <w:tr>
        <w:trPr>
          <w:trHeight w:val="292"/>
        </w:trPr>
        <w:tc>
          <w:tcPr>
            <w:tcW w:w="3680" w:type="dxa"/>
            <w:vAlign w:val="bottom"/>
            <w:shd w:val="clear" w:color="auto" w:fill="F7F7F7"/>
          </w:tcPr>
          <w:p>
            <w:pPr>
              <w:ind w:left="140"/>
              <w:spacing w:after="0"/>
              <w:rPr>
                <w:sz w:val="20"/>
                <w:szCs w:val="20"/>
                <w:color w:val="auto"/>
              </w:rPr>
            </w:pPr>
            <w:r>
              <w:rPr>
                <w:rFonts w:ascii="Arial" w:cs="Arial" w:eastAsia="Arial" w:hAnsi="Arial"/>
                <w:sz w:val="14"/>
                <w:szCs w:val="14"/>
                <w:color w:val="auto"/>
              </w:rPr>
              <w:t>Ms. House</w:t>
            </w:r>
          </w:p>
        </w:tc>
        <w:tc>
          <w:tcPr>
            <w:tcW w:w="3920" w:type="dxa"/>
            <w:vAlign w:val="bottom"/>
            <w:shd w:val="clear" w:color="auto" w:fill="F7F7F7"/>
          </w:tcPr>
          <w:p>
            <w:pPr>
              <w:jc w:val="center"/>
              <w:ind w:left="2451"/>
              <w:spacing w:after="0"/>
              <w:rPr>
                <w:sz w:val="20"/>
                <w:szCs w:val="20"/>
                <w:color w:val="auto"/>
              </w:rPr>
            </w:pPr>
            <w:r>
              <w:rPr>
                <w:rFonts w:ascii="Arial" w:cs="Arial" w:eastAsia="Arial" w:hAnsi="Arial"/>
                <w:sz w:val="14"/>
                <w:szCs w:val="14"/>
                <w:color w:val="auto"/>
              </w:rPr>
              <w:t>$ 500,000</w:t>
            </w:r>
          </w:p>
        </w:tc>
        <w:tc>
          <w:tcPr>
            <w:tcW w:w="1780" w:type="dxa"/>
            <w:vAlign w:val="bottom"/>
            <w:shd w:val="clear" w:color="auto" w:fill="F7F7F7"/>
          </w:tcPr>
          <w:p>
            <w:pPr>
              <w:jc w:val="center"/>
              <w:ind w:right="51"/>
              <w:spacing w:after="0"/>
              <w:rPr>
                <w:sz w:val="20"/>
                <w:szCs w:val="20"/>
                <w:color w:val="auto"/>
              </w:rPr>
            </w:pPr>
            <w:r>
              <w:rPr>
                <w:rFonts w:ascii="Arial" w:cs="Arial" w:eastAsia="Arial" w:hAnsi="Arial"/>
                <w:sz w:val="14"/>
                <w:szCs w:val="14"/>
                <w:color w:val="auto"/>
              </w:rPr>
              <w:t>$ 500,000</w:t>
            </w:r>
          </w:p>
        </w:tc>
      </w:tr>
      <w:tr>
        <w:trPr>
          <w:trHeight w:val="93"/>
        </w:trPr>
        <w:tc>
          <w:tcPr>
            <w:tcW w:w="3680" w:type="dxa"/>
            <w:vAlign w:val="bottom"/>
            <w:tcBorders>
              <w:bottom w:val="single" w:sz="8" w:color="auto"/>
            </w:tcBorders>
            <w:shd w:val="clear" w:color="auto" w:fill="F7F7F7"/>
          </w:tcPr>
          <w:p>
            <w:pPr>
              <w:spacing w:after="0"/>
              <w:rPr>
                <w:sz w:val="8"/>
                <w:szCs w:val="8"/>
                <w:color w:val="auto"/>
              </w:rPr>
            </w:pPr>
          </w:p>
        </w:tc>
        <w:tc>
          <w:tcPr>
            <w:tcW w:w="3920" w:type="dxa"/>
            <w:vAlign w:val="bottom"/>
            <w:tcBorders>
              <w:bottom w:val="single" w:sz="8" w:color="auto"/>
            </w:tcBorders>
            <w:shd w:val="clear" w:color="auto" w:fill="F7F7F7"/>
          </w:tcPr>
          <w:p>
            <w:pPr>
              <w:spacing w:after="0"/>
              <w:rPr>
                <w:sz w:val="8"/>
                <w:szCs w:val="8"/>
                <w:color w:val="auto"/>
              </w:rPr>
            </w:pPr>
          </w:p>
        </w:tc>
        <w:tc>
          <w:tcPr>
            <w:tcW w:w="1780" w:type="dxa"/>
            <w:vAlign w:val="bottom"/>
            <w:tcBorders>
              <w:bottom w:val="single" w:sz="8" w:color="auto"/>
            </w:tcBorders>
            <w:shd w:val="clear" w:color="auto" w:fill="F7F7F7"/>
          </w:tcPr>
          <w:p>
            <w:pPr>
              <w:spacing w:after="0"/>
              <w:rPr>
                <w:sz w:val="8"/>
                <w:szCs w:val="8"/>
                <w:color w:val="auto"/>
              </w:rPr>
            </w:pPr>
          </w:p>
        </w:tc>
      </w:tr>
      <w:tr>
        <w:trPr>
          <w:trHeight w:val="358"/>
        </w:trPr>
        <w:tc>
          <w:tcPr>
            <w:tcW w:w="3680" w:type="dxa"/>
            <w:vAlign w:val="bottom"/>
          </w:tcPr>
          <w:p>
            <w:pPr>
              <w:ind w:left="140"/>
              <w:spacing w:after="0"/>
              <w:rPr>
                <w:sz w:val="20"/>
                <w:szCs w:val="20"/>
                <w:color w:val="auto"/>
              </w:rPr>
            </w:pPr>
            <w:r>
              <w:rPr>
                <w:rFonts w:ascii="Arial" w:cs="Arial" w:eastAsia="Arial" w:hAnsi="Arial"/>
                <w:sz w:val="14"/>
                <w:szCs w:val="14"/>
                <w:color w:val="auto"/>
              </w:rPr>
              <w:t>Mr. Bach</w:t>
            </w:r>
            <w:r>
              <w:rPr>
                <w:rFonts w:ascii="Arial" w:cs="Arial" w:eastAsia="Arial" w:hAnsi="Arial"/>
                <w:sz w:val="17"/>
                <w:szCs w:val="17"/>
                <w:color w:val="auto"/>
                <w:vertAlign w:val="superscript"/>
              </w:rPr>
              <w:t>(1)</w:t>
            </w:r>
          </w:p>
        </w:tc>
        <w:tc>
          <w:tcPr>
            <w:tcW w:w="3920" w:type="dxa"/>
            <w:vAlign w:val="bottom"/>
          </w:tcPr>
          <w:p>
            <w:pPr>
              <w:jc w:val="center"/>
              <w:ind w:left="2451"/>
              <w:spacing w:after="0"/>
              <w:rPr>
                <w:sz w:val="20"/>
                <w:szCs w:val="20"/>
                <w:color w:val="auto"/>
              </w:rPr>
            </w:pPr>
            <w:r>
              <w:rPr>
                <w:rFonts w:ascii="Arial" w:cs="Arial" w:eastAsia="Arial" w:hAnsi="Arial"/>
                <w:sz w:val="14"/>
                <w:szCs w:val="14"/>
                <w:color w:val="auto"/>
              </w:rPr>
              <w:t>$ 400,000</w:t>
            </w:r>
          </w:p>
        </w:tc>
        <w:tc>
          <w:tcPr>
            <w:tcW w:w="1780" w:type="dxa"/>
            <w:vAlign w:val="bottom"/>
          </w:tcPr>
          <w:p>
            <w:pPr>
              <w:jc w:val="center"/>
              <w:ind w:right="51"/>
              <w:spacing w:after="0"/>
              <w:rPr>
                <w:sz w:val="20"/>
                <w:szCs w:val="20"/>
                <w:color w:val="auto"/>
              </w:rPr>
            </w:pPr>
            <w:r>
              <w:rPr>
                <w:rFonts w:ascii="Arial" w:cs="Arial" w:eastAsia="Arial" w:hAnsi="Arial"/>
                <w:sz w:val="14"/>
                <w:szCs w:val="14"/>
                <w:color w:val="auto"/>
              </w:rPr>
              <w:t>$ 450,000</w:t>
            </w:r>
          </w:p>
        </w:tc>
      </w:tr>
      <w:tr>
        <w:trPr>
          <w:trHeight w:val="68"/>
        </w:trPr>
        <w:tc>
          <w:tcPr>
            <w:tcW w:w="3680" w:type="dxa"/>
            <w:vAlign w:val="bottom"/>
            <w:tcBorders>
              <w:bottom w:val="single" w:sz="8" w:color="auto"/>
            </w:tcBorders>
          </w:tcPr>
          <w:p>
            <w:pPr>
              <w:spacing w:after="0"/>
              <w:rPr>
                <w:sz w:val="5"/>
                <w:szCs w:val="5"/>
                <w:color w:val="auto"/>
              </w:rPr>
            </w:pPr>
          </w:p>
        </w:tc>
        <w:tc>
          <w:tcPr>
            <w:tcW w:w="392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r>
      <w:tr>
        <w:trPr>
          <w:trHeight w:val="306"/>
        </w:trPr>
        <w:tc>
          <w:tcPr>
            <w:tcW w:w="3680" w:type="dxa"/>
            <w:vAlign w:val="bottom"/>
            <w:shd w:val="clear" w:color="auto" w:fill="F7F7F7"/>
          </w:tcPr>
          <w:p>
            <w:pPr>
              <w:ind w:left="140"/>
              <w:spacing w:after="0"/>
              <w:rPr>
                <w:sz w:val="20"/>
                <w:szCs w:val="20"/>
                <w:color w:val="auto"/>
              </w:rPr>
            </w:pPr>
            <w:r>
              <w:rPr>
                <w:rFonts w:ascii="Arial" w:cs="Arial" w:eastAsia="Arial" w:hAnsi="Arial"/>
                <w:sz w:val="14"/>
                <w:szCs w:val="14"/>
                <w:color w:val="auto"/>
              </w:rPr>
              <w:t>Mr. Bell</w:t>
            </w:r>
          </w:p>
        </w:tc>
        <w:tc>
          <w:tcPr>
            <w:tcW w:w="3920" w:type="dxa"/>
            <w:vAlign w:val="bottom"/>
            <w:shd w:val="clear" w:color="auto" w:fill="F7F7F7"/>
          </w:tcPr>
          <w:p>
            <w:pPr>
              <w:jc w:val="center"/>
              <w:ind w:left="2451"/>
              <w:spacing w:after="0"/>
              <w:rPr>
                <w:sz w:val="20"/>
                <w:szCs w:val="20"/>
                <w:color w:val="auto"/>
              </w:rPr>
            </w:pPr>
            <w:r>
              <w:rPr>
                <w:rFonts w:ascii="Arial" w:cs="Arial" w:eastAsia="Arial" w:hAnsi="Arial"/>
                <w:sz w:val="14"/>
                <w:szCs w:val="14"/>
                <w:color w:val="auto"/>
              </w:rPr>
              <w:t>$ 500,000</w:t>
            </w:r>
          </w:p>
        </w:tc>
        <w:tc>
          <w:tcPr>
            <w:tcW w:w="1780" w:type="dxa"/>
            <w:vAlign w:val="bottom"/>
            <w:shd w:val="clear" w:color="auto" w:fill="F7F7F7"/>
          </w:tcPr>
          <w:p>
            <w:pPr>
              <w:jc w:val="center"/>
              <w:ind w:right="51"/>
              <w:spacing w:after="0"/>
              <w:rPr>
                <w:sz w:val="20"/>
                <w:szCs w:val="20"/>
                <w:color w:val="auto"/>
              </w:rPr>
            </w:pPr>
            <w:r>
              <w:rPr>
                <w:rFonts w:ascii="Arial" w:cs="Arial" w:eastAsia="Arial" w:hAnsi="Arial"/>
                <w:sz w:val="14"/>
                <w:szCs w:val="14"/>
                <w:color w:val="auto"/>
              </w:rPr>
              <w:t>$ 500,000</w:t>
            </w:r>
          </w:p>
        </w:tc>
      </w:tr>
      <w:tr>
        <w:trPr>
          <w:trHeight w:val="93"/>
        </w:trPr>
        <w:tc>
          <w:tcPr>
            <w:tcW w:w="3680" w:type="dxa"/>
            <w:vAlign w:val="bottom"/>
            <w:tcBorders>
              <w:bottom w:val="single" w:sz="8" w:color="auto"/>
            </w:tcBorders>
            <w:shd w:val="clear" w:color="auto" w:fill="F7F7F7"/>
          </w:tcPr>
          <w:p>
            <w:pPr>
              <w:spacing w:after="0"/>
              <w:rPr>
                <w:sz w:val="8"/>
                <w:szCs w:val="8"/>
                <w:color w:val="auto"/>
              </w:rPr>
            </w:pPr>
          </w:p>
        </w:tc>
        <w:tc>
          <w:tcPr>
            <w:tcW w:w="3920" w:type="dxa"/>
            <w:vAlign w:val="bottom"/>
            <w:tcBorders>
              <w:bottom w:val="single" w:sz="8" w:color="auto"/>
            </w:tcBorders>
            <w:shd w:val="clear" w:color="auto" w:fill="F7F7F7"/>
          </w:tcPr>
          <w:p>
            <w:pPr>
              <w:spacing w:after="0"/>
              <w:rPr>
                <w:sz w:val="8"/>
                <w:szCs w:val="8"/>
                <w:color w:val="auto"/>
              </w:rPr>
            </w:pPr>
          </w:p>
        </w:tc>
        <w:tc>
          <w:tcPr>
            <w:tcW w:w="1780" w:type="dxa"/>
            <w:vAlign w:val="bottom"/>
            <w:tcBorders>
              <w:bottom w:val="single" w:sz="8" w:color="auto"/>
            </w:tcBorders>
            <w:shd w:val="clear" w:color="auto" w:fill="F7F7F7"/>
          </w:tcPr>
          <w:p>
            <w:pPr>
              <w:spacing w:after="0"/>
              <w:rPr>
                <w:sz w:val="8"/>
                <w:szCs w:val="8"/>
                <w:color w:val="auto"/>
              </w:rPr>
            </w:pPr>
          </w:p>
        </w:tc>
      </w:tr>
    </w:tbl>
    <w:p>
      <w:pPr>
        <w:spacing w:after="0" w:line="294" w:lineRule="exact"/>
        <w:rPr>
          <w:sz w:val="20"/>
          <w:szCs w:val="20"/>
          <w:color w:val="auto"/>
        </w:rPr>
      </w:pPr>
    </w:p>
    <w:p>
      <w:pPr>
        <w:ind w:left="780" w:right="820" w:hanging="126"/>
        <w:spacing w:after="0" w:line="209" w:lineRule="auto"/>
        <w:tabs>
          <w:tab w:leader="none" w:pos="780" w:val="left"/>
        </w:tabs>
        <w:numPr>
          <w:ilvl w:val="0"/>
          <w:numId w:val="30"/>
        </w:numPr>
        <w:rPr>
          <w:rFonts w:ascii="Arial" w:cs="Arial" w:eastAsia="Arial" w:hAnsi="Arial"/>
          <w:sz w:val="15"/>
          <w:szCs w:val="15"/>
          <w:color w:val="auto"/>
          <w:vertAlign w:val="superscript"/>
        </w:rPr>
      </w:pPr>
      <w:r>
        <w:rPr>
          <w:rFonts w:ascii="Arial" w:cs="Arial" w:eastAsia="Arial" w:hAnsi="Arial"/>
          <w:sz w:val="10"/>
          <w:szCs w:val="10"/>
          <w:color w:val="auto"/>
        </w:rPr>
        <w:t>Mr. Bach’s base salary was increased to $400,000 (from $375,000) effective March 1, 2021 (prior to the Merger) in connection with his promotion from Vice President, Hardware Engineering to Senior Vice President, Product and Chief Engineer.</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Cash Incentive Compensation</w:t>
      </w:r>
    </w:p>
    <w:p>
      <w:pPr>
        <w:spacing w:after="0" w:line="394" w:lineRule="exact"/>
        <w:rPr>
          <w:sz w:val="20"/>
          <w:szCs w:val="20"/>
          <w:color w:val="auto"/>
        </w:rPr>
      </w:pPr>
    </w:p>
    <w:p>
      <w:pPr>
        <w:ind w:left="660"/>
        <w:spacing w:after="0"/>
        <w:rPr>
          <w:sz w:val="20"/>
          <w:szCs w:val="20"/>
          <w:color w:val="auto"/>
        </w:rPr>
      </w:pPr>
      <w:r>
        <w:rPr>
          <w:rFonts w:ascii="Arial" w:cs="Arial" w:eastAsia="Arial" w:hAnsi="Arial"/>
          <w:sz w:val="16"/>
          <w:szCs w:val="16"/>
          <w:color w:val="886B25"/>
        </w:rPr>
        <w:t>Annual Cash Incentive Plan</w:t>
      </w:r>
    </w:p>
    <w:p>
      <w:pPr>
        <w:spacing w:after="0" w:line="167" w:lineRule="exact"/>
        <w:rPr>
          <w:sz w:val="20"/>
          <w:szCs w:val="20"/>
          <w:color w:val="auto"/>
        </w:rPr>
      </w:pPr>
    </w:p>
    <w:p>
      <w:pPr>
        <w:jc w:val="both"/>
        <w:ind w:left="660" w:right="740"/>
        <w:spacing w:after="0" w:line="271" w:lineRule="auto"/>
        <w:rPr>
          <w:sz w:val="20"/>
          <w:szCs w:val="20"/>
          <w:color w:val="auto"/>
        </w:rPr>
      </w:pPr>
      <w:r>
        <w:rPr>
          <w:rFonts w:ascii="Arial" w:cs="Arial" w:eastAsia="Arial" w:hAnsi="Arial"/>
          <w:sz w:val="16"/>
          <w:szCs w:val="16"/>
          <w:color w:val="auto"/>
        </w:rPr>
        <w:t>We use an annual cash incentive plan to motivate our NEOs to achieve our strategic and operational objectives during the year. In February 2021, the Atieva Committee approved, as part of its annual cash incentive plan for 2021, a bonus framework (“Company Bonus”) for potential payments to certain of our executive officers and key employees (including our NEOs) based on achievement</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900" w:type="dxa"/>
            <w:vAlign w:val="bottom"/>
          </w:tcPr>
          <w:p>
            <w:pPr>
              <w:ind w:left="660"/>
              <w:spacing w:after="0"/>
              <w:rPr>
                <w:sz w:val="20"/>
                <w:szCs w:val="20"/>
                <w:color w:val="auto"/>
              </w:rPr>
            </w:pPr>
            <w:r>
              <w:rPr>
                <w:rFonts w:ascii="Arial" w:cs="Arial" w:eastAsia="Arial" w:hAnsi="Arial"/>
                <w:sz w:val="13"/>
                <w:szCs w:val="13"/>
                <w:color w:val="auto"/>
              </w:rPr>
              <w:t>2022 Proxy Statement</w:t>
            </w:r>
          </w:p>
        </w:tc>
        <w:tc>
          <w:tcPr>
            <w:tcW w:w="4820" w:type="dxa"/>
            <w:vAlign w:val="bottom"/>
          </w:tcPr>
          <w:p>
            <w:pPr>
              <w:jc w:val="right"/>
              <w:ind w:right="617"/>
              <w:spacing w:after="0"/>
              <w:rPr>
                <w:sz w:val="20"/>
                <w:szCs w:val="20"/>
                <w:color w:val="auto"/>
              </w:rPr>
            </w:pPr>
            <w:r>
              <w:rPr>
                <w:rFonts w:ascii="Arial" w:cs="Arial" w:eastAsia="Arial" w:hAnsi="Arial"/>
                <w:sz w:val="13"/>
                <w:szCs w:val="13"/>
                <w:b w:val="1"/>
                <w:bCs w:val="1"/>
                <w:color w:val="auto"/>
              </w:rPr>
              <w:t>49</w:t>
            </w:r>
          </w:p>
        </w:tc>
      </w:tr>
      <w:tr>
        <w:trPr>
          <w:trHeight w:val="171"/>
        </w:trPr>
        <w:tc>
          <w:tcPr>
            <w:tcW w:w="5900" w:type="dxa"/>
            <w:vAlign w:val="bottom"/>
            <w:tcBorders>
              <w:bottom w:val="single" w:sz="8" w:color="9A9A9A"/>
            </w:tcBorders>
          </w:tcPr>
          <w:p>
            <w:pPr>
              <w:spacing w:after="0"/>
              <w:rPr>
                <w:sz w:val="14"/>
                <w:szCs w:val="14"/>
                <w:color w:val="auto"/>
              </w:rPr>
            </w:pPr>
          </w:p>
        </w:tc>
        <w:tc>
          <w:tcPr>
            <w:tcW w:w="48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58" w:name="page59"/>
    <w:bookmarkEnd w:id="58"/>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60" w:right="380"/>
        <w:spacing w:after="0" w:line="278" w:lineRule="auto"/>
        <w:rPr>
          <w:sz w:val="20"/>
          <w:szCs w:val="20"/>
          <w:color w:val="auto"/>
        </w:rPr>
      </w:pPr>
      <w:r>
        <w:rPr>
          <w:rFonts w:ascii="Arial" w:cs="Arial" w:eastAsia="Arial" w:hAnsi="Arial"/>
          <w:sz w:val="16"/>
          <w:szCs w:val="16"/>
          <w:color w:val="auto"/>
        </w:rPr>
        <w:t>and timing of the start of customer deliveries of the Lucid Air. The Atieva Committee considered September 2021 as the target month for customer deliveries to achieve 100% of the goal for the 2021 Company Bonus.</w:t>
      </w:r>
    </w:p>
    <w:p>
      <w:pPr>
        <w:spacing w:after="0" w:line="195" w:lineRule="exact"/>
        <w:rPr>
          <w:sz w:val="20"/>
          <w:szCs w:val="20"/>
          <w:color w:val="auto"/>
        </w:rPr>
      </w:pPr>
    </w:p>
    <w:p>
      <w:pPr>
        <w:ind w:left="660" w:right="160"/>
        <w:spacing w:after="0" w:line="266" w:lineRule="auto"/>
        <w:rPr>
          <w:sz w:val="20"/>
          <w:szCs w:val="20"/>
          <w:color w:val="auto"/>
        </w:rPr>
      </w:pPr>
      <w:r>
        <w:rPr>
          <w:rFonts w:ascii="Arial" w:cs="Arial" w:eastAsia="Arial" w:hAnsi="Arial"/>
          <w:sz w:val="16"/>
          <w:szCs w:val="16"/>
          <w:color w:val="auto"/>
        </w:rPr>
        <w:t>Customer delivery was achieved in October 2021, one month after the September 2021 targeted month largely to ensure that the quality of parts and materials were in line with the vision for the Lucid brand. Under the Company Bonus program as originally approved by the Atieva Committee, this would have resulted in a Company Bonus payout of 75% of target. However, after evaluating various factors, including craftsmanship, build quality, technology achievements and industry recognition, the Compensation Committee exercised discretion to approve payments of the “Company Bonus” for 2021 at higher levels for most participants (which included senior level employees), including our NEOs, as set forth in the chart below. Bonus amounts were prorated based on hire date and subject to adjustments based on individual performance.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NEO’s target incentive opportunity for fiscal 2021 and the actual payout amount is set forth in the table below:</w:t>
      </w:r>
    </w:p>
    <w:p>
      <w:pPr>
        <w:spacing w:after="0" w:line="287" w:lineRule="exact"/>
        <w:rPr>
          <w:sz w:val="20"/>
          <w:szCs w:val="20"/>
          <w:color w:val="auto"/>
        </w:rPr>
      </w:pPr>
    </w:p>
    <w:tbl>
      <w:tblPr>
        <w:tblLayout w:type="fixed"/>
        <w:tblInd w:w="660" w:type="dxa"/>
        <w:tblCellMar>
          <w:top w:w="0" w:type="dxa"/>
          <w:left w:w="0" w:type="dxa"/>
          <w:bottom w:w="0" w:type="dxa"/>
          <w:right w:w="0" w:type="dxa"/>
        </w:tblCellMar>
      </w:tblPr>
      <w:tr>
        <w:trPr>
          <w:trHeight w:val="248"/>
        </w:trPr>
        <w:tc>
          <w:tcPr>
            <w:tcW w:w="5060" w:type="dxa"/>
            <w:vAlign w:val="bottom"/>
            <w:shd w:val="clear" w:color="auto" w:fill="000000"/>
          </w:tcPr>
          <w:p>
            <w:pPr>
              <w:ind w:left="140"/>
              <w:spacing w:after="0"/>
              <w:rPr>
                <w:sz w:val="20"/>
                <w:szCs w:val="20"/>
                <w:color w:val="auto"/>
              </w:rPr>
            </w:pPr>
            <w:r>
              <w:rPr>
                <w:rFonts w:ascii="Arial" w:cs="Arial" w:eastAsia="Arial" w:hAnsi="Arial"/>
                <w:sz w:val="13"/>
                <w:szCs w:val="13"/>
                <w:b w:val="1"/>
                <w:bCs w:val="1"/>
                <w:color w:val="FEFEFE"/>
              </w:rPr>
              <w:t>Name</w:t>
            </w:r>
          </w:p>
        </w:tc>
        <w:tc>
          <w:tcPr>
            <w:tcW w:w="1840" w:type="dxa"/>
            <w:vAlign w:val="bottom"/>
            <w:gridSpan w:val="2"/>
            <w:shd w:val="clear" w:color="auto" w:fill="000000"/>
          </w:tcPr>
          <w:p>
            <w:pPr>
              <w:jc w:val="center"/>
              <w:ind w:right="50"/>
              <w:spacing w:after="0"/>
              <w:rPr>
                <w:sz w:val="20"/>
                <w:szCs w:val="20"/>
                <w:color w:val="auto"/>
              </w:rPr>
            </w:pPr>
            <w:r>
              <w:rPr>
                <w:rFonts w:ascii="Arial" w:cs="Arial" w:eastAsia="Arial" w:hAnsi="Arial"/>
                <w:sz w:val="13"/>
                <w:szCs w:val="13"/>
                <w:b w:val="1"/>
                <w:bCs w:val="1"/>
                <w:color w:val="FEFEFE"/>
                <w:w w:val="96"/>
              </w:rPr>
              <w:t>Target Annual</w:t>
            </w:r>
          </w:p>
        </w:tc>
        <w:tc>
          <w:tcPr>
            <w:tcW w:w="1240" w:type="dxa"/>
            <w:vAlign w:val="bottom"/>
            <w:shd w:val="clear" w:color="auto" w:fill="000000"/>
          </w:tcPr>
          <w:p>
            <w:pPr>
              <w:jc w:val="center"/>
              <w:ind w:right="152"/>
              <w:spacing w:after="0"/>
              <w:rPr>
                <w:sz w:val="20"/>
                <w:szCs w:val="20"/>
                <w:color w:val="auto"/>
              </w:rPr>
            </w:pPr>
            <w:r>
              <w:rPr>
                <w:rFonts w:ascii="Arial" w:cs="Arial" w:eastAsia="Arial" w:hAnsi="Arial"/>
                <w:sz w:val="13"/>
                <w:szCs w:val="13"/>
                <w:b w:val="1"/>
                <w:bCs w:val="1"/>
                <w:color w:val="FEFEFE"/>
                <w:w w:val="96"/>
              </w:rPr>
              <w:t>Amount of 2021</w:t>
            </w:r>
          </w:p>
        </w:tc>
        <w:tc>
          <w:tcPr>
            <w:tcW w:w="1240" w:type="dxa"/>
            <w:vAlign w:val="bottom"/>
            <w:shd w:val="clear" w:color="auto" w:fill="000000"/>
          </w:tcPr>
          <w:p>
            <w:pPr>
              <w:jc w:val="right"/>
              <w:ind w:right="150"/>
              <w:spacing w:after="0"/>
              <w:rPr>
                <w:sz w:val="20"/>
                <w:szCs w:val="20"/>
                <w:color w:val="auto"/>
              </w:rPr>
            </w:pPr>
            <w:r>
              <w:rPr>
                <w:rFonts w:ascii="Arial" w:cs="Arial" w:eastAsia="Arial" w:hAnsi="Arial"/>
                <w:sz w:val="13"/>
                <w:szCs w:val="13"/>
                <w:b w:val="1"/>
                <w:bCs w:val="1"/>
                <w:color w:val="FEFEFE"/>
                <w:w w:val="93"/>
              </w:rPr>
              <w:t>Percent of Target</w:t>
            </w:r>
          </w:p>
        </w:tc>
      </w:tr>
      <w:tr>
        <w:trPr>
          <w:trHeight w:val="135"/>
        </w:trPr>
        <w:tc>
          <w:tcPr>
            <w:tcW w:w="5060" w:type="dxa"/>
            <w:vAlign w:val="bottom"/>
            <w:shd w:val="clear" w:color="auto" w:fill="000000"/>
          </w:tcPr>
          <w:p>
            <w:pPr>
              <w:spacing w:after="0"/>
              <w:rPr>
                <w:sz w:val="11"/>
                <w:szCs w:val="11"/>
                <w:color w:val="auto"/>
              </w:rPr>
            </w:pPr>
          </w:p>
        </w:tc>
        <w:tc>
          <w:tcPr>
            <w:tcW w:w="1840" w:type="dxa"/>
            <w:vAlign w:val="bottom"/>
            <w:gridSpan w:val="2"/>
            <w:shd w:val="clear" w:color="auto" w:fill="000000"/>
          </w:tcPr>
          <w:p>
            <w:pPr>
              <w:jc w:val="center"/>
              <w:ind w:right="30"/>
              <w:spacing w:after="0" w:line="135" w:lineRule="exact"/>
              <w:rPr>
                <w:sz w:val="20"/>
                <w:szCs w:val="20"/>
                <w:color w:val="auto"/>
              </w:rPr>
            </w:pPr>
            <w:r>
              <w:rPr>
                <w:rFonts w:ascii="Arial" w:cs="Arial" w:eastAsia="Arial" w:hAnsi="Arial"/>
                <w:sz w:val="13"/>
                <w:szCs w:val="13"/>
                <w:b w:val="1"/>
                <w:bCs w:val="1"/>
                <w:color w:val="FEFEFE"/>
                <w:w w:val="95"/>
              </w:rPr>
              <w:t>Incentive</w:t>
            </w:r>
          </w:p>
        </w:tc>
        <w:tc>
          <w:tcPr>
            <w:tcW w:w="1240" w:type="dxa"/>
            <w:vAlign w:val="bottom"/>
            <w:shd w:val="clear" w:color="auto" w:fill="000000"/>
          </w:tcPr>
          <w:p>
            <w:pPr>
              <w:jc w:val="center"/>
              <w:ind w:right="152"/>
              <w:spacing w:after="0" w:line="135" w:lineRule="exact"/>
              <w:rPr>
                <w:sz w:val="20"/>
                <w:szCs w:val="20"/>
                <w:color w:val="auto"/>
              </w:rPr>
            </w:pPr>
            <w:r>
              <w:rPr>
                <w:rFonts w:ascii="Arial" w:cs="Arial" w:eastAsia="Arial" w:hAnsi="Arial"/>
                <w:sz w:val="13"/>
                <w:szCs w:val="13"/>
                <w:b w:val="1"/>
                <w:bCs w:val="1"/>
                <w:color w:val="FEFEFE"/>
                <w:w w:val="98"/>
              </w:rPr>
              <w:t>Annual Incentive</w:t>
            </w:r>
          </w:p>
        </w:tc>
        <w:tc>
          <w:tcPr>
            <w:tcW w:w="1240" w:type="dxa"/>
            <w:vAlign w:val="bottom"/>
            <w:shd w:val="clear" w:color="auto" w:fill="000000"/>
          </w:tcPr>
          <w:p>
            <w:pPr>
              <w:spacing w:after="0"/>
              <w:rPr>
                <w:sz w:val="11"/>
                <w:szCs w:val="11"/>
                <w:color w:val="auto"/>
              </w:rPr>
            </w:pPr>
          </w:p>
        </w:tc>
      </w:tr>
      <w:tr>
        <w:trPr>
          <w:trHeight w:val="168"/>
        </w:trPr>
        <w:tc>
          <w:tcPr>
            <w:tcW w:w="5060" w:type="dxa"/>
            <w:vAlign w:val="bottom"/>
            <w:shd w:val="clear" w:color="auto" w:fill="000000"/>
          </w:tcPr>
          <w:p>
            <w:pPr>
              <w:spacing w:after="0"/>
              <w:rPr>
                <w:sz w:val="14"/>
                <w:szCs w:val="14"/>
                <w:color w:val="auto"/>
              </w:rPr>
            </w:pPr>
          </w:p>
        </w:tc>
        <w:tc>
          <w:tcPr>
            <w:tcW w:w="1840" w:type="dxa"/>
            <w:vAlign w:val="bottom"/>
            <w:gridSpan w:val="2"/>
            <w:shd w:val="clear" w:color="auto" w:fill="000000"/>
          </w:tcPr>
          <w:p>
            <w:pPr>
              <w:jc w:val="center"/>
              <w:ind w:right="50"/>
              <w:spacing w:after="0"/>
              <w:rPr>
                <w:sz w:val="20"/>
                <w:szCs w:val="20"/>
                <w:color w:val="auto"/>
              </w:rPr>
            </w:pPr>
            <w:r>
              <w:rPr>
                <w:rFonts w:ascii="Arial" w:cs="Arial" w:eastAsia="Arial" w:hAnsi="Arial"/>
                <w:sz w:val="13"/>
                <w:szCs w:val="13"/>
                <w:b w:val="1"/>
                <w:bCs w:val="1"/>
                <w:color w:val="FEFEFE"/>
                <w:w w:val="96"/>
              </w:rPr>
              <w:t>Opportunity</w:t>
            </w:r>
          </w:p>
        </w:tc>
        <w:tc>
          <w:tcPr>
            <w:tcW w:w="1240" w:type="dxa"/>
            <w:vAlign w:val="bottom"/>
            <w:shd w:val="clear" w:color="auto" w:fill="000000"/>
          </w:tcPr>
          <w:p>
            <w:pPr>
              <w:spacing w:after="0"/>
              <w:rPr>
                <w:sz w:val="14"/>
                <w:szCs w:val="14"/>
                <w:color w:val="auto"/>
              </w:rPr>
            </w:pPr>
          </w:p>
        </w:tc>
        <w:tc>
          <w:tcPr>
            <w:tcW w:w="1240" w:type="dxa"/>
            <w:vAlign w:val="bottom"/>
            <w:shd w:val="clear" w:color="auto" w:fill="000000"/>
          </w:tcPr>
          <w:p>
            <w:pPr>
              <w:spacing w:after="0"/>
              <w:rPr>
                <w:sz w:val="14"/>
                <w:szCs w:val="14"/>
                <w:color w:val="auto"/>
              </w:rPr>
            </w:pPr>
          </w:p>
        </w:tc>
      </w:tr>
      <w:tr>
        <w:trPr>
          <w:trHeight w:val="131"/>
        </w:trPr>
        <w:tc>
          <w:tcPr>
            <w:tcW w:w="5060" w:type="dxa"/>
            <w:vAlign w:val="bottom"/>
            <w:shd w:val="clear" w:color="auto" w:fill="000000"/>
          </w:tcPr>
          <w:p>
            <w:pPr>
              <w:spacing w:after="0"/>
              <w:rPr>
                <w:sz w:val="11"/>
                <w:szCs w:val="11"/>
                <w:color w:val="auto"/>
              </w:rPr>
            </w:pPr>
          </w:p>
        </w:tc>
        <w:tc>
          <w:tcPr>
            <w:tcW w:w="900" w:type="dxa"/>
            <w:vAlign w:val="bottom"/>
            <w:shd w:val="clear" w:color="auto" w:fill="000000"/>
          </w:tcPr>
          <w:p>
            <w:pPr>
              <w:spacing w:after="0"/>
              <w:rPr>
                <w:sz w:val="11"/>
                <w:szCs w:val="11"/>
                <w:color w:val="auto"/>
              </w:rPr>
            </w:pPr>
          </w:p>
        </w:tc>
        <w:tc>
          <w:tcPr>
            <w:tcW w:w="940" w:type="dxa"/>
            <w:vAlign w:val="bottom"/>
            <w:shd w:val="clear" w:color="auto" w:fill="000000"/>
          </w:tcPr>
          <w:p>
            <w:pPr>
              <w:spacing w:after="0"/>
              <w:rPr>
                <w:sz w:val="11"/>
                <w:szCs w:val="11"/>
                <w:color w:val="auto"/>
              </w:rPr>
            </w:pPr>
          </w:p>
        </w:tc>
        <w:tc>
          <w:tcPr>
            <w:tcW w:w="1240" w:type="dxa"/>
            <w:vAlign w:val="bottom"/>
            <w:shd w:val="clear" w:color="auto" w:fill="000000"/>
          </w:tcPr>
          <w:p>
            <w:pPr>
              <w:spacing w:after="0"/>
              <w:rPr>
                <w:sz w:val="11"/>
                <w:szCs w:val="11"/>
                <w:color w:val="auto"/>
              </w:rPr>
            </w:pPr>
          </w:p>
        </w:tc>
        <w:tc>
          <w:tcPr>
            <w:tcW w:w="1240" w:type="dxa"/>
            <w:vAlign w:val="bottom"/>
            <w:shd w:val="clear" w:color="auto" w:fill="000000"/>
          </w:tcPr>
          <w:p>
            <w:pPr>
              <w:spacing w:after="0"/>
              <w:rPr>
                <w:sz w:val="11"/>
                <w:szCs w:val="11"/>
                <w:color w:val="auto"/>
              </w:rPr>
            </w:pPr>
          </w:p>
        </w:tc>
      </w:tr>
      <w:tr>
        <w:trPr>
          <w:trHeight w:val="330"/>
        </w:trPr>
        <w:tc>
          <w:tcPr>
            <w:tcW w:w="5060" w:type="dxa"/>
            <w:vAlign w:val="bottom"/>
            <w:shd w:val="clear" w:color="auto" w:fill="000000"/>
          </w:tcPr>
          <w:p>
            <w:pPr>
              <w:spacing w:after="0"/>
              <w:rPr>
                <w:sz w:val="24"/>
                <w:szCs w:val="24"/>
                <w:color w:val="auto"/>
              </w:rPr>
            </w:pPr>
          </w:p>
        </w:tc>
        <w:tc>
          <w:tcPr>
            <w:tcW w:w="900" w:type="dxa"/>
            <w:vAlign w:val="bottom"/>
            <w:shd w:val="clear" w:color="auto" w:fill="000000"/>
          </w:tcPr>
          <w:p>
            <w:pPr>
              <w:jc w:val="right"/>
              <w:ind w:right="53"/>
              <w:spacing w:after="0"/>
              <w:rPr>
                <w:sz w:val="20"/>
                <w:szCs w:val="20"/>
                <w:color w:val="auto"/>
              </w:rPr>
            </w:pPr>
            <w:r>
              <w:rPr>
                <w:rFonts w:ascii="Arial" w:cs="Arial" w:eastAsia="Arial" w:hAnsi="Arial"/>
                <w:sz w:val="13"/>
                <w:szCs w:val="13"/>
                <w:b w:val="1"/>
                <w:bCs w:val="1"/>
                <w:color w:val="FEFEFE"/>
              </w:rPr>
              <w:t>% of Salary</w:t>
            </w:r>
          </w:p>
        </w:tc>
        <w:tc>
          <w:tcPr>
            <w:tcW w:w="940" w:type="dxa"/>
            <w:vAlign w:val="bottom"/>
            <w:shd w:val="clear" w:color="auto" w:fill="000000"/>
          </w:tcPr>
          <w:p>
            <w:pPr>
              <w:jc w:val="center"/>
              <w:ind w:right="30"/>
              <w:spacing w:after="0"/>
              <w:rPr>
                <w:sz w:val="20"/>
                <w:szCs w:val="20"/>
                <w:color w:val="auto"/>
              </w:rPr>
            </w:pPr>
            <w:r>
              <w:rPr>
                <w:rFonts w:ascii="Arial" w:cs="Arial" w:eastAsia="Arial" w:hAnsi="Arial"/>
                <w:sz w:val="13"/>
                <w:szCs w:val="13"/>
                <w:b w:val="1"/>
                <w:bCs w:val="1"/>
                <w:color w:val="FEFEFE"/>
                <w:w w:val="88"/>
              </w:rPr>
              <w:t>$ Value</w:t>
            </w:r>
            <w:r>
              <w:rPr>
                <w:rFonts w:ascii="Arial" w:cs="Arial" w:eastAsia="Arial" w:hAnsi="Arial"/>
                <w:sz w:val="16"/>
                <w:szCs w:val="16"/>
                <w:b w:val="1"/>
                <w:bCs w:val="1"/>
                <w:color w:val="FEFEFE"/>
                <w:w w:val="88"/>
                <w:vertAlign w:val="superscript"/>
              </w:rPr>
              <w:t>(1)</w:t>
            </w:r>
          </w:p>
        </w:tc>
        <w:tc>
          <w:tcPr>
            <w:tcW w:w="1240" w:type="dxa"/>
            <w:vAlign w:val="bottom"/>
            <w:shd w:val="clear" w:color="auto" w:fill="000000"/>
          </w:tcPr>
          <w:p>
            <w:pPr>
              <w:jc w:val="center"/>
              <w:ind w:right="152"/>
              <w:spacing w:after="0"/>
              <w:rPr>
                <w:sz w:val="20"/>
                <w:szCs w:val="20"/>
                <w:color w:val="auto"/>
              </w:rPr>
            </w:pPr>
            <w:r>
              <w:rPr>
                <w:rFonts w:ascii="Arial" w:cs="Arial" w:eastAsia="Arial" w:hAnsi="Arial"/>
                <w:sz w:val="13"/>
                <w:szCs w:val="13"/>
                <w:b w:val="1"/>
                <w:bCs w:val="1"/>
                <w:color w:val="FEFEFE"/>
                <w:w w:val="92"/>
              </w:rPr>
              <w:t>$ Value</w:t>
            </w:r>
          </w:p>
        </w:tc>
        <w:tc>
          <w:tcPr>
            <w:tcW w:w="1240" w:type="dxa"/>
            <w:vAlign w:val="bottom"/>
            <w:shd w:val="clear" w:color="auto" w:fill="000000"/>
          </w:tcPr>
          <w:p>
            <w:pPr>
              <w:spacing w:after="0"/>
              <w:rPr>
                <w:sz w:val="24"/>
                <w:szCs w:val="24"/>
                <w:color w:val="auto"/>
              </w:rPr>
            </w:pPr>
          </w:p>
        </w:tc>
      </w:tr>
      <w:tr>
        <w:trPr>
          <w:trHeight w:val="96"/>
        </w:trPr>
        <w:tc>
          <w:tcPr>
            <w:tcW w:w="5060" w:type="dxa"/>
            <w:vAlign w:val="bottom"/>
            <w:shd w:val="clear" w:color="auto" w:fill="000000"/>
          </w:tcPr>
          <w:p>
            <w:pPr>
              <w:spacing w:after="0"/>
              <w:rPr>
                <w:sz w:val="8"/>
                <w:szCs w:val="8"/>
                <w:color w:val="auto"/>
              </w:rPr>
            </w:pPr>
          </w:p>
        </w:tc>
        <w:tc>
          <w:tcPr>
            <w:tcW w:w="900" w:type="dxa"/>
            <w:vAlign w:val="bottom"/>
            <w:shd w:val="clear" w:color="auto" w:fill="000000"/>
          </w:tcPr>
          <w:p>
            <w:pPr>
              <w:spacing w:after="0"/>
              <w:rPr>
                <w:sz w:val="8"/>
                <w:szCs w:val="8"/>
                <w:color w:val="auto"/>
              </w:rPr>
            </w:pPr>
          </w:p>
        </w:tc>
        <w:tc>
          <w:tcPr>
            <w:tcW w:w="940" w:type="dxa"/>
            <w:vAlign w:val="bottom"/>
            <w:shd w:val="clear" w:color="auto" w:fill="000000"/>
          </w:tcPr>
          <w:p>
            <w:pPr>
              <w:spacing w:after="0"/>
              <w:rPr>
                <w:sz w:val="8"/>
                <w:szCs w:val="8"/>
                <w:color w:val="auto"/>
              </w:rPr>
            </w:pPr>
          </w:p>
        </w:tc>
        <w:tc>
          <w:tcPr>
            <w:tcW w:w="1240" w:type="dxa"/>
            <w:vAlign w:val="bottom"/>
            <w:shd w:val="clear" w:color="auto" w:fill="000000"/>
          </w:tcPr>
          <w:p>
            <w:pPr>
              <w:spacing w:after="0"/>
              <w:rPr>
                <w:sz w:val="8"/>
                <w:szCs w:val="8"/>
                <w:color w:val="auto"/>
              </w:rPr>
            </w:pPr>
          </w:p>
        </w:tc>
        <w:tc>
          <w:tcPr>
            <w:tcW w:w="1240" w:type="dxa"/>
            <w:vAlign w:val="bottom"/>
            <w:shd w:val="clear" w:color="auto" w:fill="000000"/>
          </w:tcPr>
          <w:p>
            <w:pPr>
              <w:spacing w:after="0"/>
              <w:rPr>
                <w:sz w:val="8"/>
                <w:szCs w:val="8"/>
                <w:color w:val="auto"/>
              </w:rPr>
            </w:pPr>
          </w:p>
        </w:tc>
      </w:tr>
      <w:tr>
        <w:trPr>
          <w:trHeight w:val="325"/>
        </w:trPr>
        <w:tc>
          <w:tcPr>
            <w:tcW w:w="5060" w:type="dxa"/>
            <w:vAlign w:val="bottom"/>
          </w:tcPr>
          <w:p>
            <w:pPr>
              <w:ind w:left="140"/>
              <w:spacing w:after="0"/>
              <w:rPr>
                <w:sz w:val="20"/>
                <w:szCs w:val="20"/>
                <w:color w:val="auto"/>
              </w:rPr>
            </w:pPr>
            <w:r>
              <w:rPr>
                <w:rFonts w:ascii="Arial" w:cs="Arial" w:eastAsia="Arial" w:hAnsi="Arial"/>
                <w:sz w:val="14"/>
                <w:szCs w:val="14"/>
                <w:b w:val="1"/>
                <w:bCs w:val="1"/>
                <w:color w:val="auto"/>
              </w:rPr>
              <w:t>P. Rawlinson</w:t>
            </w:r>
          </w:p>
        </w:tc>
        <w:tc>
          <w:tcPr>
            <w:tcW w:w="900" w:type="dxa"/>
            <w:vAlign w:val="bottom"/>
          </w:tcPr>
          <w:p>
            <w:pPr>
              <w:jc w:val="right"/>
              <w:ind w:right="173"/>
              <w:spacing w:after="0"/>
              <w:rPr>
                <w:sz w:val="20"/>
                <w:szCs w:val="20"/>
                <w:color w:val="auto"/>
              </w:rPr>
            </w:pPr>
            <w:r>
              <w:rPr>
                <w:rFonts w:ascii="Arial" w:cs="Arial" w:eastAsia="Arial" w:hAnsi="Arial"/>
                <w:sz w:val="14"/>
                <w:szCs w:val="14"/>
                <w:color w:val="auto"/>
              </w:rPr>
              <w:t>50%</w:t>
            </w:r>
          </w:p>
        </w:tc>
        <w:tc>
          <w:tcPr>
            <w:tcW w:w="940" w:type="dxa"/>
            <w:vAlign w:val="bottom"/>
          </w:tcPr>
          <w:p>
            <w:pPr>
              <w:jc w:val="center"/>
              <w:ind w:right="10"/>
              <w:spacing w:after="0"/>
              <w:rPr>
                <w:sz w:val="20"/>
                <w:szCs w:val="20"/>
                <w:color w:val="auto"/>
              </w:rPr>
            </w:pPr>
            <w:r>
              <w:rPr>
                <w:rFonts w:ascii="Arial" w:cs="Arial" w:eastAsia="Arial" w:hAnsi="Arial"/>
                <w:sz w:val="14"/>
                <w:szCs w:val="14"/>
                <w:color w:val="auto"/>
              </w:rPr>
              <w:t>$287,500</w:t>
            </w:r>
          </w:p>
        </w:tc>
        <w:tc>
          <w:tcPr>
            <w:tcW w:w="1240" w:type="dxa"/>
            <w:vAlign w:val="bottom"/>
          </w:tcPr>
          <w:p>
            <w:pPr>
              <w:jc w:val="center"/>
              <w:ind w:right="152"/>
              <w:spacing w:after="0"/>
              <w:rPr>
                <w:sz w:val="20"/>
                <w:szCs w:val="20"/>
                <w:color w:val="auto"/>
              </w:rPr>
            </w:pPr>
            <w:r>
              <w:rPr>
                <w:rFonts w:ascii="Arial" w:cs="Arial" w:eastAsia="Arial" w:hAnsi="Arial"/>
                <w:sz w:val="14"/>
                <w:szCs w:val="14"/>
                <w:color w:val="auto"/>
              </w:rPr>
              <w:t>$ 400,000</w:t>
            </w:r>
          </w:p>
        </w:tc>
        <w:tc>
          <w:tcPr>
            <w:tcW w:w="1240" w:type="dxa"/>
            <w:vAlign w:val="bottom"/>
          </w:tcPr>
          <w:p>
            <w:pPr>
              <w:jc w:val="right"/>
              <w:ind w:right="410"/>
              <w:spacing w:after="0"/>
              <w:rPr>
                <w:sz w:val="20"/>
                <w:szCs w:val="20"/>
                <w:color w:val="auto"/>
              </w:rPr>
            </w:pPr>
            <w:r>
              <w:rPr>
                <w:rFonts w:ascii="Arial" w:cs="Arial" w:eastAsia="Arial" w:hAnsi="Arial"/>
                <w:sz w:val="14"/>
                <w:szCs w:val="14"/>
                <w:color w:val="auto"/>
              </w:rPr>
              <w:t>139%</w:t>
            </w:r>
          </w:p>
        </w:tc>
      </w:tr>
      <w:tr>
        <w:trPr>
          <w:trHeight w:val="93"/>
        </w:trPr>
        <w:tc>
          <w:tcPr>
            <w:tcW w:w="50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r>
      <w:tr>
        <w:trPr>
          <w:trHeight w:val="305"/>
        </w:trPr>
        <w:tc>
          <w:tcPr>
            <w:tcW w:w="5060" w:type="dxa"/>
            <w:vAlign w:val="bottom"/>
            <w:shd w:val="clear" w:color="auto" w:fill="F7F7F7"/>
          </w:tcPr>
          <w:p>
            <w:pPr>
              <w:ind w:left="140"/>
              <w:spacing w:after="0"/>
              <w:rPr>
                <w:sz w:val="20"/>
                <w:szCs w:val="20"/>
                <w:color w:val="auto"/>
              </w:rPr>
            </w:pPr>
            <w:r>
              <w:rPr>
                <w:rFonts w:ascii="Arial" w:cs="Arial" w:eastAsia="Arial" w:hAnsi="Arial"/>
                <w:sz w:val="14"/>
                <w:szCs w:val="14"/>
                <w:b w:val="1"/>
                <w:bCs w:val="1"/>
                <w:color w:val="auto"/>
              </w:rPr>
              <w:t>S. House</w:t>
            </w:r>
          </w:p>
        </w:tc>
        <w:tc>
          <w:tcPr>
            <w:tcW w:w="900" w:type="dxa"/>
            <w:vAlign w:val="bottom"/>
            <w:shd w:val="clear" w:color="auto" w:fill="F7F7F7"/>
          </w:tcPr>
          <w:p>
            <w:pPr>
              <w:jc w:val="right"/>
              <w:ind w:right="173"/>
              <w:spacing w:after="0"/>
              <w:rPr>
                <w:sz w:val="20"/>
                <w:szCs w:val="20"/>
                <w:color w:val="auto"/>
              </w:rPr>
            </w:pPr>
            <w:r>
              <w:rPr>
                <w:rFonts w:ascii="Arial" w:cs="Arial" w:eastAsia="Arial" w:hAnsi="Arial"/>
                <w:sz w:val="14"/>
                <w:szCs w:val="14"/>
                <w:color w:val="auto"/>
              </w:rPr>
              <w:t>50%</w:t>
            </w:r>
          </w:p>
        </w:tc>
        <w:tc>
          <w:tcPr>
            <w:tcW w:w="940" w:type="dxa"/>
            <w:vAlign w:val="bottom"/>
            <w:shd w:val="clear" w:color="auto" w:fill="F7F7F7"/>
          </w:tcPr>
          <w:p>
            <w:pPr>
              <w:jc w:val="center"/>
              <w:ind w:right="10"/>
              <w:spacing w:after="0"/>
              <w:rPr>
                <w:sz w:val="20"/>
                <w:szCs w:val="20"/>
                <w:color w:val="auto"/>
              </w:rPr>
            </w:pPr>
            <w:r>
              <w:rPr>
                <w:rFonts w:ascii="Arial" w:cs="Arial" w:eastAsia="Arial" w:hAnsi="Arial"/>
                <w:sz w:val="14"/>
                <w:szCs w:val="14"/>
                <w:color w:val="auto"/>
              </w:rPr>
              <w:t>$166,000</w:t>
            </w:r>
          </w:p>
        </w:tc>
        <w:tc>
          <w:tcPr>
            <w:tcW w:w="1240" w:type="dxa"/>
            <w:vAlign w:val="bottom"/>
            <w:shd w:val="clear" w:color="auto" w:fill="F7F7F7"/>
          </w:tcPr>
          <w:p>
            <w:pPr>
              <w:jc w:val="center"/>
              <w:ind w:right="152"/>
              <w:spacing w:after="0"/>
              <w:rPr>
                <w:sz w:val="20"/>
                <w:szCs w:val="20"/>
                <w:color w:val="auto"/>
              </w:rPr>
            </w:pPr>
            <w:r>
              <w:rPr>
                <w:rFonts w:ascii="Arial" w:cs="Arial" w:eastAsia="Arial" w:hAnsi="Arial"/>
                <w:sz w:val="14"/>
                <w:szCs w:val="14"/>
                <w:color w:val="auto"/>
              </w:rPr>
              <w:t>$ 166,000</w:t>
            </w:r>
          </w:p>
        </w:tc>
        <w:tc>
          <w:tcPr>
            <w:tcW w:w="1240" w:type="dxa"/>
            <w:vAlign w:val="bottom"/>
            <w:shd w:val="clear" w:color="auto" w:fill="F7F7F7"/>
          </w:tcPr>
          <w:p>
            <w:pPr>
              <w:jc w:val="right"/>
              <w:ind w:right="410"/>
              <w:spacing w:after="0"/>
              <w:rPr>
                <w:sz w:val="20"/>
                <w:szCs w:val="20"/>
                <w:color w:val="auto"/>
              </w:rPr>
            </w:pPr>
            <w:r>
              <w:rPr>
                <w:rFonts w:ascii="Arial" w:cs="Arial" w:eastAsia="Arial" w:hAnsi="Arial"/>
                <w:sz w:val="14"/>
                <w:szCs w:val="14"/>
                <w:color w:val="auto"/>
              </w:rPr>
              <w:t>100%</w:t>
            </w:r>
          </w:p>
        </w:tc>
      </w:tr>
      <w:tr>
        <w:trPr>
          <w:trHeight w:val="93"/>
        </w:trPr>
        <w:tc>
          <w:tcPr>
            <w:tcW w:w="5060" w:type="dxa"/>
            <w:vAlign w:val="bottom"/>
            <w:tcBorders>
              <w:bottom w:val="single" w:sz="8" w:color="auto"/>
            </w:tcBorders>
            <w:shd w:val="clear" w:color="auto" w:fill="F7F7F7"/>
          </w:tcPr>
          <w:p>
            <w:pPr>
              <w:spacing w:after="0"/>
              <w:rPr>
                <w:sz w:val="8"/>
                <w:szCs w:val="8"/>
                <w:color w:val="auto"/>
              </w:rPr>
            </w:pPr>
          </w:p>
        </w:tc>
        <w:tc>
          <w:tcPr>
            <w:tcW w:w="900" w:type="dxa"/>
            <w:vAlign w:val="bottom"/>
            <w:tcBorders>
              <w:bottom w:val="single" w:sz="8" w:color="auto"/>
            </w:tcBorders>
            <w:shd w:val="clear" w:color="auto" w:fill="F7F7F7"/>
          </w:tcPr>
          <w:p>
            <w:pPr>
              <w:spacing w:after="0"/>
              <w:rPr>
                <w:sz w:val="8"/>
                <w:szCs w:val="8"/>
                <w:color w:val="auto"/>
              </w:rPr>
            </w:pPr>
          </w:p>
        </w:tc>
        <w:tc>
          <w:tcPr>
            <w:tcW w:w="940" w:type="dxa"/>
            <w:vAlign w:val="bottom"/>
            <w:tcBorders>
              <w:bottom w:val="single" w:sz="8" w:color="auto"/>
            </w:tcBorders>
            <w:shd w:val="clear" w:color="auto" w:fill="F7F7F7"/>
          </w:tcPr>
          <w:p>
            <w:pPr>
              <w:spacing w:after="0"/>
              <w:rPr>
                <w:sz w:val="8"/>
                <w:szCs w:val="8"/>
                <w:color w:val="auto"/>
              </w:rPr>
            </w:pPr>
          </w:p>
        </w:tc>
        <w:tc>
          <w:tcPr>
            <w:tcW w:w="1240" w:type="dxa"/>
            <w:vAlign w:val="bottom"/>
            <w:tcBorders>
              <w:bottom w:val="single" w:sz="8" w:color="auto"/>
            </w:tcBorders>
            <w:shd w:val="clear" w:color="auto" w:fill="F7F7F7"/>
          </w:tcPr>
          <w:p>
            <w:pPr>
              <w:spacing w:after="0"/>
              <w:rPr>
                <w:sz w:val="8"/>
                <w:szCs w:val="8"/>
                <w:color w:val="auto"/>
              </w:rPr>
            </w:pPr>
          </w:p>
        </w:tc>
        <w:tc>
          <w:tcPr>
            <w:tcW w:w="1240" w:type="dxa"/>
            <w:vAlign w:val="bottom"/>
            <w:tcBorders>
              <w:bottom w:val="single" w:sz="8" w:color="auto"/>
            </w:tcBorders>
            <w:shd w:val="clear" w:color="auto" w:fill="F7F7F7"/>
          </w:tcPr>
          <w:p>
            <w:pPr>
              <w:spacing w:after="0"/>
              <w:rPr>
                <w:sz w:val="8"/>
                <w:szCs w:val="8"/>
                <w:color w:val="auto"/>
              </w:rPr>
            </w:pPr>
          </w:p>
        </w:tc>
      </w:tr>
      <w:tr>
        <w:trPr>
          <w:trHeight w:val="305"/>
        </w:trPr>
        <w:tc>
          <w:tcPr>
            <w:tcW w:w="5060" w:type="dxa"/>
            <w:vAlign w:val="bottom"/>
          </w:tcPr>
          <w:p>
            <w:pPr>
              <w:ind w:left="140"/>
              <w:spacing w:after="0"/>
              <w:rPr>
                <w:sz w:val="20"/>
                <w:szCs w:val="20"/>
                <w:color w:val="auto"/>
              </w:rPr>
            </w:pPr>
            <w:r>
              <w:rPr>
                <w:rFonts w:ascii="Arial" w:cs="Arial" w:eastAsia="Arial" w:hAnsi="Arial"/>
                <w:sz w:val="14"/>
                <w:szCs w:val="14"/>
                <w:b w:val="1"/>
                <w:bCs w:val="1"/>
                <w:color w:val="auto"/>
              </w:rPr>
              <w:t>E. Bach</w:t>
            </w:r>
          </w:p>
        </w:tc>
        <w:tc>
          <w:tcPr>
            <w:tcW w:w="900" w:type="dxa"/>
            <w:vAlign w:val="bottom"/>
          </w:tcPr>
          <w:p>
            <w:pPr>
              <w:jc w:val="right"/>
              <w:ind w:right="173"/>
              <w:spacing w:after="0"/>
              <w:rPr>
                <w:sz w:val="20"/>
                <w:szCs w:val="20"/>
                <w:color w:val="auto"/>
              </w:rPr>
            </w:pPr>
            <w:r>
              <w:rPr>
                <w:rFonts w:ascii="Arial" w:cs="Arial" w:eastAsia="Arial" w:hAnsi="Arial"/>
                <w:sz w:val="14"/>
                <w:szCs w:val="14"/>
                <w:color w:val="auto"/>
              </w:rPr>
              <w:t>50%</w:t>
            </w:r>
          </w:p>
        </w:tc>
        <w:tc>
          <w:tcPr>
            <w:tcW w:w="940" w:type="dxa"/>
            <w:vAlign w:val="bottom"/>
          </w:tcPr>
          <w:p>
            <w:pPr>
              <w:jc w:val="center"/>
              <w:ind w:right="10"/>
              <w:spacing w:after="0"/>
              <w:rPr>
                <w:sz w:val="20"/>
                <w:szCs w:val="20"/>
                <w:color w:val="auto"/>
              </w:rPr>
            </w:pPr>
            <w:r>
              <w:rPr>
                <w:rFonts w:ascii="Arial" w:cs="Arial" w:eastAsia="Arial" w:hAnsi="Arial"/>
                <w:sz w:val="14"/>
                <w:szCs w:val="14"/>
                <w:color w:val="auto"/>
              </w:rPr>
              <w:t>$225,000</w:t>
            </w:r>
          </w:p>
        </w:tc>
        <w:tc>
          <w:tcPr>
            <w:tcW w:w="1240" w:type="dxa"/>
            <w:vAlign w:val="bottom"/>
          </w:tcPr>
          <w:p>
            <w:pPr>
              <w:jc w:val="center"/>
              <w:ind w:right="152"/>
              <w:spacing w:after="0"/>
              <w:rPr>
                <w:sz w:val="20"/>
                <w:szCs w:val="20"/>
                <w:color w:val="auto"/>
              </w:rPr>
            </w:pPr>
            <w:r>
              <w:rPr>
                <w:rFonts w:ascii="Arial" w:cs="Arial" w:eastAsia="Arial" w:hAnsi="Arial"/>
                <w:sz w:val="14"/>
                <w:szCs w:val="14"/>
                <w:color w:val="auto"/>
              </w:rPr>
              <w:t>$ 282,000</w:t>
            </w:r>
          </w:p>
        </w:tc>
        <w:tc>
          <w:tcPr>
            <w:tcW w:w="1240" w:type="dxa"/>
            <w:vAlign w:val="bottom"/>
          </w:tcPr>
          <w:p>
            <w:pPr>
              <w:jc w:val="right"/>
              <w:ind w:right="410"/>
              <w:spacing w:after="0"/>
              <w:rPr>
                <w:sz w:val="20"/>
                <w:szCs w:val="20"/>
                <w:color w:val="auto"/>
              </w:rPr>
            </w:pPr>
            <w:r>
              <w:rPr>
                <w:rFonts w:ascii="Arial" w:cs="Arial" w:eastAsia="Arial" w:hAnsi="Arial"/>
                <w:sz w:val="14"/>
                <w:szCs w:val="14"/>
                <w:color w:val="auto"/>
              </w:rPr>
              <w:t>125%</w:t>
            </w:r>
          </w:p>
        </w:tc>
      </w:tr>
      <w:tr>
        <w:trPr>
          <w:trHeight w:val="93"/>
        </w:trPr>
        <w:tc>
          <w:tcPr>
            <w:tcW w:w="50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r>
      <w:tr>
        <w:trPr>
          <w:trHeight w:val="305"/>
        </w:trPr>
        <w:tc>
          <w:tcPr>
            <w:tcW w:w="5060" w:type="dxa"/>
            <w:vAlign w:val="bottom"/>
            <w:shd w:val="clear" w:color="auto" w:fill="F7F7F7"/>
          </w:tcPr>
          <w:p>
            <w:pPr>
              <w:ind w:left="140"/>
              <w:spacing w:after="0"/>
              <w:rPr>
                <w:sz w:val="20"/>
                <w:szCs w:val="20"/>
                <w:color w:val="auto"/>
              </w:rPr>
            </w:pPr>
            <w:r>
              <w:rPr>
                <w:rFonts w:ascii="Arial" w:cs="Arial" w:eastAsia="Arial" w:hAnsi="Arial"/>
                <w:sz w:val="14"/>
                <w:szCs w:val="14"/>
                <w:b w:val="1"/>
                <w:bCs w:val="1"/>
                <w:color w:val="auto"/>
              </w:rPr>
              <w:t>M. Bell</w:t>
            </w:r>
          </w:p>
        </w:tc>
        <w:tc>
          <w:tcPr>
            <w:tcW w:w="900" w:type="dxa"/>
            <w:vAlign w:val="bottom"/>
            <w:shd w:val="clear" w:color="auto" w:fill="F7F7F7"/>
          </w:tcPr>
          <w:p>
            <w:pPr>
              <w:jc w:val="right"/>
              <w:ind w:right="173"/>
              <w:spacing w:after="0"/>
              <w:rPr>
                <w:sz w:val="20"/>
                <w:szCs w:val="20"/>
                <w:color w:val="auto"/>
              </w:rPr>
            </w:pPr>
            <w:r>
              <w:rPr>
                <w:rFonts w:ascii="Arial" w:cs="Arial" w:eastAsia="Arial" w:hAnsi="Arial"/>
                <w:sz w:val="14"/>
                <w:szCs w:val="14"/>
                <w:color w:val="auto"/>
              </w:rPr>
              <w:t>50%</w:t>
            </w:r>
          </w:p>
        </w:tc>
        <w:tc>
          <w:tcPr>
            <w:tcW w:w="940" w:type="dxa"/>
            <w:vAlign w:val="bottom"/>
            <w:shd w:val="clear" w:color="auto" w:fill="F7F7F7"/>
          </w:tcPr>
          <w:p>
            <w:pPr>
              <w:jc w:val="center"/>
              <w:ind w:right="10"/>
              <w:spacing w:after="0"/>
              <w:rPr>
                <w:sz w:val="20"/>
                <w:szCs w:val="20"/>
                <w:color w:val="auto"/>
              </w:rPr>
            </w:pPr>
            <w:r>
              <w:rPr>
                <w:rFonts w:ascii="Arial" w:cs="Arial" w:eastAsia="Arial" w:hAnsi="Arial"/>
                <w:sz w:val="14"/>
                <w:szCs w:val="14"/>
                <w:color w:val="auto"/>
              </w:rPr>
              <w:t>$213,699</w:t>
            </w:r>
          </w:p>
        </w:tc>
        <w:tc>
          <w:tcPr>
            <w:tcW w:w="1240" w:type="dxa"/>
            <w:vAlign w:val="bottom"/>
            <w:shd w:val="clear" w:color="auto" w:fill="F7F7F7"/>
          </w:tcPr>
          <w:p>
            <w:pPr>
              <w:jc w:val="center"/>
              <w:ind w:right="152"/>
              <w:spacing w:after="0"/>
              <w:rPr>
                <w:sz w:val="20"/>
                <w:szCs w:val="20"/>
                <w:color w:val="auto"/>
              </w:rPr>
            </w:pPr>
            <w:r>
              <w:rPr>
                <w:rFonts w:ascii="Arial" w:cs="Arial" w:eastAsia="Arial" w:hAnsi="Arial"/>
                <w:sz w:val="14"/>
                <w:szCs w:val="14"/>
                <w:color w:val="auto"/>
              </w:rPr>
              <w:t>$ 268,000</w:t>
            </w:r>
          </w:p>
        </w:tc>
        <w:tc>
          <w:tcPr>
            <w:tcW w:w="1240" w:type="dxa"/>
            <w:vAlign w:val="bottom"/>
            <w:shd w:val="clear" w:color="auto" w:fill="F7F7F7"/>
          </w:tcPr>
          <w:p>
            <w:pPr>
              <w:jc w:val="right"/>
              <w:ind w:right="410"/>
              <w:spacing w:after="0"/>
              <w:rPr>
                <w:sz w:val="20"/>
                <w:szCs w:val="20"/>
                <w:color w:val="auto"/>
              </w:rPr>
            </w:pPr>
            <w:r>
              <w:rPr>
                <w:rFonts w:ascii="Arial" w:cs="Arial" w:eastAsia="Arial" w:hAnsi="Arial"/>
                <w:sz w:val="14"/>
                <w:szCs w:val="14"/>
                <w:color w:val="auto"/>
              </w:rPr>
              <w:t>125%</w:t>
            </w:r>
          </w:p>
        </w:tc>
      </w:tr>
      <w:tr>
        <w:trPr>
          <w:trHeight w:val="93"/>
        </w:trPr>
        <w:tc>
          <w:tcPr>
            <w:tcW w:w="5060" w:type="dxa"/>
            <w:vAlign w:val="bottom"/>
            <w:tcBorders>
              <w:bottom w:val="single" w:sz="8" w:color="auto"/>
            </w:tcBorders>
            <w:shd w:val="clear" w:color="auto" w:fill="F7F7F7"/>
          </w:tcPr>
          <w:p>
            <w:pPr>
              <w:spacing w:after="0"/>
              <w:rPr>
                <w:sz w:val="8"/>
                <w:szCs w:val="8"/>
                <w:color w:val="auto"/>
              </w:rPr>
            </w:pPr>
          </w:p>
        </w:tc>
        <w:tc>
          <w:tcPr>
            <w:tcW w:w="900" w:type="dxa"/>
            <w:vAlign w:val="bottom"/>
            <w:tcBorders>
              <w:bottom w:val="single" w:sz="8" w:color="auto"/>
            </w:tcBorders>
            <w:shd w:val="clear" w:color="auto" w:fill="F7F7F7"/>
          </w:tcPr>
          <w:p>
            <w:pPr>
              <w:spacing w:after="0"/>
              <w:rPr>
                <w:sz w:val="8"/>
                <w:szCs w:val="8"/>
                <w:color w:val="auto"/>
              </w:rPr>
            </w:pPr>
          </w:p>
        </w:tc>
        <w:tc>
          <w:tcPr>
            <w:tcW w:w="940" w:type="dxa"/>
            <w:vAlign w:val="bottom"/>
            <w:tcBorders>
              <w:bottom w:val="single" w:sz="8" w:color="auto"/>
            </w:tcBorders>
            <w:shd w:val="clear" w:color="auto" w:fill="F7F7F7"/>
          </w:tcPr>
          <w:p>
            <w:pPr>
              <w:spacing w:after="0"/>
              <w:rPr>
                <w:sz w:val="8"/>
                <w:szCs w:val="8"/>
                <w:color w:val="auto"/>
              </w:rPr>
            </w:pPr>
          </w:p>
        </w:tc>
        <w:tc>
          <w:tcPr>
            <w:tcW w:w="1240" w:type="dxa"/>
            <w:vAlign w:val="bottom"/>
            <w:tcBorders>
              <w:bottom w:val="single" w:sz="8" w:color="auto"/>
            </w:tcBorders>
            <w:shd w:val="clear" w:color="auto" w:fill="F7F7F7"/>
          </w:tcPr>
          <w:p>
            <w:pPr>
              <w:spacing w:after="0"/>
              <w:rPr>
                <w:sz w:val="8"/>
                <w:szCs w:val="8"/>
                <w:color w:val="auto"/>
              </w:rPr>
            </w:pPr>
          </w:p>
        </w:tc>
        <w:tc>
          <w:tcPr>
            <w:tcW w:w="1240" w:type="dxa"/>
            <w:vAlign w:val="bottom"/>
            <w:tcBorders>
              <w:bottom w:val="single" w:sz="8" w:color="auto"/>
            </w:tcBorders>
            <w:shd w:val="clear" w:color="auto" w:fill="F7F7F7"/>
          </w:tcPr>
          <w:p>
            <w:pPr>
              <w:spacing w:after="0"/>
              <w:rPr>
                <w:sz w:val="8"/>
                <w:szCs w:val="8"/>
                <w:color w:val="auto"/>
              </w:rPr>
            </w:pPr>
          </w:p>
        </w:tc>
      </w:tr>
    </w:tbl>
    <w:p>
      <w:pPr>
        <w:spacing w:after="0" w:line="284" w:lineRule="exact"/>
        <w:rPr>
          <w:sz w:val="20"/>
          <w:szCs w:val="20"/>
          <w:color w:val="auto"/>
        </w:rPr>
      </w:pPr>
    </w:p>
    <w:p>
      <w:pPr>
        <w:ind w:left="780" w:right="140" w:hanging="126"/>
        <w:spacing w:after="0" w:line="218" w:lineRule="auto"/>
        <w:tabs>
          <w:tab w:leader="none" w:pos="780" w:val="left"/>
        </w:tabs>
        <w:numPr>
          <w:ilvl w:val="0"/>
          <w:numId w:val="31"/>
        </w:numPr>
        <w:rPr>
          <w:rFonts w:ascii="Arial" w:cs="Arial" w:eastAsia="Arial" w:hAnsi="Arial"/>
          <w:sz w:val="15"/>
          <w:szCs w:val="15"/>
          <w:color w:val="auto"/>
          <w:vertAlign w:val="superscript"/>
        </w:rPr>
      </w:pPr>
      <w:r>
        <w:rPr>
          <w:rFonts w:ascii="Arial" w:cs="Arial" w:eastAsia="Arial" w:hAnsi="Arial"/>
          <w:sz w:val="10"/>
          <w:szCs w:val="10"/>
          <w:color w:val="auto"/>
        </w:rPr>
        <w:t>Reflects as a percentage of the applicable NEO’s annual base salary as of August 2, 2021 (</w:t>
      </w:r>
      <w:r>
        <w:rPr>
          <w:rFonts w:ascii="Arial" w:cs="Arial" w:eastAsia="Arial" w:hAnsi="Arial"/>
          <w:sz w:val="10"/>
          <w:szCs w:val="10"/>
          <w:i w:val="1"/>
          <w:iCs w:val="1"/>
          <w:color w:val="auto"/>
        </w:rPr>
        <w:t>i.e.</w:t>
      </w:r>
      <w:r>
        <w:rPr>
          <w:rFonts w:ascii="Arial" w:cs="Arial" w:eastAsia="Arial" w:hAnsi="Arial"/>
          <w:sz w:val="10"/>
          <w:szCs w:val="10"/>
          <w:color w:val="auto"/>
        </w:rPr>
        <w:t>, after base salary adjustments for Messrs. Rawlinson and Bach). In the cases of Ms. House and Mr. Bell, reflects a pro-rated salary basis given their start dates in 2021.</w:t>
      </w:r>
    </w:p>
    <w:p>
      <w:pPr>
        <w:spacing w:after="0" w:line="146" w:lineRule="exact"/>
        <w:rPr>
          <w:sz w:val="20"/>
          <w:szCs w:val="20"/>
          <w:color w:val="auto"/>
        </w:rPr>
      </w:pPr>
    </w:p>
    <w:p>
      <w:pPr>
        <w:ind w:left="660"/>
        <w:spacing w:after="0" w:line="266" w:lineRule="auto"/>
        <w:rPr>
          <w:sz w:val="20"/>
          <w:szCs w:val="20"/>
          <w:color w:val="auto"/>
        </w:rPr>
      </w:pPr>
      <w:r>
        <w:rPr>
          <w:rFonts w:ascii="Arial" w:cs="Arial" w:eastAsia="Arial" w:hAnsi="Arial"/>
          <w:sz w:val="16"/>
          <w:szCs w:val="16"/>
          <w:color w:val="auto"/>
        </w:rPr>
        <w:t>For each NEO, the amount paid above the target in the foregoing table reflects the Compensation Committee’s adjustments for individual performance. For Mr. Rawlinson, the Compensation Committee recognized his technical leadership to design, build and deliver the longest range, most aerodynamic, fastest charging luxury electric car in the world. With respect to Messrs. Bach and Bell, the Compensation Committee recognized each executive’s individual technical leadership performance to develop and deploy a robust suite of world class engineering achievements, including the Lucid Air becoming the first-ever electric vehicle to receive an Environmental Protection Agency-rated range of 520 miles. These engineering achievements were recognized from outside the company, including the Lucid Air being named as the 2022 MotorTrend Car of the Year.</w:t>
      </w:r>
    </w:p>
    <w:p>
      <w:pPr>
        <w:spacing w:after="0" w:line="206" w:lineRule="exact"/>
        <w:rPr>
          <w:sz w:val="20"/>
          <w:szCs w:val="20"/>
          <w:color w:val="auto"/>
        </w:rPr>
      </w:pPr>
    </w:p>
    <w:p>
      <w:pPr>
        <w:ind w:left="660"/>
        <w:spacing w:after="0" w:line="267" w:lineRule="auto"/>
        <w:rPr>
          <w:sz w:val="20"/>
          <w:szCs w:val="20"/>
          <w:color w:val="auto"/>
        </w:rPr>
      </w:pPr>
      <w:r>
        <w:rPr>
          <w:rFonts w:ascii="Arial" w:cs="Arial" w:eastAsia="Arial" w:hAnsi="Arial"/>
          <w:sz w:val="16"/>
          <w:szCs w:val="16"/>
          <w:color w:val="auto"/>
        </w:rPr>
        <w:t>In September 2021, the Compensation Committee reviewed the target incentive opportunities of our NEOs, taking into consideration a competitive market analysis performed by Aon. The Compensation Committee also considered the recommendations of our CEO (except with respect to his own target incentive opportunity), as well as the other factors described above. Consistent with our intended approach to provide compensation competitive with similarly situated companies and in recognition of their performance, the Compensation Committee approved an increase in the target incentive opportunities of certain of our NEOs effective for fiscal year 2022. Our NEOs’ target incentive opportunities for fiscal year 2022 are set forth in the table below.</w:t>
      </w:r>
    </w:p>
    <w:p>
      <w:pPr>
        <w:spacing w:after="0" w:line="399"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Target Bonus Opportunities: Fiscal 2022</w:t>
      </w:r>
    </w:p>
    <w:p>
      <w:pPr>
        <w:spacing w:after="0" w:line="307" w:lineRule="exact"/>
        <w:rPr>
          <w:sz w:val="20"/>
          <w:szCs w:val="20"/>
          <w:color w:val="auto"/>
        </w:rPr>
      </w:pPr>
    </w:p>
    <w:tbl>
      <w:tblPr>
        <w:tblLayout w:type="fixed"/>
        <w:tblInd w:w="3080" w:type="dxa"/>
        <w:tblCellMar>
          <w:top w:w="0" w:type="dxa"/>
          <w:left w:w="0" w:type="dxa"/>
          <w:bottom w:w="0" w:type="dxa"/>
          <w:right w:w="0" w:type="dxa"/>
        </w:tblCellMar>
      </w:tblPr>
      <w:tr>
        <w:trPr>
          <w:trHeight w:val="281"/>
        </w:trPr>
        <w:tc>
          <w:tcPr>
            <w:tcW w:w="2360" w:type="dxa"/>
            <w:vAlign w:val="bottom"/>
            <w:shd w:val="clear" w:color="auto" w:fill="000000"/>
          </w:tcPr>
          <w:p>
            <w:pPr>
              <w:spacing w:after="0"/>
              <w:rPr>
                <w:sz w:val="24"/>
                <w:szCs w:val="24"/>
                <w:color w:val="auto"/>
              </w:rPr>
            </w:pPr>
          </w:p>
        </w:tc>
        <w:tc>
          <w:tcPr>
            <w:tcW w:w="2180" w:type="dxa"/>
            <w:vAlign w:val="bottom"/>
            <w:shd w:val="clear" w:color="auto" w:fill="000000"/>
          </w:tcPr>
          <w:p>
            <w:pPr>
              <w:jc w:val="right"/>
              <w:ind w:right="170"/>
              <w:spacing w:after="0"/>
              <w:rPr>
                <w:sz w:val="20"/>
                <w:szCs w:val="20"/>
                <w:color w:val="auto"/>
              </w:rPr>
            </w:pPr>
            <w:r>
              <w:rPr>
                <w:rFonts w:ascii="Arial" w:cs="Arial" w:eastAsia="Arial" w:hAnsi="Arial"/>
                <w:sz w:val="13"/>
                <w:szCs w:val="13"/>
                <w:b w:val="1"/>
                <w:bCs w:val="1"/>
                <w:color w:val="FEFEFE"/>
              </w:rPr>
              <w:t>Fiscal 2022</w:t>
            </w:r>
          </w:p>
        </w:tc>
      </w:tr>
      <w:tr>
        <w:trPr>
          <w:trHeight w:val="124"/>
        </w:trPr>
        <w:tc>
          <w:tcPr>
            <w:tcW w:w="2360" w:type="dxa"/>
            <w:vAlign w:val="bottom"/>
            <w:shd w:val="clear" w:color="auto" w:fill="000000"/>
          </w:tcPr>
          <w:p>
            <w:pPr>
              <w:spacing w:after="0"/>
              <w:rPr>
                <w:sz w:val="10"/>
                <w:szCs w:val="10"/>
                <w:color w:val="auto"/>
              </w:rPr>
            </w:pPr>
          </w:p>
        </w:tc>
        <w:tc>
          <w:tcPr>
            <w:tcW w:w="2180" w:type="dxa"/>
            <w:vAlign w:val="bottom"/>
            <w:shd w:val="clear" w:color="auto" w:fill="000000"/>
          </w:tcPr>
          <w:p>
            <w:pPr>
              <w:spacing w:after="0"/>
              <w:rPr>
                <w:sz w:val="10"/>
                <w:szCs w:val="10"/>
                <w:color w:val="auto"/>
              </w:rPr>
            </w:pPr>
          </w:p>
        </w:tc>
      </w:tr>
      <w:tr>
        <w:trPr>
          <w:trHeight w:val="312"/>
        </w:trPr>
        <w:tc>
          <w:tcPr>
            <w:tcW w:w="2360" w:type="dxa"/>
            <w:vAlign w:val="bottom"/>
          </w:tcPr>
          <w:p>
            <w:pPr>
              <w:ind w:left="160"/>
              <w:spacing w:after="0"/>
              <w:rPr>
                <w:sz w:val="20"/>
                <w:szCs w:val="20"/>
                <w:color w:val="auto"/>
              </w:rPr>
            </w:pPr>
            <w:r>
              <w:rPr>
                <w:rFonts w:ascii="Arial" w:cs="Arial" w:eastAsia="Arial" w:hAnsi="Arial"/>
                <w:sz w:val="14"/>
                <w:szCs w:val="14"/>
                <w:color w:val="auto"/>
              </w:rPr>
              <w:t>Mr. Rawlinson</w:t>
            </w:r>
          </w:p>
        </w:tc>
        <w:tc>
          <w:tcPr>
            <w:tcW w:w="2180" w:type="dxa"/>
            <w:vAlign w:val="bottom"/>
          </w:tcPr>
          <w:p>
            <w:pPr>
              <w:jc w:val="right"/>
              <w:ind w:right="250"/>
              <w:spacing w:after="0"/>
              <w:rPr>
                <w:sz w:val="20"/>
                <w:szCs w:val="20"/>
                <w:color w:val="auto"/>
              </w:rPr>
            </w:pPr>
            <w:r>
              <w:rPr>
                <w:rFonts w:ascii="Arial" w:cs="Arial" w:eastAsia="Arial" w:hAnsi="Arial"/>
                <w:sz w:val="14"/>
                <w:szCs w:val="14"/>
                <w:color w:val="auto"/>
              </w:rPr>
              <w:t>100%</w:t>
            </w:r>
          </w:p>
        </w:tc>
      </w:tr>
      <w:tr>
        <w:trPr>
          <w:trHeight w:val="93"/>
        </w:trPr>
        <w:tc>
          <w:tcPr>
            <w:tcW w:w="236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r>
      <w:tr>
        <w:trPr>
          <w:trHeight w:val="306"/>
        </w:trPr>
        <w:tc>
          <w:tcPr>
            <w:tcW w:w="2360" w:type="dxa"/>
            <w:vAlign w:val="bottom"/>
            <w:shd w:val="clear" w:color="auto" w:fill="F7F7F7"/>
          </w:tcPr>
          <w:p>
            <w:pPr>
              <w:ind w:left="160"/>
              <w:spacing w:after="0"/>
              <w:rPr>
                <w:sz w:val="20"/>
                <w:szCs w:val="20"/>
                <w:color w:val="auto"/>
              </w:rPr>
            </w:pPr>
            <w:r>
              <w:rPr>
                <w:rFonts w:ascii="Arial" w:cs="Arial" w:eastAsia="Arial" w:hAnsi="Arial"/>
                <w:sz w:val="14"/>
                <w:szCs w:val="14"/>
                <w:color w:val="auto"/>
              </w:rPr>
              <w:t>Ms. House</w:t>
            </w:r>
          </w:p>
        </w:tc>
        <w:tc>
          <w:tcPr>
            <w:tcW w:w="2180" w:type="dxa"/>
            <w:vAlign w:val="bottom"/>
            <w:shd w:val="clear" w:color="auto" w:fill="F7F7F7"/>
          </w:tcPr>
          <w:p>
            <w:pPr>
              <w:jc w:val="right"/>
              <w:ind w:right="250"/>
              <w:spacing w:after="0"/>
              <w:rPr>
                <w:sz w:val="20"/>
                <w:szCs w:val="20"/>
                <w:color w:val="auto"/>
              </w:rPr>
            </w:pPr>
            <w:r>
              <w:rPr>
                <w:rFonts w:ascii="Arial" w:cs="Arial" w:eastAsia="Arial" w:hAnsi="Arial"/>
                <w:sz w:val="14"/>
                <w:szCs w:val="14"/>
                <w:color w:val="auto"/>
              </w:rPr>
              <w:t>75%</w:t>
            </w:r>
          </w:p>
        </w:tc>
      </w:tr>
      <w:tr>
        <w:trPr>
          <w:trHeight w:val="93"/>
        </w:trPr>
        <w:tc>
          <w:tcPr>
            <w:tcW w:w="2360" w:type="dxa"/>
            <w:vAlign w:val="bottom"/>
            <w:tcBorders>
              <w:bottom w:val="single" w:sz="8" w:color="auto"/>
            </w:tcBorders>
            <w:shd w:val="clear" w:color="auto" w:fill="F7F7F7"/>
          </w:tcPr>
          <w:p>
            <w:pPr>
              <w:spacing w:after="0"/>
              <w:rPr>
                <w:sz w:val="8"/>
                <w:szCs w:val="8"/>
                <w:color w:val="auto"/>
              </w:rPr>
            </w:pPr>
          </w:p>
        </w:tc>
        <w:tc>
          <w:tcPr>
            <w:tcW w:w="2180" w:type="dxa"/>
            <w:vAlign w:val="bottom"/>
            <w:tcBorders>
              <w:bottom w:val="single" w:sz="8" w:color="auto"/>
            </w:tcBorders>
            <w:shd w:val="clear" w:color="auto" w:fill="F7F7F7"/>
          </w:tcPr>
          <w:p>
            <w:pPr>
              <w:spacing w:after="0"/>
              <w:rPr>
                <w:sz w:val="8"/>
                <w:szCs w:val="8"/>
                <w:color w:val="auto"/>
              </w:rPr>
            </w:pPr>
          </w:p>
        </w:tc>
      </w:tr>
      <w:tr>
        <w:trPr>
          <w:trHeight w:val="306"/>
        </w:trPr>
        <w:tc>
          <w:tcPr>
            <w:tcW w:w="2360" w:type="dxa"/>
            <w:vAlign w:val="bottom"/>
          </w:tcPr>
          <w:p>
            <w:pPr>
              <w:ind w:left="160"/>
              <w:spacing w:after="0"/>
              <w:rPr>
                <w:sz w:val="20"/>
                <w:szCs w:val="20"/>
                <w:color w:val="auto"/>
              </w:rPr>
            </w:pPr>
            <w:r>
              <w:rPr>
                <w:rFonts w:ascii="Arial" w:cs="Arial" w:eastAsia="Arial" w:hAnsi="Arial"/>
                <w:sz w:val="14"/>
                <w:szCs w:val="14"/>
                <w:color w:val="auto"/>
              </w:rPr>
              <w:t>Mr. Bach</w:t>
            </w:r>
          </w:p>
        </w:tc>
        <w:tc>
          <w:tcPr>
            <w:tcW w:w="2180" w:type="dxa"/>
            <w:vAlign w:val="bottom"/>
          </w:tcPr>
          <w:p>
            <w:pPr>
              <w:jc w:val="right"/>
              <w:ind w:right="250"/>
              <w:spacing w:after="0"/>
              <w:rPr>
                <w:sz w:val="20"/>
                <w:szCs w:val="20"/>
                <w:color w:val="auto"/>
              </w:rPr>
            </w:pPr>
            <w:r>
              <w:rPr>
                <w:rFonts w:ascii="Arial" w:cs="Arial" w:eastAsia="Arial" w:hAnsi="Arial"/>
                <w:sz w:val="14"/>
                <w:szCs w:val="14"/>
                <w:color w:val="auto"/>
              </w:rPr>
              <w:t>75%</w:t>
            </w:r>
          </w:p>
        </w:tc>
      </w:tr>
      <w:tr>
        <w:trPr>
          <w:trHeight w:val="93"/>
        </w:trPr>
        <w:tc>
          <w:tcPr>
            <w:tcW w:w="236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r>
      <w:tr>
        <w:trPr>
          <w:trHeight w:val="306"/>
        </w:trPr>
        <w:tc>
          <w:tcPr>
            <w:tcW w:w="2360" w:type="dxa"/>
            <w:vAlign w:val="bottom"/>
            <w:shd w:val="clear" w:color="auto" w:fill="F7F7F7"/>
          </w:tcPr>
          <w:p>
            <w:pPr>
              <w:ind w:left="160"/>
              <w:spacing w:after="0"/>
              <w:rPr>
                <w:sz w:val="20"/>
                <w:szCs w:val="20"/>
                <w:color w:val="auto"/>
              </w:rPr>
            </w:pPr>
            <w:r>
              <w:rPr>
                <w:rFonts w:ascii="Arial" w:cs="Arial" w:eastAsia="Arial" w:hAnsi="Arial"/>
                <w:sz w:val="14"/>
                <w:szCs w:val="14"/>
                <w:color w:val="auto"/>
              </w:rPr>
              <w:t>Mr. Bell</w:t>
            </w:r>
          </w:p>
        </w:tc>
        <w:tc>
          <w:tcPr>
            <w:tcW w:w="2180" w:type="dxa"/>
            <w:vAlign w:val="bottom"/>
            <w:shd w:val="clear" w:color="auto" w:fill="F7F7F7"/>
          </w:tcPr>
          <w:p>
            <w:pPr>
              <w:jc w:val="right"/>
              <w:ind w:right="250"/>
              <w:spacing w:after="0"/>
              <w:rPr>
                <w:sz w:val="20"/>
                <w:szCs w:val="20"/>
                <w:color w:val="auto"/>
              </w:rPr>
            </w:pPr>
            <w:r>
              <w:rPr>
                <w:rFonts w:ascii="Arial" w:cs="Arial" w:eastAsia="Arial" w:hAnsi="Arial"/>
                <w:sz w:val="14"/>
                <w:szCs w:val="14"/>
                <w:color w:val="auto"/>
              </w:rPr>
              <w:t>75%</w:t>
            </w:r>
          </w:p>
        </w:tc>
      </w:tr>
      <w:tr>
        <w:trPr>
          <w:trHeight w:val="93"/>
        </w:trPr>
        <w:tc>
          <w:tcPr>
            <w:tcW w:w="2360" w:type="dxa"/>
            <w:vAlign w:val="bottom"/>
            <w:tcBorders>
              <w:bottom w:val="single" w:sz="8" w:color="auto"/>
            </w:tcBorders>
            <w:shd w:val="clear" w:color="auto" w:fill="F7F7F7"/>
          </w:tcPr>
          <w:p>
            <w:pPr>
              <w:spacing w:after="0"/>
              <w:rPr>
                <w:sz w:val="8"/>
                <w:szCs w:val="8"/>
                <w:color w:val="auto"/>
              </w:rPr>
            </w:pPr>
          </w:p>
        </w:tc>
        <w:tc>
          <w:tcPr>
            <w:tcW w:w="2180" w:type="dxa"/>
            <w:vAlign w:val="bottom"/>
            <w:tcBorders>
              <w:bottom w:val="single" w:sz="8" w:color="auto"/>
            </w:tcBorders>
            <w:shd w:val="clear" w:color="auto" w:fill="F7F7F7"/>
          </w:tcPr>
          <w:p>
            <w:pPr>
              <w:spacing w:after="0"/>
              <w:rPr>
                <w:sz w:val="8"/>
                <w:szCs w:val="8"/>
                <w:color w:val="auto"/>
              </w:rPr>
            </w:pPr>
          </w:p>
        </w:tc>
      </w:tr>
    </w:tbl>
    <w:p>
      <w:pPr>
        <w:spacing w:after="0" w:line="200" w:lineRule="exact"/>
        <w:rPr>
          <w:sz w:val="20"/>
          <w:szCs w:val="20"/>
          <w:color w:val="auto"/>
        </w:rPr>
      </w:pPr>
    </w:p>
    <w:p>
      <w:pPr>
        <w:sectPr>
          <w:pgSz w:w="11900" w:h="16838" w:orient="portrait"/>
          <w:cols w:equalWidth="0" w:num="1">
            <w:col w:w="10040"/>
          </w:cols>
          <w:pgMar w:left="580" w:top="132" w:right="1279" w:bottom="1440" w:gutter="0" w:footer="0" w:header="0"/>
        </w:sectPr>
      </w:pPr>
    </w:p>
    <w:p>
      <w:pPr>
        <w:spacing w:after="0" w:line="197"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2"/>
          <w:szCs w:val="12"/>
          <w:b w:val="1"/>
          <w:bCs w:val="1"/>
          <w:color w:val="auto"/>
        </w:rPr>
        <w:t>50</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110490</wp:posOffset>
            </wp:positionV>
            <wp:extent cx="68319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type w:val="continuous"/>
        </w:sectPr>
      </w:pPr>
    </w:p>
    <w:bookmarkStart w:id="59" w:name="page60"/>
    <w:bookmarkEnd w:id="59"/>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60"/>
        <w:spacing w:after="0"/>
        <w:rPr>
          <w:sz w:val="20"/>
          <w:szCs w:val="20"/>
          <w:color w:val="auto"/>
        </w:rPr>
      </w:pPr>
      <w:r>
        <w:rPr>
          <w:rFonts w:ascii="Arial" w:cs="Arial" w:eastAsia="Arial" w:hAnsi="Arial"/>
          <w:sz w:val="16"/>
          <w:szCs w:val="16"/>
          <w:color w:val="886B25"/>
        </w:rPr>
        <w:t>Sign-On Bonuses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connection with her commencement of employment in May 2021, Ms. House was provided with a one-time sign-on bonus of</w:t>
      </w:r>
    </w:p>
    <w:p>
      <w:pPr>
        <w:spacing w:after="0" w:line="19" w:lineRule="exact"/>
        <w:rPr>
          <w:sz w:val="20"/>
          <w:szCs w:val="20"/>
          <w:color w:val="auto"/>
        </w:rPr>
      </w:pPr>
    </w:p>
    <w:p>
      <w:pPr>
        <w:jc w:val="both"/>
        <w:ind w:left="660" w:right="700"/>
        <w:spacing w:after="0" w:line="268" w:lineRule="auto"/>
        <w:rPr>
          <w:sz w:val="20"/>
          <w:szCs w:val="20"/>
          <w:color w:val="auto"/>
        </w:rPr>
      </w:pPr>
      <w:r>
        <w:rPr>
          <w:rFonts w:ascii="Arial" w:cs="Arial" w:eastAsia="Arial" w:hAnsi="Arial"/>
          <w:sz w:val="16"/>
          <w:szCs w:val="16"/>
          <w:color w:val="auto"/>
        </w:rPr>
        <w:t>$100,000. Similarly, in connection with his commencement of employment in February 2021, Mr. Bell was provided with a one-time sign-on bonus of $250,000. Each of Ms. House’s and Mr. Bell’s offer letter provides that if the executive resigns or is terminated for any reason prior to the first anniversary of her or his hire date, the executive will be required to repay to us the amount of the sign-on bonus (net of applicable tax and other withholdings).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Long-Term Equity Incentive Compensation</w:t>
      </w:r>
    </w:p>
    <w:p>
      <w:pPr>
        <w:spacing w:after="0" w:line="192" w:lineRule="exact"/>
        <w:rPr>
          <w:sz w:val="20"/>
          <w:szCs w:val="20"/>
          <w:color w:val="auto"/>
        </w:rPr>
      </w:pPr>
    </w:p>
    <w:p>
      <w:pPr>
        <w:ind w:left="660" w:right="740"/>
        <w:spacing w:after="0" w:line="266" w:lineRule="auto"/>
        <w:rPr>
          <w:sz w:val="20"/>
          <w:szCs w:val="20"/>
          <w:color w:val="auto"/>
        </w:rPr>
      </w:pPr>
      <w:r>
        <w:rPr>
          <w:rFonts w:ascii="Arial" w:cs="Arial" w:eastAsia="Arial" w:hAnsi="Arial"/>
          <w:sz w:val="16"/>
          <w:szCs w:val="16"/>
          <w:color w:val="auto"/>
        </w:rPr>
        <w:t>We believe that providing long-term incentive compensation in the form of equity awards is a critical element of our executive compensation program as it encourages our NEOs to take a long-term outlook and reinforces our pay for performance culture. By providing opportunities for our employees, including our NEOs, to benefit from future successes in Lucid through the appreciation of the value of their equity awards, our Compensation Committee and Board believe that equity awards align employees’ interests and contributions with the long-term interests of Lucid’s stockholders. In addition, our Compensation Committee and Board believe that offering meaningful equity ownership in Lucid is helpful in retaining our NEOs and other key employees.</w:t>
      </w:r>
    </w:p>
    <w:p>
      <w:pPr>
        <w:spacing w:after="0" w:line="207" w:lineRule="exact"/>
        <w:rPr>
          <w:sz w:val="20"/>
          <w:szCs w:val="20"/>
          <w:color w:val="auto"/>
        </w:rPr>
      </w:pPr>
    </w:p>
    <w:p>
      <w:pPr>
        <w:ind w:left="660" w:right="700"/>
        <w:spacing w:after="0" w:line="265" w:lineRule="auto"/>
        <w:rPr>
          <w:sz w:val="20"/>
          <w:szCs w:val="20"/>
          <w:color w:val="auto"/>
        </w:rPr>
      </w:pPr>
      <w:r>
        <w:rPr>
          <w:rFonts w:ascii="Arial" w:cs="Arial" w:eastAsia="Arial" w:hAnsi="Arial"/>
          <w:sz w:val="16"/>
          <w:szCs w:val="16"/>
          <w:color w:val="auto"/>
        </w:rPr>
        <w:t>Prior to the Merger, our executive officers had generally been granted stock options by Atieva. Beginning in 2021, our executive officers, including our NEOs, were granted restricted stock units (“RSUs”). The Atieva Committee approved equity grants on February 22, 2021 to certain of our executives, including an award of 661,000 RSUs to Mr. Bach (the number of RSUs reflects adjustments made to our shares in connection with the Merger). In deciding to make such grant, the Atieva Committee considered Mr. Bach’s performance and significant contributions to Atieva and that the overall value of his existing unvested equity incentive awards may not serve as a sufficient retention tool. Mr. Bell and Ms. House were also granted an award of 1,322,000 RSUs and 661,000 RSUs, respectively, in connection with their hires (the numbers of RSUs reflect adjustments made to our shares in connection with the Merger). The Atieva Board also approved the long-term incentive award granted to Mr. Rawlinson, the terms of which are summarized below under “Pre-Merger CEO Compensation.” The table below sets forth the RSUs granted to our NEOs (other than our CEO) during 2021. We did not grant any stock options to our NEOs during 2021 and all of the 2021 long-term incentive awards were granted to our NEOs prior to the Merger, while we were still a private company. The number of RSUs in the table has been adjusted to reflect the impact of the Merger.</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Fiscal 2021 Equity Incentive Awards to NEOs other than the CEO</w:t>
      </w:r>
    </w:p>
    <w:p>
      <w:pPr>
        <w:spacing w:after="0" w:line="307" w:lineRule="exact"/>
        <w:rPr>
          <w:sz w:val="20"/>
          <w:szCs w:val="20"/>
          <w:color w:val="auto"/>
        </w:rPr>
      </w:pPr>
    </w:p>
    <w:tbl>
      <w:tblPr>
        <w:tblLayout w:type="fixed"/>
        <w:tblInd w:w="3080" w:type="dxa"/>
        <w:tblCellMar>
          <w:top w:w="0" w:type="dxa"/>
          <w:left w:w="0" w:type="dxa"/>
          <w:bottom w:w="0" w:type="dxa"/>
          <w:right w:w="0" w:type="dxa"/>
        </w:tblCellMar>
      </w:tblPr>
      <w:tr>
        <w:trPr>
          <w:trHeight w:val="281"/>
        </w:trPr>
        <w:tc>
          <w:tcPr>
            <w:tcW w:w="2260" w:type="dxa"/>
            <w:vAlign w:val="bottom"/>
            <w:shd w:val="clear" w:color="auto" w:fill="000000"/>
          </w:tcPr>
          <w:p>
            <w:pPr>
              <w:ind w:left="160"/>
              <w:spacing w:after="0"/>
              <w:rPr>
                <w:sz w:val="20"/>
                <w:szCs w:val="20"/>
                <w:color w:val="auto"/>
              </w:rPr>
            </w:pPr>
            <w:r>
              <w:rPr>
                <w:rFonts w:ascii="Arial" w:cs="Arial" w:eastAsia="Arial" w:hAnsi="Arial"/>
                <w:sz w:val="13"/>
                <w:szCs w:val="13"/>
                <w:b w:val="1"/>
                <w:bCs w:val="1"/>
                <w:color w:val="FEFEFE"/>
              </w:rPr>
              <w:t>Name</w:t>
            </w:r>
          </w:p>
        </w:tc>
        <w:tc>
          <w:tcPr>
            <w:tcW w:w="2280" w:type="dxa"/>
            <w:vAlign w:val="bottom"/>
            <w:shd w:val="clear" w:color="auto" w:fill="000000"/>
          </w:tcPr>
          <w:p>
            <w:pPr>
              <w:jc w:val="right"/>
              <w:ind w:right="330"/>
              <w:spacing w:after="0"/>
              <w:rPr>
                <w:sz w:val="20"/>
                <w:szCs w:val="20"/>
                <w:color w:val="auto"/>
              </w:rPr>
            </w:pPr>
            <w:r>
              <w:rPr>
                <w:rFonts w:ascii="Arial" w:cs="Arial" w:eastAsia="Arial" w:hAnsi="Arial"/>
                <w:sz w:val="13"/>
                <w:szCs w:val="13"/>
                <w:b w:val="1"/>
                <w:bCs w:val="1"/>
                <w:color w:val="FEFEFE"/>
              </w:rPr>
              <w:t>RSUs</w:t>
            </w:r>
          </w:p>
        </w:tc>
      </w:tr>
      <w:tr>
        <w:trPr>
          <w:trHeight w:val="124"/>
        </w:trPr>
        <w:tc>
          <w:tcPr>
            <w:tcW w:w="2260" w:type="dxa"/>
            <w:vAlign w:val="bottom"/>
            <w:shd w:val="clear" w:color="auto" w:fill="000000"/>
          </w:tcPr>
          <w:p>
            <w:pPr>
              <w:spacing w:after="0"/>
              <w:rPr>
                <w:sz w:val="10"/>
                <w:szCs w:val="10"/>
                <w:color w:val="auto"/>
              </w:rPr>
            </w:pPr>
          </w:p>
        </w:tc>
        <w:tc>
          <w:tcPr>
            <w:tcW w:w="2280" w:type="dxa"/>
            <w:vAlign w:val="bottom"/>
            <w:shd w:val="clear" w:color="auto" w:fill="000000"/>
          </w:tcPr>
          <w:p>
            <w:pPr>
              <w:spacing w:after="0"/>
              <w:rPr>
                <w:sz w:val="10"/>
                <w:szCs w:val="10"/>
                <w:color w:val="auto"/>
              </w:rPr>
            </w:pPr>
          </w:p>
        </w:tc>
      </w:tr>
      <w:tr>
        <w:trPr>
          <w:trHeight w:val="312"/>
        </w:trPr>
        <w:tc>
          <w:tcPr>
            <w:tcW w:w="2260" w:type="dxa"/>
            <w:vAlign w:val="bottom"/>
          </w:tcPr>
          <w:p>
            <w:pPr>
              <w:ind w:left="160"/>
              <w:spacing w:after="0"/>
              <w:rPr>
                <w:sz w:val="20"/>
                <w:szCs w:val="20"/>
                <w:color w:val="auto"/>
              </w:rPr>
            </w:pPr>
            <w:r>
              <w:rPr>
                <w:rFonts w:ascii="Arial" w:cs="Arial" w:eastAsia="Arial" w:hAnsi="Arial"/>
                <w:sz w:val="14"/>
                <w:szCs w:val="14"/>
                <w:color w:val="auto"/>
              </w:rPr>
              <w:t>Ms. House</w:t>
            </w:r>
          </w:p>
        </w:tc>
        <w:tc>
          <w:tcPr>
            <w:tcW w:w="2280" w:type="dxa"/>
            <w:vAlign w:val="bottom"/>
          </w:tcPr>
          <w:p>
            <w:pPr>
              <w:jc w:val="right"/>
              <w:ind w:right="150"/>
              <w:spacing w:after="0"/>
              <w:rPr>
                <w:sz w:val="20"/>
                <w:szCs w:val="20"/>
                <w:color w:val="auto"/>
              </w:rPr>
            </w:pPr>
            <w:r>
              <w:rPr>
                <w:rFonts w:ascii="Arial" w:cs="Arial" w:eastAsia="Arial" w:hAnsi="Arial"/>
                <w:sz w:val="14"/>
                <w:szCs w:val="14"/>
                <w:color w:val="auto"/>
              </w:rPr>
              <w:t>661,000</w:t>
            </w:r>
          </w:p>
        </w:tc>
      </w:tr>
      <w:tr>
        <w:trPr>
          <w:trHeight w:val="93"/>
        </w:trPr>
        <w:tc>
          <w:tcPr>
            <w:tcW w:w="226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r>
      <w:tr>
        <w:trPr>
          <w:trHeight w:val="292"/>
        </w:trPr>
        <w:tc>
          <w:tcPr>
            <w:tcW w:w="2260" w:type="dxa"/>
            <w:vAlign w:val="bottom"/>
            <w:shd w:val="clear" w:color="auto" w:fill="F7F7F7"/>
          </w:tcPr>
          <w:p>
            <w:pPr>
              <w:ind w:left="160"/>
              <w:spacing w:after="0"/>
              <w:rPr>
                <w:sz w:val="20"/>
                <w:szCs w:val="20"/>
                <w:color w:val="auto"/>
              </w:rPr>
            </w:pPr>
            <w:r>
              <w:rPr>
                <w:rFonts w:ascii="Arial" w:cs="Arial" w:eastAsia="Arial" w:hAnsi="Arial"/>
                <w:sz w:val="14"/>
                <w:szCs w:val="14"/>
                <w:color w:val="auto"/>
              </w:rPr>
              <w:t>Mr. Bach</w:t>
            </w:r>
          </w:p>
        </w:tc>
        <w:tc>
          <w:tcPr>
            <w:tcW w:w="2280" w:type="dxa"/>
            <w:vAlign w:val="bottom"/>
            <w:shd w:val="clear" w:color="auto" w:fill="F7F7F7"/>
          </w:tcPr>
          <w:p>
            <w:pPr>
              <w:jc w:val="right"/>
              <w:ind w:right="150"/>
              <w:spacing w:after="0"/>
              <w:rPr>
                <w:sz w:val="20"/>
                <w:szCs w:val="20"/>
                <w:color w:val="auto"/>
              </w:rPr>
            </w:pPr>
            <w:r>
              <w:rPr>
                <w:rFonts w:ascii="Arial" w:cs="Arial" w:eastAsia="Arial" w:hAnsi="Arial"/>
                <w:sz w:val="14"/>
                <w:szCs w:val="14"/>
                <w:color w:val="auto"/>
              </w:rPr>
              <w:t>661,000</w:t>
            </w:r>
          </w:p>
        </w:tc>
      </w:tr>
      <w:tr>
        <w:trPr>
          <w:trHeight w:val="93"/>
        </w:trPr>
        <w:tc>
          <w:tcPr>
            <w:tcW w:w="2260" w:type="dxa"/>
            <w:vAlign w:val="bottom"/>
            <w:tcBorders>
              <w:bottom w:val="single" w:sz="8" w:color="auto"/>
            </w:tcBorders>
            <w:shd w:val="clear" w:color="auto" w:fill="F7F7F7"/>
          </w:tcPr>
          <w:p>
            <w:pPr>
              <w:spacing w:after="0"/>
              <w:rPr>
                <w:sz w:val="8"/>
                <w:szCs w:val="8"/>
                <w:color w:val="auto"/>
              </w:rPr>
            </w:pPr>
          </w:p>
        </w:tc>
        <w:tc>
          <w:tcPr>
            <w:tcW w:w="2280" w:type="dxa"/>
            <w:vAlign w:val="bottom"/>
            <w:tcBorders>
              <w:bottom w:val="single" w:sz="8" w:color="auto"/>
            </w:tcBorders>
            <w:shd w:val="clear" w:color="auto" w:fill="F7F7F7"/>
          </w:tcPr>
          <w:p>
            <w:pPr>
              <w:spacing w:after="0"/>
              <w:rPr>
                <w:sz w:val="8"/>
                <w:szCs w:val="8"/>
                <w:color w:val="auto"/>
              </w:rPr>
            </w:pPr>
          </w:p>
        </w:tc>
      </w:tr>
      <w:tr>
        <w:trPr>
          <w:trHeight w:val="292"/>
        </w:trPr>
        <w:tc>
          <w:tcPr>
            <w:tcW w:w="2260" w:type="dxa"/>
            <w:vAlign w:val="bottom"/>
          </w:tcPr>
          <w:p>
            <w:pPr>
              <w:ind w:left="160"/>
              <w:spacing w:after="0"/>
              <w:rPr>
                <w:sz w:val="20"/>
                <w:szCs w:val="20"/>
                <w:color w:val="auto"/>
              </w:rPr>
            </w:pPr>
            <w:r>
              <w:rPr>
                <w:rFonts w:ascii="Arial" w:cs="Arial" w:eastAsia="Arial" w:hAnsi="Arial"/>
                <w:sz w:val="14"/>
                <w:szCs w:val="14"/>
                <w:color w:val="auto"/>
              </w:rPr>
              <w:t>Mr. Bell</w:t>
            </w:r>
          </w:p>
        </w:tc>
        <w:tc>
          <w:tcPr>
            <w:tcW w:w="2280" w:type="dxa"/>
            <w:vAlign w:val="bottom"/>
          </w:tcPr>
          <w:p>
            <w:pPr>
              <w:jc w:val="right"/>
              <w:ind w:right="150"/>
              <w:spacing w:after="0"/>
              <w:rPr>
                <w:sz w:val="20"/>
                <w:szCs w:val="20"/>
                <w:color w:val="auto"/>
              </w:rPr>
            </w:pPr>
            <w:r>
              <w:rPr>
                <w:rFonts w:ascii="Arial" w:cs="Arial" w:eastAsia="Arial" w:hAnsi="Arial"/>
                <w:sz w:val="14"/>
                <w:szCs w:val="14"/>
                <w:color w:val="auto"/>
              </w:rPr>
              <w:t>1,322,000</w:t>
            </w:r>
          </w:p>
        </w:tc>
      </w:tr>
      <w:tr>
        <w:trPr>
          <w:trHeight w:val="93"/>
        </w:trPr>
        <w:tc>
          <w:tcPr>
            <w:tcW w:w="226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r>
    </w:tbl>
    <w:p>
      <w:pPr>
        <w:spacing w:after="0" w:line="326" w:lineRule="exact"/>
        <w:rPr>
          <w:sz w:val="20"/>
          <w:szCs w:val="20"/>
          <w:color w:val="auto"/>
        </w:rPr>
      </w:pPr>
    </w:p>
    <w:p>
      <w:pPr>
        <w:ind w:left="660" w:right="740"/>
        <w:spacing w:after="0" w:line="227" w:lineRule="auto"/>
        <w:rPr>
          <w:sz w:val="20"/>
          <w:szCs w:val="20"/>
          <w:color w:val="auto"/>
        </w:rPr>
      </w:pPr>
      <w:r>
        <w:rPr>
          <w:rFonts w:ascii="Arial" w:cs="Arial" w:eastAsia="Arial" w:hAnsi="Arial"/>
          <w:sz w:val="16"/>
          <w:szCs w:val="16"/>
          <w:color w:val="auto"/>
        </w:rPr>
        <w:t>The RSUs granted to Ms. House and Mr. Bell are generally scheduled to vest over four years, the first 25% on the first anniversary of each’s service commencement date (June 5, 2021 and July 20, 2020, respectively) and the remainder in 12 quarterly installments over the next three years with each such quarterly installment representing 1/16</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of the RSUs awarded, subject to</w:t>
      </w:r>
    </w:p>
    <w:p>
      <w:pPr>
        <w:spacing w:after="0" w:line="1" w:lineRule="exact"/>
        <w:rPr>
          <w:sz w:val="20"/>
          <w:szCs w:val="20"/>
          <w:color w:val="auto"/>
        </w:rPr>
      </w:pPr>
    </w:p>
    <w:p>
      <w:pPr>
        <w:jc w:val="both"/>
        <w:ind w:left="660" w:right="860" w:hanging="6"/>
        <w:spacing w:after="0" w:line="264" w:lineRule="auto"/>
        <w:tabs>
          <w:tab w:leader="none" w:pos="8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successful closing of the Merger and meeting the minimum service period requirement of 375 days after such closing (</w:t>
      </w:r>
      <w:r>
        <w:rPr>
          <w:rFonts w:ascii="Arial" w:cs="Arial" w:eastAsia="Arial" w:hAnsi="Arial"/>
          <w:sz w:val="16"/>
          <w:szCs w:val="16"/>
          <w:i w:val="1"/>
          <w:iCs w:val="1"/>
          <w:color w:val="auto"/>
        </w:rPr>
        <w:t>i.e.</w:t>
      </w:r>
      <w:r>
        <w:rPr>
          <w:rFonts w:ascii="Arial" w:cs="Arial" w:eastAsia="Arial" w:hAnsi="Arial"/>
          <w:sz w:val="16"/>
          <w:szCs w:val="16"/>
          <w:color w:val="auto"/>
        </w:rPr>
        <w:t>, continued employment until August 2, 2022) (at which time amounts that were scheduled to vest prior to such date will vest); and</w:t>
      </w:r>
    </w:p>
    <w:p>
      <w:pPr>
        <w:ind w:left="660" w:right="680" w:hanging="6"/>
        <w:spacing w:after="0" w:line="262" w:lineRule="auto"/>
        <w:tabs>
          <w:tab w:leader="none" w:pos="885"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continued employment through each applicable quarterly vesting date. Accordingly, with respect to Ms. House, subject to the continued employment requirement, the first installment of the RSUs (25% of the RSUs awarded) will vest on August 2, 2022 (375 days after the closing of the Merger) and the remaining twelve installments (each, 1/16 of the RSUs awarded) will vest quarterly beginning September 2022 and ending June 2025 and, with respect to Mr. Bell, subject to the continued employment requirement, four installments (25% of the RSUs awarded plus three quarterly installments of 1/16 of the RSUs awarded) will vest on August 2, 2022 (375 days after the closing of the Merger) and the remaining nine installments (each, 1/16 of the RSUs awarded) will vest quarterly beginning September 2022 and ending September 2024. The RSUs granted to Mr. Bach (which have a vesting commencement date of February 22, 2021) are generally scheduled to vest in sixteen quarterly installments over</w:t>
      </w:r>
    </w:p>
    <w:p>
      <w:pPr>
        <w:spacing w:after="0" w:line="5" w:lineRule="exact"/>
        <w:rPr>
          <w:rFonts w:ascii="Arial" w:cs="Arial" w:eastAsia="Arial" w:hAnsi="Arial"/>
          <w:sz w:val="16"/>
          <w:szCs w:val="16"/>
          <w:color w:val="auto"/>
        </w:rPr>
      </w:pPr>
    </w:p>
    <w:p>
      <w:pPr>
        <w:jc w:val="both"/>
        <w:ind w:left="660" w:right="800"/>
        <w:spacing w:after="0" w:line="227" w:lineRule="auto"/>
        <w:rPr>
          <w:rFonts w:ascii="Arial" w:cs="Arial" w:eastAsia="Arial" w:hAnsi="Arial"/>
          <w:sz w:val="16"/>
          <w:szCs w:val="16"/>
          <w:color w:val="auto"/>
        </w:rPr>
      </w:pPr>
      <w:r>
        <w:rPr>
          <w:rFonts w:ascii="Arial" w:cs="Arial" w:eastAsia="Arial" w:hAnsi="Arial"/>
          <w:sz w:val="16"/>
          <w:szCs w:val="16"/>
          <w:color w:val="auto"/>
        </w:rPr>
        <w:t>four years, with each installment representing 1/16</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of the RSUs awarded, subject to (i) the successful closing of the Merger and meeting the minimum service period requirement of 375 days after such closing (</w:t>
      </w:r>
      <w:r>
        <w:rPr>
          <w:rFonts w:ascii="Arial" w:cs="Arial" w:eastAsia="Arial" w:hAnsi="Arial"/>
          <w:sz w:val="16"/>
          <w:szCs w:val="16"/>
          <w:i w:val="1"/>
          <w:iCs w:val="1"/>
          <w:color w:val="auto"/>
        </w:rPr>
        <w:t>i.e.</w:t>
      </w:r>
      <w:r>
        <w:rPr>
          <w:rFonts w:ascii="Arial" w:cs="Arial" w:eastAsia="Arial" w:hAnsi="Arial"/>
          <w:sz w:val="16"/>
          <w:szCs w:val="16"/>
          <w:color w:val="auto"/>
        </w:rPr>
        <w:t>, continued employment until August 2, 2022) (at which time amounts that were scheduled to vest prior to such date will vest); and (ii) continued employment through</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900" w:type="dxa"/>
            <w:vAlign w:val="bottom"/>
          </w:tcPr>
          <w:p>
            <w:pPr>
              <w:ind w:left="660"/>
              <w:spacing w:after="0"/>
              <w:rPr>
                <w:sz w:val="20"/>
                <w:szCs w:val="20"/>
                <w:color w:val="auto"/>
              </w:rPr>
            </w:pPr>
            <w:r>
              <w:rPr>
                <w:rFonts w:ascii="Arial" w:cs="Arial" w:eastAsia="Arial" w:hAnsi="Arial"/>
                <w:sz w:val="13"/>
                <w:szCs w:val="13"/>
                <w:color w:val="auto"/>
              </w:rPr>
              <w:t>2022 Proxy Statement</w:t>
            </w:r>
          </w:p>
        </w:tc>
        <w:tc>
          <w:tcPr>
            <w:tcW w:w="4820" w:type="dxa"/>
            <w:vAlign w:val="bottom"/>
          </w:tcPr>
          <w:p>
            <w:pPr>
              <w:jc w:val="right"/>
              <w:ind w:right="617"/>
              <w:spacing w:after="0"/>
              <w:rPr>
                <w:sz w:val="20"/>
                <w:szCs w:val="20"/>
                <w:color w:val="auto"/>
              </w:rPr>
            </w:pPr>
            <w:r>
              <w:rPr>
                <w:rFonts w:ascii="Arial" w:cs="Arial" w:eastAsia="Arial" w:hAnsi="Arial"/>
                <w:sz w:val="13"/>
                <w:szCs w:val="13"/>
                <w:b w:val="1"/>
                <w:bCs w:val="1"/>
                <w:color w:val="auto"/>
              </w:rPr>
              <w:t>51</w:t>
            </w:r>
          </w:p>
        </w:tc>
      </w:tr>
      <w:tr>
        <w:trPr>
          <w:trHeight w:val="158"/>
        </w:trPr>
        <w:tc>
          <w:tcPr>
            <w:tcW w:w="590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60" w:name="page61"/>
    <w:bookmarkEnd w:id="60"/>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60" w:right="300"/>
        <w:spacing w:after="0" w:line="271" w:lineRule="auto"/>
        <w:rPr>
          <w:sz w:val="20"/>
          <w:szCs w:val="20"/>
          <w:color w:val="auto"/>
        </w:rPr>
      </w:pPr>
      <w:r>
        <w:rPr>
          <w:rFonts w:ascii="Arial" w:cs="Arial" w:eastAsia="Arial" w:hAnsi="Arial"/>
          <w:sz w:val="16"/>
          <w:szCs w:val="16"/>
          <w:color w:val="auto"/>
        </w:rPr>
        <w:t>each applicable quarterly vesting date. Accordingly, subject to the continued employment requirement, the first five installments (5/16 of the RSUs awarded) will vest on August 2, 2022 (375 days after the closing of the Merger) and the remaining eleven installments of 1/16 of the RSUs awarded will vest quarterly beginning September 2022 and ending March 2025.</w:t>
      </w:r>
    </w:p>
    <w:p>
      <w:pPr>
        <w:spacing w:after="0" w:line="200" w:lineRule="exact"/>
        <w:rPr>
          <w:sz w:val="20"/>
          <w:szCs w:val="20"/>
          <w:color w:val="auto"/>
        </w:rPr>
      </w:pPr>
    </w:p>
    <w:p>
      <w:pPr>
        <w:ind w:left="660" w:right="640"/>
        <w:spacing w:after="0" w:line="278" w:lineRule="auto"/>
        <w:rPr>
          <w:sz w:val="20"/>
          <w:szCs w:val="20"/>
          <w:color w:val="auto"/>
        </w:rPr>
      </w:pPr>
      <w:r>
        <w:rPr>
          <w:rFonts w:ascii="Arial" w:cs="Arial" w:eastAsia="Arial" w:hAnsi="Arial"/>
          <w:sz w:val="16"/>
          <w:szCs w:val="16"/>
          <w:color w:val="auto"/>
        </w:rPr>
        <w:t>For a description of the treatment of the RSUs in the event of certain qualifying terminations of employment, see “Potential Payments under Termination or Change in Control” below.</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Pre-Merger CEO Compensation</w:t>
      </w:r>
    </w:p>
    <w:p>
      <w:pPr>
        <w:spacing w:after="0" w:line="394" w:lineRule="exact"/>
        <w:rPr>
          <w:sz w:val="20"/>
          <w:szCs w:val="20"/>
          <w:color w:val="auto"/>
        </w:rPr>
      </w:pPr>
    </w:p>
    <w:p>
      <w:pPr>
        <w:ind w:left="660"/>
        <w:spacing w:after="0"/>
        <w:rPr>
          <w:sz w:val="20"/>
          <w:szCs w:val="20"/>
          <w:color w:val="auto"/>
        </w:rPr>
      </w:pPr>
      <w:r>
        <w:rPr>
          <w:rFonts w:ascii="Arial" w:cs="Arial" w:eastAsia="Arial" w:hAnsi="Arial"/>
          <w:sz w:val="16"/>
          <w:szCs w:val="16"/>
          <w:color w:val="886B25"/>
        </w:rPr>
        <w:t>CEO Transaction Bonus</w:t>
      </w:r>
    </w:p>
    <w:p>
      <w:pPr>
        <w:spacing w:after="0" w:line="167" w:lineRule="exact"/>
        <w:rPr>
          <w:sz w:val="20"/>
          <w:szCs w:val="20"/>
          <w:color w:val="auto"/>
        </w:rPr>
      </w:pPr>
    </w:p>
    <w:p>
      <w:pPr>
        <w:ind w:left="660"/>
        <w:spacing w:after="0" w:line="268" w:lineRule="auto"/>
        <w:rPr>
          <w:sz w:val="20"/>
          <w:szCs w:val="20"/>
          <w:color w:val="auto"/>
        </w:rPr>
      </w:pPr>
      <w:r>
        <w:rPr>
          <w:rFonts w:ascii="Arial" w:cs="Arial" w:eastAsia="Arial" w:hAnsi="Arial"/>
          <w:sz w:val="16"/>
          <w:szCs w:val="16"/>
          <w:color w:val="auto"/>
        </w:rPr>
        <w:t>In recognition of Mr. Rawlinson’s efforts on the Merger, in March 2021, prior to the closing of the Merger, the Atieva Board approved a $2 million cash transaction bonus payable to Mr. Rawlinson, subject to: (i) the closing of the Merger, (ii) Mr. Rawlinson’s continued employment through the Closing Date and (iii) Mr. Rawlinson not giving notice of his intent to resign on or before the Closing Date. The transaction bonus was paid to Mr. Rawlinson in August 2021.</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886B25"/>
        </w:rPr>
        <w:t>CEO Grant</w:t>
      </w:r>
    </w:p>
    <w:p>
      <w:pPr>
        <w:spacing w:after="0" w:line="151" w:lineRule="exact"/>
        <w:rPr>
          <w:sz w:val="20"/>
          <w:szCs w:val="20"/>
          <w:color w:val="auto"/>
        </w:rPr>
      </w:pPr>
    </w:p>
    <w:p>
      <w:pPr>
        <w:ind w:left="660" w:right="140"/>
        <w:spacing w:after="0" w:line="271" w:lineRule="auto"/>
        <w:rPr>
          <w:sz w:val="20"/>
          <w:szCs w:val="20"/>
          <w:color w:val="auto"/>
        </w:rPr>
      </w:pPr>
      <w:r>
        <w:rPr>
          <w:rFonts w:ascii="Arial" w:cs="Arial" w:eastAsia="Arial" w:hAnsi="Arial"/>
          <w:sz w:val="16"/>
          <w:szCs w:val="16"/>
          <w:color w:val="auto"/>
        </w:rPr>
        <w:t>In January 2021, before the Merger (</w:t>
      </w:r>
      <w:r>
        <w:rPr>
          <w:rFonts w:ascii="Arial" w:cs="Arial" w:eastAsia="Arial" w:hAnsi="Arial"/>
          <w:sz w:val="16"/>
          <w:szCs w:val="16"/>
          <w:i w:val="1"/>
          <w:iCs w:val="1"/>
          <w:color w:val="auto"/>
        </w:rPr>
        <w:t>i.e.</w:t>
      </w:r>
      <w:r>
        <w:rPr>
          <w:rFonts w:ascii="Arial" w:cs="Arial" w:eastAsia="Arial" w:hAnsi="Arial"/>
          <w:sz w:val="16"/>
          <w:szCs w:val="16"/>
          <w:color w:val="auto"/>
        </w:rPr>
        <w:t>, before Lucid became a public company), the Atieva Board was considering the Merger transaction but Atieva had not yet signed a definitive merger agreement. At that time, in recognition of Mr. Rawlinson’s critical importance to the success of Atieva before and contingent upon a successful merger transaction, and in order to incentivize and align Mr. Rawlinson with our stockholders through and after a significant strategic transaction, the Atieva Committee, in consultation with its compensation consultant, approved a framework for a special equity grant to Mr. Rawlinson, which was to be subject to achievement of the following two distinct performance conditions:</w:t>
      </w:r>
    </w:p>
    <w:p>
      <w:pPr>
        <w:spacing w:after="0" w:line="117" w:lineRule="exact"/>
        <w:rPr>
          <w:sz w:val="20"/>
          <w:szCs w:val="20"/>
          <w:color w:val="auto"/>
        </w:rPr>
      </w:pPr>
    </w:p>
    <w:p>
      <w:pPr>
        <w:ind w:left="820" w:right="100" w:hanging="166"/>
        <w:spacing w:after="0" w:line="293" w:lineRule="auto"/>
        <w:tabs>
          <w:tab w:leader="none" w:pos="820" w:val="left"/>
        </w:tabs>
        <w:numPr>
          <w:ilvl w:val="0"/>
          <w:numId w:val="33"/>
        </w:numPr>
        <w:rPr>
          <w:rFonts w:ascii="Arial" w:cs="Arial" w:eastAsia="Arial" w:hAnsi="Arial"/>
          <w:sz w:val="16"/>
          <w:szCs w:val="16"/>
          <w:color w:val="886B25"/>
        </w:rPr>
      </w:pPr>
      <w:r>
        <w:rPr>
          <w:rFonts w:ascii="Arial" w:cs="Arial" w:eastAsia="Arial" w:hAnsi="Arial"/>
          <w:sz w:val="16"/>
          <w:szCs w:val="16"/>
          <w:i w:val="1"/>
          <w:iCs w:val="1"/>
          <w:color w:val="auto"/>
        </w:rPr>
        <w:t xml:space="preserve">Valuation of Company at Go-Public Event: </w:t>
      </w:r>
      <w:r>
        <w:rPr>
          <w:rFonts w:ascii="Arial" w:cs="Arial" w:eastAsia="Arial" w:hAnsi="Arial"/>
          <w:sz w:val="16"/>
          <w:szCs w:val="16"/>
          <w:color w:val="auto"/>
        </w:rPr>
        <w:t>Based on Atieva’s value upon taking the company public via SPAC merger, initial</w:t>
      </w:r>
      <w:r>
        <w:rPr>
          <w:rFonts w:ascii="Arial" w:cs="Arial" w:eastAsia="Arial" w:hAnsi="Arial"/>
          <w:sz w:val="16"/>
          <w:szCs w:val="16"/>
          <w:i w:val="1"/>
          <w:iCs w:val="1"/>
          <w:color w:val="auto"/>
        </w:rPr>
        <w:t xml:space="preserve"> </w:t>
      </w:r>
      <w:r>
        <w:rPr>
          <w:rFonts w:ascii="Arial" w:cs="Arial" w:eastAsia="Arial" w:hAnsi="Arial"/>
          <w:sz w:val="16"/>
          <w:szCs w:val="16"/>
          <w:color w:val="auto"/>
        </w:rPr>
        <w:t>public offering or another method, the percentage of the award denominated as time-based vesting RSUs would increase. If the minimum valuation threshold was not attained, 100% of the award would be denominated as performance-based vesting restricted stock units, which would be earned based on market capitalization goals.</w:t>
      </w:r>
    </w:p>
    <w:p>
      <w:pPr>
        <w:spacing w:after="0" w:line="100" w:lineRule="exact"/>
        <w:rPr>
          <w:rFonts w:ascii="Arial" w:cs="Arial" w:eastAsia="Arial" w:hAnsi="Arial"/>
          <w:sz w:val="16"/>
          <w:szCs w:val="16"/>
          <w:color w:val="886B25"/>
        </w:rPr>
      </w:pPr>
    </w:p>
    <w:p>
      <w:pPr>
        <w:ind w:left="820" w:right="220" w:hanging="166"/>
        <w:spacing w:after="0" w:line="299" w:lineRule="auto"/>
        <w:tabs>
          <w:tab w:leader="none" w:pos="820" w:val="left"/>
        </w:tabs>
        <w:numPr>
          <w:ilvl w:val="0"/>
          <w:numId w:val="33"/>
        </w:numPr>
        <w:rPr>
          <w:rFonts w:ascii="Arial" w:cs="Arial" w:eastAsia="Arial" w:hAnsi="Arial"/>
          <w:sz w:val="16"/>
          <w:szCs w:val="16"/>
          <w:color w:val="886B25"/>
        </w:rPr>
      </w:pPr>
      <w:r>
        <w:rPr>
          <w:rFonts w:ascii="Arial" w:cs="Arial" w:eastAsia="Arial" w:hAnsi="Arial"/>
          <w:sz w:val="16"/>
          <w:szCs w:val="16"/>
          <w:i w:val="1"/>
          <w:iCs w:val="1"/>
          <w:color w:val="auto"/>
        </w:rPr>
        <w:t xml:space="preserve">Growth in Market Capitalization: </w:t>
      </w:r>
      <w:r>
        <w:rPr>
          <w:rFonts w:ascii="Arial" w:cs="Arial" w:eastAsia="Arial" w:hAnsi="Arial"/>
          <w:sz w:val="16"/>
          <w:szCs w:val="16"/>
          <w:color w:val="auto"/>
        </w:rPr>
        <w:t>For the portion of the award that was not granted in RSUs as a result of the initial public</w:t>
      </w:r>
      <w:r>
        <w:rPr>
          <w:rFonts w:ascii="Arial" w:cs="Arial" w:eastAsia="Arial" w:hAnsi="Arial"/>
          <w:sz w:val="16"/>
          <w:szCs w:val="16"/>
          <w:i w:val="1"/>
          <w:iCs w:val="1"/>
          <w:color w:val="auto"/>
        </w:rPr>
        <w:t xml:space="preserve"> </w:t>
      </w:r>
      <w:r>
        <w:rPr>
          <w:rFonts w:ascii="Arial" w:cs="Arial" w:eastAsia="Arial" w:hAnsi="Arial"/>
          <w:sz w:val="16"/>
          <w:szCs w:val="16"/>
          <w:color w:val="auto"/>
        </w:rPr>
        <w:t>valuation, the Atieva Committee determined a grant of performance-based vesting RSUs with goals tied to growth in valuation would be best aligned with stockholders.</w:t>
      </w:r>
    </w:p>
    <w:p>
      <w:pPr>
        <w:spacing w:after="0" w:line="192" w:lineRule="exact"/>
        <w:rPr>
          <w:sz w:val="20"/>
          <w:szCs w:val="20"/>
          <w:color w:val="auto"/>
        </w:rPr>
      </w:pPr>
    </w:p>
    <w:p>
      <w:pPr>
        <w:ind w:left="660" w:right="80"/>
        <w:spacing w:after="0" w:line="284" w:lineRule="auto"/>
        <w:rPr>
          <w:sz w:val="20"/>
          <w:szCs w:val="20"/>
          <w:color w:val="auto"/>
        </w:rPr>
      </w:pPr>
      <w:r>
        <w:rPr>
          <w:rFonts w:ascii="Arial" w:cs="Arial" w:eastAsia="Arial" w:hAnsi="Arial"/>
          <w:sz w:val="16"/>
          <w:szCs w:val="16"/>
          <w:color w:val="auto"/>
        </w:rPr>
        <w:t>Shortly after the signing of the Merger Agreement, in March 2021, the Atieva Board approved the final award (the “CEO Grant”) based on the equity valuation of Atieva in connection with the Merger Agreement of $11.75 billion, which represented the highest level of achievement contemplated in the first performance condition above. Accordingly, at the time the CEO Grant was awarded, the Atieva Board determined that the award would be granted via a mix of time-based vesting RSUs (45% of the total award) and performance-based vesting RSUs (55% of the total award) as follows (the numbers of RSUs reflect adjustments made to our shares in connection with the Merger):</w:t>
      </w:r>
    </w:p>
    <w:p>
      <w:pPr>
        <w:spacing w:after="0" w:line="125" w:lineRule="exact"/>
        <w:rPr>
          <w:sz w:val="20"/>
          <w:szCs w:val="20"/>
          <w:color w:val="auto"/>
        </w:rPr>
      </w:pPr>
    </w:p>
    <w:p>
      <w:pPr>
        <w:ind w:left="820" w:right="460" w:hanging="166"/>
        <w:spacing w:after="0" w:line="286" w:lineRule="auto"/>
        <w:tabs>
          <w:tab w:leader="none" w:pos="820" w:val="left"/>
        </w:tabs>
        <w:numPr>
          <w:ilvl w:val="0"/>
          <w:numId w:val="34"/>
        </w:numPr>
        <w:rPr>
          <w:rFonts w:ascii="Arial" w:cs="Arial" w:eastAsia="Arial" w:hAnsi="Arial"/>
          <w:sz w:val="16"/>
          <w:szCs w:val="16"/>
          <w:color w:val="886B25"/>
        </w:rPr>
      </w:pPr>
      <w:r>
        <w:rPr>
          <w:rFonts w:ascii="Arial" w:cs="Arial" w:eastAsia="Arial" w:hAnsi="Arial"/>
          <w:sz w:val="16"/>
          <w:szCs w:val="16"/>
          <w:color w:val="auto"/>
        </w:rPr>
        <w:t>13,834,748 time-based vesting RSUs, subject to ratable vesting over four years (the “CEO Time-Based RSUs”). Subject to Mr. Rawlinson’s continued employment on each vesting date, the CEO Time-Based RSUs vest in sixteen equal quarterly installments beginning on December 5, 2021. For purposes of the CEO Time-Based RSUs, the vesting dates are March 5, June 5, September 5 and December 5 of each year.</w:t>
      </w:r>
    </w:p>
    <w:p>
      <w:pPr>
        <w:spacing w:after="0" w:line="122" w:lineRule="exact"/>
        <w:rPr>
          <w:rFonts w:ascii="Arial" w:cs="Arial" w:eastAsia="Arial" w:hAnsi="Arial"/>
          <w:sz w:val="16"/>
          <w:szCs w:val="16"/>
          <w:color w:val="886B25"/>
        </w:rPr>
      </w:pPr>
    </w:p>
    <w:p>
      <w:pPr>
        <w:ind w:left="820" w:right="420" w:hanging="166"/>
        <w:spacing w:after="0" w:line="295" w:lineRule="auto"/>
        <w:tabs>
          <w:tab w:leader="none" w:pos="820" w:val="left"/>
        </w:tabs>
        <w:numPr>
          <w:ilvl w:val="0"/>
          <w:numId w:val="34"/>
        </w:numPr>
        <w:rPr>
          <w:rFonts w:ascii="Arial" w:cs="Arial" w:eastAsia="Arial" w:hAnsi="Arial"/>
          <w:sz w:val="16"/>
          <w:szCs w:val="16"/>
          <w:color w:val="886B25"/>
        </w:rPr>
      </w:pPr>
      <w:r>
        <w:rPr>
          <w:rFonts w:ascii="Arial" w:cs="Arial" w:eastAsia="Arial" w:hAnsi="Arial"/>
          <w:sz w:val="16"/>
          <w:szCs w:val="16"/>
          <w:color w:val="auto"/>
        </w:rPr>
        <w:t>16,024,411 performance-based RSUs, subject to vesting in five tranches with each tranche tied to the attainment of market capitalization goals over the course of a five-year performance period as outlined below (the “CEO Performance RSUs”).</w:t>
      </w:r>
    </w:p>
    <w:p>
      <w:pPr>
        <w:spacing w:after="0" w:line="196" w:lineRule="exact"/>
        <w:rPr>
          <w:sz w:val="20"/>
          <w:szCs w:val="20"/>
          <w:color w:val="auto"/>
        </w:rPr>
      </w:pPr>
    </w:p>
    <w:p>
      <w:pPr>
        <w:ind w:left="660" w:right="60"/>
        <w:spacing w:after="0" w:line="286" w:lineRule="auto"/>
        <w:rPr>
          <w:sz w:val="20"/>
          <w:szCs w:val="20"/>
          <w:color w:val="auto"/>
        </w:rPr>
      </w:pPr>
      <w:r>
        <w:rPr>
          <w:rFonts w:ascii="Arial" w:cs="Arial" w:eastAsia="Arial" w:hAnsi="Arial"/>
          <w:sz w:val="16"/>
          <w:szCs w:val="16"/>
          <w:color w:val="auto"/>
        </w:rPr>
        <w:t>In approving the award, the Atieva Board, with the assistance of its compensation consultant, reviewed competitive market data related to aggregate equity ownership for similarly situated CEOs in addition to design features of other pre-initial public offering or de-SPAC transaction performance-based CEO equity awards. The Atieva Board also considered the following key design objectives:</w:t>
      </w:r>
    </w:p>
    <w:p>
      <w:pPr>
        <w:spacing w:after="0" w:line="122" w:lineRule="exact"/>
        <w:rPr>
          <w:sz w:val="20"/>
          <w:szCs w:val="20"/>
          <w:color w:val="auto"/>
        </w:rPr>
      </w:pPr>
    </w:p>
    <w:p>
      <w:pPr>
        <w:ind w:left="820" w:hanging="166"/>
        <w:spacing w:after="0"/>
        <w:tabs>
          <w:tab w:leader="none" w:pos="820" w:val="left"/>
        </w:tabs>
        <w:numPr>
          <w:ilvl w:val="0"/>
          <w:numId w:val="35"/>
        </w:numPr>
        <w:rPr>
          <w:rFonts w:ascii="Arial" w:cs="Arial" w:eastAsia="Arial" w:hAnsi="Arial"/>
          <w:sz w:val="16"/>
          <w:szCs w:val="16"/>
          <w:color w:val="886B25"/>
        </w:rPr>
      </w:pPr>
      <w:r>
        <w:rPr>
          <w:rFonts w:ascii="Arial" w:cs="Arial" w:eastAsia="Arial" w:hAnsi="Arial"/>
          <w:sz w:val="16"/>
          <w:szCs w:val="16"/>
          <w:color w:val="auto"/>
        </w:rPr>
        <w:t>Competitive practices for CEO unvested long-term incentive holdings at this size and stage of a company;</w:t>
      </w:r>
    </w:p>
    <w:p>
      <w:pPr>
        <w:spacing w:after="0" w:line="167" w:lineRule="exact"/>
        <w:rPr>
          <w:rFonts w:ascii="Arial" w:cs="Arial" w:eastAsia="Arial" w:hAnsi="Arial"/>
          <w:sz w:val="16"/>
          <w:szCs w:val="16"/>
          <w:color w:val="886B25"/>
        </w:rPr>
      </w:pPr>
    </w:p>
    <w:p>
      <w:pPr>
        <w:ind w:left="820" w:hanging="166"/>
        <w:spacing w:after="0"/>
        <w:tabs>
          <w:tab w:leader="none" w:pos="820" w:val="left"/>
        </w:tabs>
        <w:numPr>
          <w:ilvl w:val="0"/>
          <w:numId w:val="35"/>
        </w:numPr>
        <w:rPr>
          <w:rFonts w:ascii="Arial" w:cs="Arial" w:eastAsia="Arial" w:hAnsi="Arial"/>
          <w:sz w:val="16"/>
          <w:szCs w:val="16"/>
          <w:color w:val="886B25"/>
        </w:rPr>
      </w:pPr>
      <w:r>
        <w:rPr>
          <w:rFonts w:ascii="Arial" w:cs="Arial" w:eastAsia="Arial" w:hAnsi="Arial"/>
          <w:sz w:val="16"/>
          <w:szCs w:val="16"/>
          <w:color w:val="auto"/>
        </w:rPr>
        <w:t>Recognition of Mr. Rawlinson’s strategic and technical leadership and innovation over a long-term horizon;</w:t>
      </w:r>
    </w:p>
    <w:p>
      <w:pPr>
        <w:spacing w:after="0" w:line="167" w:lineRule="exact"/>
        <w:rPr>
          <w:rFonts w:ascii="Arial" w:cs="Arial" w:eastAsia="Arial" w:hAnsi="Arial"/>
          <w:sz w:val="16"/>
          <w:szCs w:val="16"/>
          <w:color w:val="886B25"/>
        </w:rPr>
      </w:pPr>
    </w:p>
    <w:p>
      <w:pPr>
        <w:ind w:left="820" w:hanging="166"/>
        <w:spacing w:after="0"/>
        <w:tabs>
          <w:tab w:leader="none" w:pos="820" w:val="left"/>
        </w:tabs>
        <w:numPr>
          <w:ilvl w:val="0"/>
          <w:numId w:val="35"/>
        </w:numPr>
        <w:rPr>
          <w:rFonts w:ascii="Arial" w:cs="Arial" w:eastAsia="Arial" w:hAnsi="Arial"/>
          <w:sz w:val="16"/>
          <w:szCs w:val="16"/>
          <w:color w:val="886B25"/>
        </w:rPr>
      </w:pPr>
      <w:r>
        <w:rPr>
          <w:rFonts w:ascii="Arial" w:cs="Arial" w:eastAsia="Arial" w:hAnsi="Arial"/>
          <w:sz w:val="16"/>
          <w:szCs w:val="16"/>
          <w:color w:val="auto"/>
        </w:rPr>
        <w:t>Direct alignment between Mr. Rawlinson and our stockholders;</w:t>
      </w:r>
    </w:p>
    <w:p>
      <w:pPr>
        <w:sectPr>
          <w:pgSz w:w="11900" w:h="16838" w:orient="portrait"/>
          <w:cols w:equalWidth="0" w:num="1">
            <w:col w:w="10040"/>
          </w:cols>
          <w:pgMar w:left="580" w:top="132" w:right="127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2"/>
          <w:szCs w:val="12"/>
          <w:b w:val="1"/>
          <w:bCs w:val="1"/>
          <w:color w:val="auto"/>
        </w:rPr>
        <w:t>52</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110490</wp:posOffset>
            </wp:positionV>
            <wp:extent cx="68319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type w:val="continuous"/>
        </w:sectPr>
      </w:pPr>
    </w:p>
    <w:bookmarkStart w:id="61" w:name="page62"/>
    <w:bookmarkEnd w:id="61"/>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20" w:hanging="166"/>
        <w:spacing w:after="0"/>
        <w:tabs>
          <w:tab w:leader="none" w:pos="820" w:val="left"/>
        </w:tabs>
        <w:numPr>
          <w:ilvl w:val="0"/>
          <w:numId w:val="36"/>
        </w:numPr>
        <w:rPr>
          <w:rFonts w:ascii="Arial" w:cs="Arial" w:eastAsia="Arial" w:hAnsi="Arial"/>
          <w:sz w:val="16"/>
          <w:szCs w:val="16"/>
          <w:color w:val="886B25"/>
        </w:rPr>
      </w:pPr>
      <w:r>
        <w:rPr>
          <w:rFonts w:ascii="Arial" w:cs="Arial" w:eastAsia="Arial" w:hAnsi="Arial"/>
          <w:sz w:val="16"/>
          <w:szCs w:val="16"/>
          <w:color w:val="auto"/>
        </w:rPr>
        <w:t>Incentivizing our CEO to continue growing stockholder value; and</w:t>
      </w:r>
    </w:p>
    <w:p>
      <w:pPr>
        <w:spacing w:after="0" w:line="167" w:lineRule="exact"/>
        <w:rPr>
          <w:rFonts w:ascii="Arial" w:cs="Arial" w:eastAsia="Arial" w:hAnsi="Arial"/>
          <w:sz w:val="16"/>
          <w:szCs w:val="16"/>
          <w:color w:val="886B25"/>
        </w:rPr>
      </w:pPr>
    </w:p>
    <w:p>
      <w:pPr>
        <w:ind w:left="820" w:hanging="166"/>
        <w:spacing w:after="0"/>
        <w:tabs>
          <w:tab w:leader="none" w:pos="820" w:val="left"/>
        </w:tabs>
        <w:numPr>
          <w:ilvl w:val="0"/>
          <w:numId w:val="36"/>
        </w:numPr>
        <w:rPr>
          <w:rFonts w:ascii="Arial" w:cs="Arial" w:eastAsia="Arial" w:hAnsi="Arial"/>
          <w:sz w:val="16"/>
          <w:szCs w:val="16"/>
          <w:color w:val="886B25"/>
        </w:rPr>
      </w:pPr>
      <w:r>
        <w:rPr>
          <w:rFonts w:ascii="Arial" w:cs="Arial" w:eastAsia="Arial" w:hAnsi="Arial"/>
          <w:sz w:val="16"/>
          <w:szCs w:val="16"/>
          <w:color w:val="auto"/>
        </w:rPr>
        <w:t>Delivering a majority of CEO pay via performance-based equity incentives.</w:t>
      </w:r>
    </w:p>
    <w:p>
      <w:pPr>
        <w:spacing w:after="0" w:line="235" w:lineRule="exact"/>
        <w:rPr>
          <w:sz w:val="20"/>
          <w:szCs w:val="20"/>
          <w:color w:val="auto"/>
        </w:rPr>
      </w:pPr>
    </w:p>
    <w:p>
      <w:pPr>
        <w:ind w:left="660" w:right="1120"/>
        <w:spacing w:after="0" w:line="278" w:lineRule="auto"/>
        <w:rPr>
          <w:sz w:val="20"/>
          <w:szCs w:val="20"/>
          <w:color w:val="auto"/>
        </w:rPr>
      </w:pPr>
      <w:r>
        <w:rPr>
          <w:rFonts w:ascii="Arial" w:cs="Arial" w:eastAsia="Arial" w:hAnsi="Arial"/>
          <w:sz w:val="16"/>
          <w:szCs w:val="16"/>
          <w:color w:val="auto"/>
        </w:rPr>
        <w:t>The award was structured so that meaningful value would only be realized upon the achievement of sustained and significant levels of stockholder value creation.</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Atieva Board identified three performance-based criteria when approving the grant:</w:t>
      </w:r>
    </w:p>
    <w:p>
      <w:pPr>
        <w:spacing w:after="0" w:line="235" w:lineRule="exact"/>
        <w:rPr>
          <w:sz w:val="20"/>
          <w:szCs w:val="20"/>
          <w:color w:val="auto"/>
        </w:rPr>
      </w:pPr>
    </w:p>
    <w:p>
      <w:pPr>
        <w:ind w:left="980" w:hanging="326"/>
        <w:spacing w:after="0"/>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Successful merger completion, to receive the grant at all;</w:t>
      </w:r>
    </w:p>
    <w:p>
      <w:pPr>
        <w:spacing w:after="0" w:line="248" w:lineRule="exact"/>
        <w:rPr>
          <w:rFonts w:ascii="Arial" w:cs="Arial" w:eastAsia="Arial" w:hAnsi="Arial"/>
          <w:sz w:val="16"/>
          <w:szCs w:val="16"/>
          <w:color w:val="auto"/>
        </w:rPr>
      </w:pPr>
    </w:p>
    <w:p>
      <w:pPr>
        <w:ind w:left="980" w:right="1580" w:hanging="326"/>
        <w:spacing w:after="0" w:line="295" w:lineRule="auto"/>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Portion of the grant was based on merger value that was set at a threshold of $7.3 billion valuation with maximum performance based on a valuation of $11.5 billion or more; and</w:t>
      </w:r>
    </w:p>
    <w:p>
      <w:pPr>
        <w:spacing w:after="0" w:line="195" w:lineRule="exact"/>
        <w:rPr>
          <w:rFonts w:ascii="Arial" w:cs="Arial" w:eastAsia="Arial" w:hAnsi="Arial"/>
          <w:sz w:val="16"/>
          <w:szCs w:val="16"/>
          <w:color w:val="auto"/>
        </w:rPr>
      </w:pPr>
    </w:p>
    <w:p>
      <w:pPr>
        <w:ind w:left="980" w:hanging="326"/>
        <w:spacing w:after="0"/>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Additional post-merger market cap growth performance criteria at 2x, 3x, 4x, 5x, 6x of valuation.</w:t>
      </w:r>
    </w:p>
    <w:p>
      <w:pPr>
        <w:spacing w:after="0" w:line="235" w:lineRule="exact"/>
        <w:rPr>
          <w:sz w:val="20"/>
          <w:szCs w:val="20"/>
          <w:color w:val="auto"/>
        </w:rPr>
      </w:pPr>
    </w:p>
    <w:p>
      <w:pPr>
        <w:ind w:left="660" w:right="880"/>
        <w:spacing w:after="0" w:line="264" w:lineRule="auto"/>
        <w:rPr>
          <w:sz w:val="20"/>
          <w:szCs w:val="20"/>
          <w:color w:val="auto"/>
        </w:rPr>
      </w:pPr>
      <w:r>
        <w:rPr>
          <w:rFonts w:ascii="Arial" w:cs="Arial" w:eastAsia="Arial" w:hAnsi="Arial"/>
          <w:sz w:val="16"/>
          <w:szCs w:val="16"/>
          <w:color w:val="auto"/>
        </w:rPr>
        <w:t>As mentioned above, the CEO Performance RSUs vest in five tranches based on the achievement of market capitalization goals applicable to each tranche (the “Performance Goals”). Each tranche vests at higher multiples of the initial valuation of</w:t>
      </w:r>
    </w:p>
    <w:p>
      <w:pPr>
        <w:ind w:left="660" w:right="740"/>
        <w:spacing w:after="0" w:line="266" w:lineRule="auto"/>
        <w:rPr>
          <w:sz w:val="20"/>
          <w:szCs w:val="20"/>
          <w:color w:val="auto"/>
        </w:rPr>
      </w:pPr>
      <w:r>
        <w:rPr>
          <w:rFonts w:ascii="Arial" w:cs="Arial" w:eastAsia="Arial" w:hAnsi="Arial"/>
          <w:sz w:val="16"/>
          <w:szCs w:val="16"/>
          <w:color w:val="auto"/>
        </w:rPr>
        <w:t xml:space="preserve">$11.75 billion and only when the multiple associated with each vesting tranche is sustained over a rolling six-month period, subject to Mr. Rawlinson’s continued employment through the applicable vesting date. The six-month market capitalization is calculated based on (i) the volume weighted average trading price per share over any six-month period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(ii) the average of the total number of outstanding shares of Class A common stock reported in a public filing for the two most recently completed quarterly reporting periods. This measurement period was designed to reward Mr. Rawlinson only if a sustained growth in Lucid’s market capitalization is achieved.</w:t>
      </w:r>
    </w:p>
    <w:p>
      <w:pPr>
        <w:spacing w:after="0" w:line="207" w:lineRule="exact"/>
        <w:rPr>
          <w:sz w:val="20"/>
          <w:szCs w:val="20"/>
          <w:color w:val="auto"/>
        </w:rPr>
      </w:pPr>
    </w:p>
    <w:p>
      <w:pPr>
        <w:ind w:left="660" w:right="880"/>
        <w:spacing w:after="0" w:line="278" w:lineRule="auto"/>
        <w:rPr>
          <w:sz w:val="20"/>
          <w:szCs w:val="20"/>
          <w:color w:val="auto"/>
        </w:rPr>
      </w:pPr>
      <w:r>
        <w:rPr>
          <w:rFonts w:ascii="Arial" w:cs="Arial" w:eastAsia="Arial" w:hAnsi="Arial"/>
          <w:sz w:val="16"/>
          <w:szCs w:val="16"/>
          <w:color w:val="auto"/>
        </w:rPr>
        <w:t>The six-month market capitalization target for each tranche is as follows (the number of CEO Performance RSUs are adjusted to reflect the impact of the Merger):</w:t>
      </w:r>
    </w:p>
    <w:p>
      <w:pPr>
        <w:spacing w:after="0" w:line="247"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2660" w:type="dxa"/>
            <w:vAlign w:val="bottom"/>
            <w:shd w:val="clear" w:color="auto" w:fill="000000"/>
          </w:tcPr>
          <w:p>
            <w:pPr>
              <w:ind w:left="140"/>
              <w:spacing w:after="0"/>
              <w:rPr>
                <w:sz w:val="20"/>
                <w:szCs w:val="20"/>
                <w:color w:val="auto"/>
              </w:rPr>
            </w:pPr>
            <w:r>
              <w:rPr>
                <w:rFonts w:ascii="Arial" w:cs="Arial" w:eastAsia="Arial" w:hAnsi="Arial"/>
                <w:sz w:val="13"/>
                <w:szCs w:val="13"/>
                <w:b w:val="1"/>
                <w:bCs w:val="1"/>
                <w:color w:val="FEFEFE"/>
              </w:rPr>
              <w:t>Tranche</w:t>
            </w:r>
          </w:p>
        </w:tc>
        <w:tc>
          <w:tcPr>
            <w:tcW w:w="3280" w:type="dxa"/>
            <w:vAlign w:val="bottom"/>
            <w:shd w:val="clear" w:color="auto" w:fill="000000"/>
          </w:tcPr>
          <w:p>
            <w:pPr>
              <w:jc w:val="right"/>
              <w:ind w:right="331"/>
              <w:spacing w:after="0"/>
              <w:rPr>
                <w:sz w:val="20"/>
                <w:szCs w:val="20"/>
                <w:color w:val="auto"/>
              </w:rPr>
            </w:pPr>
            <w:r>
              <w:rPr>
                <w:rFonts w:ascii="Arial" w:cs="Arial" w:eastAsia="Arial" w:hAnsi="Arial"/>
                <w:sz w:val="13"/>
                <w:szCs w:val="13"/>
                <w:b w:val="1"/>
                <w:bCs w:val="1"/>
                <w:color w:val="FEFEFE"/>
              </w:rPr>
              <w:t># of CEO</w:t>
            </w:r>
          </w:p>
        </w:tc>
        <w:tc>
          <w:tcPr>
            <w:tcW w:w="112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w w:val="98"/>
              </w:rPr>
              <w:t>6-Month</w:t>
            </w:r>
          </w:p>
        </w:tc>
        <w:tc>
          <w:tcPr>
            <w:tcW w:w="124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w w:val="95"/>
              </w:rPr>
              <w:t>Multiple of Initial</w:t>
            </w:r>
          </w:p>
        </w:tc>
        <w:tc>
          <w:tcPr>
            <w:tcW w:w="1080" w:type="dxa"/>
            <w:vAlign w:val="bottom"/>
            <w:shd w:val="clear" w:color="auto" w:fill="000000"/>
          </w:tcPr>
          <w:p>
            <w:pPr>
              <w:jc w:val="right"/>
              <w:ind w:right="171"/>
              <w:spacing w:after="0"/>
              <w:rPr>
                <w:sz w:val="20"/>
                <w:szCs w:val="20"/>
                <w:color w:val="auto"/>
              </w:rPr>
            </w:pPr>
            <w:r>
              <w:rPr>
                <w:rFonts w:ascii="Arial" w:cs="Arial" w:eastAsia="Arial" w:hAnsi="Arial"/>
                <w:sz w:val="13"/>
                <w:szCs w:val="13"/>
                <w:b w:val="1"/>
                <w:bCs w:val="1"/>
                <w:color w:val="FEFEFE"/>
              </w:rPr>
              <w:t>Cumulative</w:t>
            </w:r>
          </w:p>
        </w:tc>
      </w:tr>
      <w:tr>
        <w:trPr>
          <w:trHeight w:val="140"/>
        </w:trPr>
        <w:tc>
          <w:tcPr>
            <w:tcW w:w="2660" w:type="dxa"/>
            <w:vAlign w:val="bottom"/>
            <w:shd w:val="clear" w:color="auto" w:fill="000000"/>
          </w:tcPr>
          <w:p>
            <w:pPr>
              <w:spacing w:after="0"/>
              <w:rPr>
                <w:sz w:val="12"/>
                <w:szCs w:val="12"/>
                <w:color w:val="auto"/>
              </w:rPr>
            </w:pPr>
          </w:p>
        </w:tc>
        <w:tc>
          <w:tcPr>
            <w:tcW w:w="3280" w:type="dxa"/>
            <w:vAlign w:val="bottom"/>
            <w:shd w:val="clear" w:color="auto" w:fill="000000"/>
          </w:tcPr>
          <w:p>
            <w:pPr>
              <w:jc w:val="right"/>
              <w:ind w:right="31"/>
              <w:spacing w:after="0" w:line="140" w:lineRule="exact"/>
              <w:rPr>
                <w:sz w:val="20"/>
                <w:szCs w:val="20"/>
                <w:color w:val="auto"/>
              </w:rPr>
            </w:pPr>
            <w:r>
              <w:rPr>
                <w:rFonts w:ascii="Arial" w:cs="Arial" w:eastAsia="Arial" w:hAnsi="Arial"/>
                <w:sz w:val="13"/>
                <w:szCs w:val="13"/>
                <w:b w:val="1"/>
                <w:bCs w:val="1"/>
                <w:color w:val="FEFEFE"/>
              </w:rPr>
              <w:t>Performance RSUs</w:t>
            </w:r>
          </w:p>
        </w:tc>
        <w:tc>
          <w:tcPr>
            <w:tcW w:w="1120" w:type="dxa"/>
            <w:vAlign w:val="bottom"/>
            <w:shd w:val="clear" w:color="auto" w:fill="000000"/>
          </w:tcPr>
          <w:p>
            <w:pPr>
              <w:jc w:val="center"/>
              <w:spacing w:after="0" w:line="140" w:lineRule="exact"/>
              <w:rPr>
                <w:sz w:val="20"/>
                <w:szCs w:val="20"/>
                <w:color w:val="auto"/>
              </w:rPr>
            </w:pPr>
            <w:r>
              <w:rPr>
                <w:rFonts w:ascii="Arial" w:cs="Arial" w:eastAsia="Arial" w:hAnsi="Arial"/>
                <w:sz w:val="13"/>
                <w:szCs w:val="13"/>
                <w:b w:val="1"/>
                <w:bCs w:val="1"/>
                <w:color w:val="FEFEFE"/>
              </w:rPr>
              <w:t>Market</w:t>
            </w:r>
          </w:p>
        </w:tc>
        <w:tc>
          <w:tcPr>
            <w:tcW w:w="1240" w:type="dxa"/>
            <w:vAlign w:val="bottom"/>
            <w:shd w:val="clear" w:color="auto" w:fill="000000"/>
          </w:tcPr>
          <w:p>
            <w:pPr>
              <w:jc w:val="center"/>
              <w:spacing w:after="0" w:line="140" w:lineRule="exact"/>
              <w:rPr>
                <w:sz w:val="20"/>
                <w:szCs w:val="20"/>
                <w:color w:val="auto"/>
              </w:rPr>
            </w:pPr>
            <w:r>
              <w:rPr>
                <w:rFonts w:ascii="Arial" w:cs="Arial" w:eastAsia="Arial" w:hAnsi="Arial"/>
                <w:sz w:val="13"/>
                <w:szCs w:val="13"/>
                <w:b w:val="1"/>
                <w:bCs w:val="1"/>
                <w:color w:val="FEFEFE"/>
                <w:w w:val="92"/>
              </w:rPr>
              <w:t>Valuation</w:t>
            </w:r>
            <w:r>
              <w:rPr>
                <w:rFonts w:ascii="Arial" w:cs="Arial" w:eastAsia="Arial" w:hAnsi="Arial"/>
                <w:sz w:val="16"/>
                <w:szCs w:val="16"/>
                <w:b w:val="1"/>
                <w:bCs w:val="1"/>
                <w:color w:val="FEFEFE"/>
                <w:w w:val="92"/>
                <w:vertAlign w:val="superscript"/>
              </w:rPr>
              <w:t>(1)</w:t>
            </w:r>
          </w:p>
        </w:tc>
        <w:tc>
          <w:tcPr>
            <w:tcW w:w="1080" w:type="dxa"/>
            <w:vAlign w:val="bottom"/>
            <w:shd w:val="clear" w:color="auto" w:fill="000000"/>
          </w:tcPr>
          <w:p>
            <w:pPr>
              <w:jc w:val="right"/>
              <w:ind w:right="131"/>
              <w:spacing w:after="0" w:line="140" w:lineRule="exact"/>
              <w:rPr>
                <w:sz w:val="20"/>
                <w:szCs w:val="20"/>
                <w:color w:val="auto"/>
              </w:rPr>
            </w:pPr>
            <w:r>
              <w:rPr>
                <w:rFonts w:ascii="Arial" w:cs="Arial" w:eastAsia="Arial" w:hAnsi="Arial"/>
                <w:sz w:val="13"/>
                <w:szCs w:val="13"/>
                <w:b w:val="1"/>
                <w:bCs w:val="1"/>
                <w:color w:val="FEFEFE"/>
              </w:rPr>
              <w:t>Growth Rate</w:t>
            </w:r>
          </w:p>
        </w:tc>
      </w:tr>
      <w:tr>
        <w:trPr>
          <w:trHeight w:val="168"/>
        </w:trPr>
        <w:tc>
          <w:tcPr>
            <w:tcW w:w="2660" w:type="dxa"/>
            <w:vAlign w:val="bottom"/>
            <w:shd w:val="clear" w:color="auto" w:fill="000000"/>
          </w:tcPr>
          <w:p>
            <w:pPr>
              <w:spacing w:after="0"/>
              <w:rPr>
                <w:sz w:val="14"/>
                <w:szCs w:val="14"/>
                <w:color w:val="auto"/>
              </w:rPr>
            </w:pPr>
          </w:p>
        </w:tc>
        <w:tc>
          <w:tcPr>
            <w:tcW w:w="3280" w:type="dxa"/>
            <w:vAlign w:val="bottom"/>
            <w:shd w:val="clear" w:color="auto" w:fill="000000"/>
          </w:tcPr>
          <w:p>
            <w:pPr>
              <w:spacing w:after="0"/>
              <w:rPr>
                <w:sz w:val="14"/>
                <w:szCs w:val="14"/>
                <w:color w:val="auto"/>
              </w:rPr>
            </w:pPr>
          </w:p>
        </w:tc>
        <w:tc>
          <w:tcPr>
            <w:tcW w:w="112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w w:val="96"/>
              </w:rPr>
              <w:t>Capitalization</w:t>
            </w:r>
          </w:p>
        </w:tc>
        <w:tc>
          <w:tcPr>
            <w:tcW w:w="1240" w:type="dxa"/>
            <w:vAlign w:val="bottom"/>
            <w:shd w:val="clear" w:color="auto" w:fill="000000"/>
          </w:tcPr>
          <w:p>
            <w:pPr>
              <w:spacing w:after="0"/>
              <w:rPr>
                <w:sz w:val="14"/>
                <w:szCs w:val="14"/>
                <w:color w:val="auto"/>
              </w:rPr>
            </w:pPr>
          </w:p>
        </w:tc>
        <w:tc>
          <w:tcPr>
            <w:tcW w:w="1080" w:type="dxa"/>
            <w:vAlign w:val="bottom"/>
            <w:shd w:val="clear" w:color="auto" w:fill="000000"/>
          </w:tcPr>
          <w:p>
            <w:pPr>
              <w:spacing w:after="0"/>
              <w:rPr>
                <w:sz w:val="14"/>
                <w:szCs w:val="14"/>
                <w:color w:val="auto"/>
              </w:rPr>
            </w:pPr>
          </w:p>
        </w:tc>
      </w:tr>
      <w:tr>
        <w:trPr>
          <w:trHeight w:val="124"/>
        </w:trPr>
        <w:tc>
          <w:tcPr>
            <w:tcW w:w="2660" w:type="dxa"/>
            <w:vAlign w:val="bottom"/>
            <w:shd w:val="clear" w:color="auto" w:fill="000000"/>
          </w:tcPr>
          <w:p>
            <w:pPr>
              <w:spacing w:after="0"/>
              <w:rPr>
                <w:sz w:val="10"/>
                <w:szCs w:val="10"/>
                <w:color w:val="auto"/>
              </w:rPr>
            </w:pPr>
          </w:p>
        </w:tc>
        <w:tc>
          <w:tcPr>
            <w:tcW w:w="3280" w:type="dxa"/>
            <w:vAlign w:val="bottom"/>
            <w:shd w:val="clear" w:color="auto" w:fill="000000"/>
          </w:tcPr>
          <w:p>
            <w:pPr>
              <w:spacing w:after="0"/>
              <w:rPr>
                <w:sz w:val="10"/>
                <w:szCs w:val="10"/>
                <w:color w:val="auto"/>
              </w:rPr>
            </w:pPr>
          </w:p>
        </w:tc>
        <w:tc>
          <w:tcPr>
            <w:tcW w:w="1120" w:type="dxa"/>
            <w:vAlign w:val="bottom"/>
            <w:shd w:val="clear" w:color="auto" w:fill="000000"/>
          </w:tcPr>
          <w:p>
            <w:pPr>
              <w:spacing w:after="0"/>
              <w:rPr>
                <w:sz w:val="10"/>
                <w:szCs w:val="10"/>
                <w:color w:val="auto"/>
              </w:rPr>
            </w:pPr>
          </w:p>
        </w:tc>
        <w:tc>
          <w:tcPr>
            <w:tcW w:w="1240" w:type="dxa"/>
            <w:vAlign w:val="bottom"/>
            <w:shd w:val="clear" w:color="auto" w:fill="000000"/>
          </w:tcPr>
          <w:p>
            <w:pPr>
              <w:spacing w:after="0"/>
              <w:rPr>
                <w:sz w:val="10"/>
                <w:szCs w:val="10"/>
                <w:color w:val="auto"/>
              </w:rPr>
            </w:pPr>
          </w:p>
        </w:tc>
        <w:tc>
          <w:tcPr>
            <w:tcW w:w="1080" w:type="dxa"/>
            <w:vAlign w:val="bottom"/>
            <w:shd w:val="clear" w:color="auto" w:fill="000000"/>
          </w:tcPr>
          <w:p>
            <w:pPr>
              <w:spacing w:after="0"/>
              <w:rPr>
                <w:sz w:val="10"/>
                <w:szCs w:val="10"/>
                <w:color w:val="auto"/>
              </w:rPr>
            </w:pPr>
          </w:p>
        </w:tc>
      </w:tr>
      <w:tr>
        <w:trPr>
          <w:trHeight w:val="312"/>
        </w:trPr>
        <w:tc>
          <w:tcPr>
            <w:tcW w:w="2660" w:type="dxa"/>
            <w:vAlign w:val="bottom"/>
          </w:tcPr>
          <w:p>
            <w:pPr>
              <w:ind w:left="140"/>
              <w:spacing w:after="0"/>
              <w:rPr>
                <w:sz w:val="20"/>
                <w:szCs w:val="20"/>
                <w:color w:val="auto"/>
              </w:rPr>
            </w:pPr>
            <w:r>
              <w:rPr>
                <w:rFonts w:ascii="Arial" w:cs="Arial" w:eastAsia="Arial" w:hAnsi="Arial"/>
                <w:sz w:val="14"/>
                <w:szCs w:val="14"/>
                <w:b w:val="1"/>
                <w:bCs w:val="1"/>
                <w:color w:val="auto"/>
              </w:rPr>
              <w:t>1</w:t>
            </w:r>
          </w:p>
        </w:tc>
        <w:tc>
          <w:tcPr>
            <w:tcW w:w="3280" w:type="dxa"/>
            <w:vAlign w:val="bottom"/>
          </w:tcPr>
          <w:p>
            <w:pPr>
              <w:jc w:val="right"/>
              <w:ind w:right="251"/>
              <w:spacing w:after="0"/>
              <w:rPr>
                <w:sz w:val="20"/>
                <w:szCs w:val="20"/>
                <w:color w:val="auto"/>
              </w:rPr>
            </w:pPr>
            <w:r>
              <w:rPr>
                <w:rFonts w:ascii="Arial" w:cs="Arial" w:eastAsia="Arial" w:hAnsi="Arial"/>
                <w:sz w:val="14"/>
                <w:szCs w:val="14"/>
                <w:color w:val="auto"/>
              </w:rPr>
              <w:t>3,483,568</w:t>
            </w:r>
          </w:p>
        </w:tc>
        <w:tc>
          <w:tcPr>
            <w:tcW w:w="1120" w:type="dxa"/>
            <w:vAlign w:val="bottom"/>
          </w:tcPr>
          <w:p>
            <w:pPr>
              <w:ind w:left="120"/>
              <w:spacing w:after="0"/>
              <w:rPr>
                <w:sz w:val="20"/>
                <w:szCs w:val="20"/>
                <w:color w:val="auto"/>
              </w:rPr>
            </w:pPr>
            <w:r>
              <w:rPr>
                <w:rFonts w:ascii="Arial" w:cs="Arial" w:eastAsia="Arial" w:hAnsi="Arial"/>
                <w:sz w:val="14"/>
                <w:szCs w:val="14"/>
                <w:color w:val="auto"/>
              </w:rPr>
              <w:t>$23.50 billion</w:t>
            </w:r>
          </w:p>
        </w:tc>
        <w:tc>
          <w:tcPr>
            <w:tcW w:w="1240" w:type="dxa"/>
            <w:vAlign w:val="bottom"/>
          </w:tcPr>
          <w:p>
            <w:pPr>
              <w:jc w:val="center"/>
              <w:spacing w:after="0"/>
              <w:rPr>
                <w:sz w:val="20"/>
                <w:szCs w:val="20"/>
                <w:color w:val="auto"/>
              </w:rPr>
            </w:pPr>
            <w:r>
              <w:rPr>
                <w:rFonts w:ascii="Arial" w:cs="Arial" w:eastAsia="Arial" w:hAnsi="Arial"/>
                <w:sz w:val="14"/>
                <w:szCs w:val="14"/>
                <w:color w:val="auto"/>
              </w:rPr>
              <w:t>2X</w:t>
            </w:r>
          </w:p>
        </w:tc>
        <w:tc>
          <w:tcPr>
            <w:tcW w:w="1080" w:type="dxa"/>
            <w:vAlign w:val="bottom"/>
          </w:tcPr>
          <w:p>
            <w:pPr>
              <w:jc w:val="right"/>
              <w:ind w:right="271"/>
              <w:spacing w:after="0"/>
              <w:rPr>
                <w:sz w:val="20"/>
                <w:szCs w:val="20"/>
                <w:color w:val="auto"/>
              </w:rPr>
            </w:pPr>
            <w:r>
              <w:rPr>
                <w:rFonts w:ascii="Arial" w:cs="Arial" w:eastAsia="Arial" w:hAnsi="Arial"/>
                <w:sz w:val="14"/>
                <w:szCs w:val="14"/>
                <w:color w:val="auto"/>
              </w:rPr>
              <w:t>100%</w:t>
            </w:r>
          </w:p>
        </w:tc>
      </w:tr>
      <w:tr>
        <w:trPr>
          <w:trHeight w:val="93"/>
        </w:trPr>
        <w:tc>
          <w:tcPr>
            <w:tcW w:w="2660" w:type="dxa"/>
            <w:vAlign w:val="bottom"/>
            <w:tcBorders>
              <w:bottom w:val="single" w:sz="8" w:color="auto"/>
            </w:tcBorders>
          </w:tcPr>
          <w:p>
            <w:pPr>
              <w:spacing w:after="0"/>
              <w:rPr>
                <w:sz w:val="8"/>
                <w:szCs w:val="8"/>
                <w:color w:val="auto"/>
              </w:rPr>
            </w:pPr>
          </w:p>
        </w:tc>
        <w:tc>
          <w:tcPr>
            <w:tcW w:w="32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r>
        <w:trPr>
          <w:trHeight w:val="292"/>
        </w:trPr>
        <w:tc>
          <w:tcPr>
            <w:tcW w:w="2660" w:type="dxa"/>
            <w:vAlign w:val="bottom"/>
            <w:shd w:val="clear" w:color="auto" w:fill="F7F7F7"/>
          </w:tcPr>
          <w:p>
            <w:pPr>
              <w:ind w:left="140"/>
              <w:spacing w:after="0"/>
              <w:rPr>
                <w:sz w:val="20"/>
                <w:szCs w:val="20"/>
                <w:color w:val="auto"/>
              </w:rPr>
            </w:pPr>
            <w:r>
              <w:rPr>
                <w:rFonts w:ascii="Arial" w:cs="Arial" w:eastAsia="Arial" w:hAnsi="Arial"/>
                <w:sz w:val="14"/>
                <w:szCs w:val="14"/>
                <w:b w:val="1"/>
                <w:bCs w:val="1"/>
                <w:color w:val="auto"/>
              </w:rPr>
              <w:t>2</w:t>
            </w:r>
          </w:p>
        </w:tc>
        <w:tc>
          <w:tcPr>
            <w:tcW w:w="3280" w:type="dxa"/>
            <w:vAlign w:val="bottom"/>
            <w:shd w:val="clear" w:color="auto" w:fill="F7F7F7"/>
          </w:tcPr>
          <w:p>
            <w:pPr>
              <w:jc w:val="right"/>
              <w:ind w:right="251"/>
              <w:spacing w:after="0"/>
              <w:rPr>
                <w:sz w:val="20"/>
                <w:szCs w:val="20"/>
                <w:color w:val="auto"/>
              </w:rPr>
            </w:pPr>
            <w:r>
              <w:rPr>
                <w:rFonts w:ascii="Arial" w:cs="Arial" w:eastAsia="Arial" w:hAnsi="Arial"/>
                <w:sz w:val="14"/>
                <w:szCs w:val="14"/>
                <w:color w:val="auto"/>
              </w:rPr>
              <w:t>3,483,568</w:t>
            </w:r>
          </w:p>
        </w:tc>
        <w:tc>
          <w:tcPr>
            <w:tcW w:w="1120" w:type="dxa"/>
            <w:vAlign w:val="bottom"/>
            <w:shd w:val="clear" w:color="auto" w:fill="F7F7F7"/>
          </w:tcPr>
          <w:p>
            <w:pPr>
              <w:ind w:left="120"/>
              <w:spacing w:after="0"/>
              <w:rPr>
                <w:sz w:val="20"/>
                <w:szCs w:val="20"/>
                <w:color w:val="auto"/>
              </w:rPr>
            </w:pPr>
            <w:r>
              <w:rPr>
                <w:rFonts w:ascii="Arial" w:cs="Arial" w:eastAsia="Arial" w:hAnsi="Arial"/>
                <w:sz w:val="14"/>
                <w:szCs w:val="14"/>
                <w:color w:val="auto"/>
              </w:rPr>
              <w:t>$35.25 billion</w:t>
            </w:r>
          </w:p>
        </w:tc>
        <w:tc>
          <w:tcPr>
            <w:tcW w:w="1240" w:type="dxa"/>
            <w:vAlign w:val="bottom"/>
            <w:shd w:val="clear" w:color="auto" w:fill="F7F7F7"/>
          </w:tcPr>
          <w:p>
            <w:pPr>
              <w:jc w:val="center"/>
              <w:spacing w:after="0"/>
              <w:rPr>
                <w:sz w:val="20"/>
                <w:szCs w:val="20"/>
                <w:color w:val="auto"/>
              </w:rPr>
            </w:pPr>
            <w:r>
              <w:rPr>
                <w:rFonts w:ascii="Arial" w:cs="Arial" w:eastAsia="Arial" w:hAnsi="Arial"/>
                <w:sz w:val="14"/>
                <w:szCs w:val="14"/>
                <w:color w:val="auto"/>
              </w:rPr>
              <w:t>3X</w:t>
            </w:r>
          </w:p>
        </w:tc>
        <w:tc>
          <w:tcPr>
            <w:tcW w:w="1080" w:type="dxa"/>
            <w:vAlign w:val="bottom"/>
            <w:shd w:val="clear" w:color="auto" w:fill="F7F7F7"/>
          </w:tcPr>
          <w:p>
            <w:pPr>
              <w:jc w:val="right"/>
              <w:ind w:right="271"/>
              <w:spacing w:after="0"/>
              <w:rPr>
                <w:sz w:val="20"/>
                <w:szCs w:val="20"/>
                <w:color w:val="auto"/>
              </w:rPr>
            </w:pPr>
            <w:r>
              <w:rPr>
                <w:rFonts w:ascii="Arial" w:cs="Arial" w:eastAsia="Arial" w:hAnsi="Arial"/>
                <w:sz w:val="14"/>
                <w:szCs w:val="14"/>
                <w:color w:val="auto"/>
              </w:rPr>
              <w:t>200%</w:t>
            </w:r>
          </w:p>
        </w:tc>
      </w:tr>
      <w:tr>
        <w:trPr>
          <w:trHeight w:val="93"/>
        </w:trPr>
        <w:tc>
          <w:tcPr>
            <w:tcW w:w="2660" w:type="dxa"/>
            <w:vAlign w:val="bottom"/>
            <w:tcBorders>
              <w:bottom w:val="single" w:sz="8" w:color="auto"/>
            </w:tcBorders>
            <w:shd w:val="clear" w:color="auto" w:fill="F7F7F7"/>
          </w:tcPr>
          <w:p>
            <w:pPr>
              <w:spacing w:after="0"/>
              <w:rPr>
                <w:sz w:val="8"/>
                <w:szCs w:val="8"/>
                <w:color w:val="auto"/>
              </w:rPr>
            </w:pPr>
          </w:p>
        </w:tc>
        <w:tc>
          <w:tcPr>
            <w:tcW w:w="3280" w:type="dxa"/>
            <w:vAlign w:val="bottom"/>
            <w:tcBorders>
              <w:bottom w:val="single" w:sz="8" w:color="auto"/>
            </w:tcBorders>
            <w:shd w:val="clear" w:color="auto" w:fill="F7F7F7"/>
          </w:tcPr>
          <w:p>
            <w:pPr>
              <w:spacing w:after="0"/>
              <w:rPr>
                <w:sz w:val="8"/>
                <w:szCs w:val="8"/>
                <w:color w:val="auto"/>
              </w:rPr>
            </w:pPr>
          </w:p>
        </w:tc>
        <w:tc>
          <w:tcPr>
            <w:tcW w:w="1120" w:type="dxa"/>
            <w:vAlign w:val="bottom"/>
            <w:tcBorders>
              <w:bottom w:val="single" w:sz="8" w:color="auto"/>
            </w:tcBorders>
            <w:shd w:val="clear" w:color="auto" w:fill="F7F7F7"/>
          </w:tcPr>
          <w:p>
            <w:pPr>
              <w:spacing w:after="0"/>
              <w:rPr>
                <w:sz w:val="8"/>
                <w:szCs w:val="8"/>
                <w:color w:val="auto"/>
              </w:rPr>
            </w:pPr>
          </w:p>
        </w:tc>
        <w:tc>
          <w:tcPr>
            <w:tcW w:w="1240" w:type="dxa"/>
            <w:vAlign w:val="bottom"/>
            <w:tcBorders>
              <w:bottom w:val="single" w:sz="8" w:color="auto"/>
            </w:tcBorders>
            <w:shd w:val="clear" w:color="auto" w:fill="F7F7F7"/>
          </w:tcPr>
          <w:p>
            <w:pPr>
              <w:spacing w:after="0"/>
              <w:rPr>
                <w:sz w:val="8"/>
                <w:szCs w:val="8"/>
                <w:color w:val="auto"/>
              </w:rPr>
            </w:pPr>
          </w:p>
        </w:tc>
        <w:tc>
          <w:tcPr>
            <w:tcW w:w="1080" w:type="dxa"/>
            <w:vAlign w:val="bottom"/>
            <w:tcBorders>
              <w:bottom w:val="single" w:sz="8" w:color="auto"/>
            </w:tcBorders>
            <w:shd w:val="clear" w:color="auto" w:fill="F7F7F7"/>
          </w:tcPr>
          <w:p>
            <w:pPr>
              <w:spacing w:after="0"/>
              <w:rPr>
                <w:sz w:val="8"/>
                <w:szCs w:val="8"/>
                <w:color w:val="auto"/>
              </w:rPr>
            </w:pPr>
          </w:p>
        </w:tc>
      </w:tr>
      <w:tr>
        <w:trPr>
          <w:trHeight w:val="292"/>
        </w:trPr>
        <w:tc>
          <w:tcPr>
            <w:tcW w:w="2660" w:type="dxa"/>
            <w:vAlign w:val="bottom"/>
          </w:tcPr>
          <w:p>
            <w:pPr>
              <w:ind w:left="140"/>
              <w:spacing w:after="0"/>
              <w:rPr>
                <w:sz w:val="20"/>
                <w:szCs w:val="20"/>
                <w:color w:val="auto"/>
              </w:rPr>
            </w:pPr>
            <w:r>
              <w:rPr>
                <w:rFonts w:ascii="Arial" w:cs="Arial" w:eastAsia="Arial" w:hAnsi="Arial"/>
                <w:sz w:val="14"/>
                <w:szCs w:val="14"/>
                <w:b w:val="1"/>
                <w:bCs w:val="1"/>
                <w:color w:val="auto"/>
              </w:rPr>
              <w:t>3</w:t>
            </w:r>
          </w:p>
        </w:tc>
        <w:tc>
          <w:tcPr>
            <w:tcW w:w="3280" w:type="dxa"/>
            <w:vAlign w:val="bottom"/>
          </w:tcPr>
          <w:p>
            <w:pPr>
              <w:jc w:val="right"/>
              <w:ind w:right="251"/>
              <w:spacing w:after="0"/>
              <w:rPr>
                <w:sz w:val="20"/>
                <w:szCs w:val="20"/>
                <w:color w:val="auto"/>
              </w:rPr>
            </w:pPr>
            <w:r>
              <w:rPr>
                <w:rFonts w:ascii="Arial" w:cs="Arial" w:eastAsia="Arial" w:hAnsi="Arial"/>
                <w:sz w:val="14"/>
                <w:szCs w:val="14"/>
                <w:color w:val="auto"/>
              </w:rPr>
              <w:t>3,483,568</w:t>
            </w:r>
          </w:p>
        </w:tc>
        <w:tc>
          <w:tcPr>
            <w:tcW w:w="1120" w:type="dxa"/>
            <w:vAlign w:val="bottom"/>
          </w:tcPr>
          <w:p>
            <w:pPr>
              <w:ind w:left="120"/>
              <w:spacing w:after="0"/>
              <w:rPr>
                <w:sz w:val="20"/>
                <w:szCs w:val="20"/>
                <w:color w:val="auto"/>
              </w:rPr>
            </w:pPr>
            <w:r>
              <w:rPr>
                <w:rFonts w:ascii="Arial" w:cs="Arial" w:eastAsia="Arial" w:hAnsi="Arial"/>
                <w:sz w:val="14"/>
                <w:szCs w:val="14"/>
                <w:color w:val="auto"/>
              </w:rPr>
              <w:t>$47.00 billion</w:t>
            </w:r>
          </w:p>
        </w:tc>
        <w:tc>
          <w:tcPr>
            <w:tcW w:w="1240" w:type="dxa"/>
            <w:vAlign w:val="bottom"/>
          </w:tcPr>
          <w:p>
            <w:pPr>
              <w:jc w:val="center"/>
              <w:spacing w:after="0"/>
              <w:rPr>
                <w:sz w:val="20"/>
                <w:szCs w:val="20"/>
                <w:color w:val="auto"/>
              </w:rPr>
            </w:pPr>
            <w:r>
              <w:rPr>
                <w:rFonts w:ascii="Arial" w:cs="Arial" w:eastAsia="Arial" w:hAnsi="Arial"/>
                <w:sz w:val="14"/>
                <w:szCs w:val="14"/>
                <w:color w:val="auto"/>
              </w:rPr>
              <w:t>4X</w:t>
            </w:r>
          </w:p>
        </w:tc>
        <w:tc>
          <w:tcPr>
            <w:tcW w:w="1080" w:type="dxa"/>
            <w:vAlign w:val="bottom"/>
          </w:tcPr>
          <w:p>
            <w:pPr>
              <w:jc w:val="right"/>
              <w:ind w:right="271"/>
              <w:spacing w:after="0"/>
              <w:rPr>
                <w:sz w:val="20"/>
                <w:szCs w:val="20"/>
                <w:color w:val="auto"/>
              </w:rPr>
            </w:pPr>
            <w:r>
              <w:rPr>
                <w:rFonts w:ascii="Arial" w:cs="Arial" w:eastAsia="Arial" w:hAnsi="Arial"/>
                <w:sz w:val="14"/>
                <w:szCs w:val="14"/>
                <w:color w:val="auto"/>
              </w:rPr>
              <w:t>300%</w:t>
            </w:r>
          </w:p>
        </w:tc>
      </w:tr>
      <w:tr>
        <w:trPr>
          <w:trHeight w:val="93"/>
        </w:trPr>
        <w:tc>
          <w:tcPr>
            <w:tcW w:w="2660" w:type="dxa"/>
            <w:vAlign w:val="bottom"/>
            <w:tcBorders>
              <w:bottom w:val="single" w:sz="8" w:color="auto"/>
            </w:tcBorders>
          </w:tcPr>
          <w:p>
            <w:pPr>
              <w:spacing w:after="0"/>
              <w:rPr>
                <w:sz w:val="8"/>
                <w:szCs w:val="8"/>
                <w:color w:val="auto"/>
              </w:rPr>
            </w:pPr>
          </w:p>
        </w:tc>
        <w:tc>
          <w:tcPr>
            <w:tcW w:w="32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r>
        <w:trPr>
          <w:trHeight w:val="292"/>
        </w:trPr>
        <w:tc>
          <w:tcPr>
            <w:tcW w:w="2660" w:type="dxa"/>
            <w:vAlign w:val="bottom"/>
            <w:shd w:val="clear" w:color="auto" w:fill="F7F7F7"/>
          </w:tcPr>
          <w:p>
            <w:pPr>
              <w:ind w:left="140"/>
              <w:spacing w:after="0"/>
              <w:rPr>
                <w:sz w:val="20"/>
                <w:szCs w:val="20"/>
                <w:color w:val="auto"/>
              </w:rPr>
            </w:pPr>
            <w:r>
              <w:rPr>
                <w:rFonts w:ascii="Arial" w:cs="Arial" w:eastAsia="Arial" w:hAnsi="Arial"/>
                <w:sz w:val="14"/>
                <w:szCs w:val="14"/>
                <w:b w:val="1"/>
                <w:bCs w:val="1"/>
                <w:color w:val="auto"/>
              </w:rPr>
              <w:t>4</w:t>
            </w:r>
          </w:p>
        </w:tc>
        <w:tc>
          <w:tcPr>
            <w:tcW w:w="3280" w:type="dxa"/>
            <w:vAlign w:val="bottom"/>
            <w:shd w:val="clear" w:color="auto" w:fill="F7F7F7"/>
          </w:tcPr>
          <w:p>
            <w:pPr>
              <w:jc w:val="right"/>
              <w:ind w:right="251"/>
              <w:spacing w:after="0"/>
              <w:rPr>
                <w:sz w:val="20"/>
                <w:szCs w:val="20"/>
                <w:color w:val="auto"/>
              </w:rPr>
            </w:pPr>
            <w:r>
              <w:rPr>
                <w:rFonts w:ascii="Arial" w:cs="Arial" w:eastAsia="Arial" w:hAnsi="Arial"/>
                <w:sz w:val="14"/>
                <w:szCs w:val="14"/>
                <w:color w:val="auto"/>
              </w:rPr>
              <w:t>3,483,568</w:t>
            </w:r>
          </w:p>
        </w:tc>
        <w:tc>
          <w:tcPr>
            <w:tcW w:w="1120" w:type="dxa"/>
            <w:vAlign w:val="bottom"/>
            <w:shd w:val="clear" w:color="auto" w:fill="F7F7F7"/>
          </w:tcPr>
          <w:p>
            <w:pPr>
              <w:ind w:left="120"/>
              <w:spacing w:after="0"/>
              <w:rPr>
                <w:sz w:val="20"/>
                <w:szCs w:val="20"/>
                <w:color w:val="auto"/>
              </w:rPr>
            </w:pPr>
            <w:r>
              <w:rPr>
                <w:rFonts w:ascii="Arial" w:cs="Arial" w:eastAsia="Arial" w:hAnsi="Arial"/>
                <w:sz w:val="14"/>
                <w:szCs w:val="14"/>
                <w:color w:val="auto"/>
              </w:rPr>
              <w:t>$58.75 billion</w:t>
            </w:r>
          </w:p>
        </w:tc>
        <w:tc>
          <w:tcPr>
            <w:tcW w:w="1240" w:type="dxa"/>
            <w:vAlign w:val="bottom"/>
            <w:shd w:val="clear" w:color="auto" w:fill="F7F7F7"/>
          </w:tcPr>
          <w:p>
            <w:pPr>
              <w:jc w:val="center"/>
              <w:spacing w:after="0"/>
              <w:rPr>
                <w:sz w:val="20"/>
                <w:szCs w:val="20"/>
                <w:color w:val="auto"/>
              </w:rPr>
            </w:pPr>
            <w:r>
              <w:rPr>
                <w:rFonts w:ascii="Arial" w:cs="Arial" w:eastAsia="Arial" w:hAnsi="Arial"/>
                <w:sz w:val="14"/>
                <w:szCs w:val="14"/>
                <w:color w:val="auto"/>
              </w:rPr>
              <w:t>5X</w:t>
            </w:r>
          </w:p>
        </w:tc>
        <w:tc>
          <w:tcPr>
            <w:tcW w:w="1080" w:type="dxa"/>
            <w:vAlign w:val="bottom"/>
            <w:shd w:val="clear" w:color="auto" w:fill="F7F7F7"/>
          </w:tcPr>
          <w:p>
            <w:pPr>
              <w:jc w:val="right"/>
              <w:ind w:right="271"/>
              <w:spacing w:after="0"/>
              <w:rPr>
                <w:sz w:val="20"/>
                <w:szCs w:val="20"/>
                <w:color w:val="auto"/>
              </w:rPr>
            </w:pPr>
            <w:r>
              <w:rPr>
                <w:rFonts w:ascii="Arial" w:cs="Arial" w:eastAsia="Arial" w:hAnsi="Arial"/>
                <w:sz w:val="14"/>
                <w:szCs w:val="14"/>
                <w:color w:val="auto"/>
              </w:rPr>
              <w:t>400%</w:t>
            </w:r>
          </w:p>
        </w:tc>
      </w:tr>
      <w:tr>
        <w:trPr>
          <w:trHeight w:val="93"/>
        </w:trPr>
        <w:tc>
          <w:tcPr>
            <w:tcW w:w="2660" w:type="dxa"/>
            <w:vAlign w:val="bottom"/>
            <w:tcBorders>
              <w:bottom w:val="single" w:sz="8" w:color="auto"/>
            </w:tcBorders>
            <w:shd w:val="clear" w:color="auto" w:fill="F7F7F7"/>
          </w:tcPr>
          <w:p>
            <w:pPr>
              <w:spacing w:after="0"/>
              <w:rPr>
                <w:sz w:val="8"/>
                <w:szCs w:val="8"/>
                <w:color w:val="auto"/>
              </w:rPr>
            </w:pPr>
          </w:p>
        </w:tc>
        <w:tc>
          <w:tcPr>
            <w:tcW w:w="3280" w:type="dxa"/>
            <w:vAlign w:val="bottom"/>
            <w:tcBorders>
              <w:bottom w:val="single" w:sz="8" w:color="auto"/>
            </w:tcBorders>
            <w:shd w:val="clear" w:color="auto" w:fill="F7F7F7"/>
          </w:tcPr>
          <w:p>
            <w:pPr>
              <w:spacing w:after="0"/>
              <w:rPr>
                <w:sz w:val="8"/>
                <w:szCs w:val="8"/>
                <w:color w:val="auto"/>
              </w:rPr>
            </w:pPr>
          </w:p>
        </w:tc>
        <w:tc>
          <w:tcPr>
            <w:tcW w:w="1120" w:type="dxa"/>
            <w:vAlign w:val="bottom"/>
            <w:tcBorders>
              <w:bottom w:val="single" w:sz="8" w:color="auto"/>
            </w:tcBorders>
            <w:shd w:val="clear" w:color="auto" w:fill="F7F7F7"/>
          </w:tcPr>
          <w:p>
            <w:pPr>
              <w:spacing w:after="0"/>
              <w:rPr>
                <w:sz w:val="8"/>
                <w:szCs w:val="8"/>
                <w:color w:val="auto"/>
              </w:rPr>
            </w:pPr>
          </w:p>
        </w:tc>
        <w:tc>
          <w:tcPr>
            <w:tcW w:w="1240" w:type="dxa"/>
            <w:vAlign w:val="bottom"/>
            <w:tcBorders>
              <w:bottom w:val="single" w:sz="8" w:color="auto"/>
            </w:tcBorders>
            <w:shd w:val="clear" w:color="auto" w:fill="F7F7F7"/>
          </w:tcPr>
          <w:p>
            <w:pPr>
              <w:spacing w:after="0"/>
              <w:rPr>
                <w:sz w:val="8"/>
                <w:szCs w:val="8"/>
                <w:color w:val="auto"/>
              </w:rPr>
            </w:pPr>
          </w:p>
        </w:tc>
        <w:tc>
          <w:tcPr>
            <w:tcW w:w="1080" w:type="dxa"/>
            <w:vAlign w:val="bottom"/>
            <w:tcBorders>
              <w:bottom w:val="single" w:sz="8" w:color="auto"/>
            </w:tcBorders>
            <w:shd w:val="clear" w:color="auto" w:fill="F7F7F7"/>
          </w:tcPr>
          <w:p>
            <w:pPr>
              <w:spacing w:after="0"/>
              <w:rPr>
                <w:sz w:val="8"/>
                <w:szCs w:val="8"/>
                <w:color w:val="auto"/>
              </w:rPr>
            </w:pPr>
          </w:p>
        </w:tc>
      </w:tr>
      <w:tr>
        <w:trPr>
          <w:trHeight w:val="292"/>
        </w:trPr>
        <w:tc>
          <w:tcPr>
            <w:tcW w:w="2660" w:type="dxa"/>
            <w:vAlign w:val="bottom"/>
          </w:tcPr>
          <w:p>
            <w:pPr>
              <w:ind w:left="140"/>
              <w:spacing w:after="0"/>
              <w:rPr>
                <w:sz w:val="20"/>
                <w:szCs w:val="20"/>
                <w:color w:val="auto"/>
              </w:rPr>
            </w:pPr>
            <w:r>
              <w:rPr>
                <w:rFonts w:ascii="Arial" w:cs="Arial" w:eastAsia="Arial" w:hAnsi="Arial"/>
                <w:sz w:val="14"/>
                <w:szCs w:val="14"/>
                <w:b w:val="1"/>
                <w:bCs w:val="1"/>
                <w:color w:val="auto"/>
              </w:rPr>
              <w:t>5</w:t>
            </w:r>
          </w:p>
        </w:tc>
        <w:tc>
          <w:tcPr>
            <w:tcW w:w="3280" w:type="dxa"/>
            <w:vAlign w:val="bottom"/>
          </w:tcPr>
          <w:p>
            <w:pPr>
              <w:jc w:val="right"/>
              <w:ind w:right="251"/>
              <w:spacing w:after="0"/>
              <w:rPr>
                <w:sz w:val="20"/>
                <w:szCs w:val="20"/>
                <w:color w:val="auto"/>
              </w:rPr>
            </w:pPr>
            <w:r>
              <w:rPr>
                <w:rFonts w:ascii="Arial" w:cs="Arial" w:eastAsia="Arial" w:hAnsi="Arial"/>
                <w:sz w:val="14"/>
                <w:szCs w:val="14"/>
                <w:color w:val="auto"/>
              </w:rPr>
              <w:t>2,090,140</w:t>
            </w:r>
          </w:p>
        </w:tc>
        <w:tc>
          <w:tcPr>
            <w:tcW w:w="1120" w:type="dxa"/>
            <w:vAlign w:val="bottom"/>
          </w:tcPr>
          <w:p>
            <w:pPr>
              <w:ind w:left="120"/>
              <w:spacing w:after="0"/>
              <w:rPr>
                <w:sz w:val="20"/>
                <w:szCs w:val="20"/>
                <w:color w:val="auto"/>
              </w:rPr>
            </w:pPr>
            <w:r>
              <w:rPr>
                <w:rFonts w:ascii="Arial" w:cs="Arial" w:eastAsia="Arial" w:hAnsi="Arial"/>
                <w:sz w:val="14"/>
                <w:szCs w:val="14"/>
                <w:color w:val="auto"/>
              </w:rPr>
              <w:t>$70.50 billion</w:t>
            </w:r>
          </w:p>
        </w:tc>
        <w:tc>
          <w:tcPr>
            <w:tcW w:w="1240" w:type="dxa"/>
            <w:vAlign w:val="bottom"/>
          </w:tcPr>
          <w:p>
            <w:pPr>
              <w:jc w:val="center"/>
              <w:spacing w:after="0"/>
              <w:rPr>
                <w:sz w:val="20"/>
                <w:szCs w:val="20"/>
                <w:color w:val="auto"/>
              </w:rPr>
            </w:pPr>
            <w:r>
              <w:rPr>
                <w:rFonts w:ascii="Arial" w:cs="Arial" w:eastAsia="Arial" w:hAnsi="Arial"/>
                <w:sz w:val="14"/>
                <w:szCs w:val="14"/>
                <w:color w:val="auto"/>
              </w:rPr>
              <w:t>6X</w:t>
            </w:r>
          </w:p>
        </w:tc>
        <w:tc>
          <w:tcPr>
            <w:tcW w:w="1080" w:type="dxa"/>
            <w:vAlign w:val="bottom"/>
          </w:tcPr>
          <w:p>
            <w:pPr>
              <w:jc w:val="right"/>
              <w:ind w:right="271"/>
              <w:spacing w:after="0"/>
              <w:rPr>
                <w:sz w:val="20"/>
                <w:szCs w:val="20"/>
                <w:color w:val="auto"/>
              </w:rPr>
            </w:pPr>
            <w:r>
              <w:rPr>
                <w:rFonts w:ascii="Arial" w:cs="Arial" w:eastAsia="Arial" w:hAnsi="Arial"/>
                <w:sz w:val="14"/>
                <w:szCs w:val="14"/>
                <w:color w:val="auto"/>
              </w:rPr>
              <w:t>500%</w:t>
            </w:r>
          </w:p>
        </w:tc>
      </w:tr>
      <w:tr>
        <w:trPr>
          <w:trHeight w:val="93"/>
        </w:trPr>
        <w:tc>
          <w:tcPr>
            <w:tcW w:w="2660" w:type="dxa"/>
            <w:vAlign w:val="bottom"/>
            <w:tcBorders>
              <w:bottom w:val="single" w:sz="8" w:color="auto"/>
            </w:tcBorders>
          </w:tcPr>
          <w:p>
            <w:pPr>
              <w:spacing w:after="0"/>
              <w:rPr>
                <w:sz w:val="8"/>
                <w:szCs w:val="8"/>
                <w:color w:val="auto"/>
              </w:rPr>
            </w:pPr>
          </w:p>
        </w:tc>
        <w:tc>
          <w:tcPr>
            <w:tcW w:w="32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bl>
    <w:p>
      <w:pPr>
        <w:spacing w:after="0" w:line="265" w:lineRule="exact"/>
        <w:rPr>
          <w:sz w:val="20"/>
          <w:szCs w:val="20"/>
          <w:color w:val="auto"/>
        </w:rPr>
      </w:pPr>
    </w:p>
    <w:p>
      <w:pPr>
        <w:ind w:left="780" w:hanging="126"/>
        <w:spacing w:after="0"/>
        <w:tabs>
          <w:tab w:leader="none" w:pos="780" w:val="left"/>
        </w:tabs>
        <w:numPr>
          <w:ilvl w:val="0"/>
          <w:numId w:val="38"/>
        </w:numPr>
        <w:rPr>
          <w:rFonts w:ascii="Arial" w:cs="Arial" w:eastAsia="Arial" w:hAnsi="Arial"/>
          <w:sz w:val="15"/>
          <w:szCs w:val="15"/>
          <w:color w:val="auto"/>
          <w:vertAlign w:val="superscript"/>
        </w:rPr>
      </w:pPr>
      <w:r>
        <w:rPr>
          <w:rFonts w:ascii="Arial" w:cs="Arial" w:eastAsia="Arial" w:hAnsi="Arial"/>
          <w:sz w:val="10"/>
          <w:szCs w:val="10"/>
          <w:color w:val="auto"/>
        </w:rPr>
        <w:t>Measured from the equity valuation of $11.75 billion at the time of the Merger.</w:t>
      </w:r>
    </w:p>
    <w:p>
      <w:pPr>
        <w:spacing w:after="0" w:line="213" w:lineRule="exact"/>
        <w:rPr>
          <w:sz w:val="20"/>
          <w:szCs w:val="20"/>
          <w:color w:val="auto"/>
        </w:rPr>
      </w:pPr>
    </w:p>
    <w:p>
      <w:pPr>
        <w:ind w:left="660" w:right="740"/>
        <w:spacing w:after="0" w:line="267" w:lineRule="auto"/>
        <w:rPr>
          <w:sz w:val="20"/>
          <w:szCs w:val="20"/>
          <w:color w:val="auto"/>
        </w:rPr>
      </w:pPr>
      <w:r>
        <w:rPr>
          <w:rFonts w:ascii="Arial" w:cs="Arial" w:eastAsia="Arial" w:hAnsi="Arial"/>
          <w:sz w:val="16"/>
          <w:szCs w:val="16"/>
          <w:color w:val="auto"/>
        </w:rPr>
        <w:t>Any CEO Performance RSUs that do not vest within five years after the closing of the Merger (such period, the “Performance Period”) will be forfeited. Upon a termination without “cause” or upon a “constructive termination” (as each such term is defined in the CEO Grant award agreement), the CEO Performance RSUs will remain outstanding and eligible to vest upon attainment of the Performance Goals for six months (or the end of the Performance Period, if sooner) following such termination of employment, subject to Mr. Rawlinson’s execution of a release of claims.</w:t>
      </w:r>
    </w:p>
    <w:p>
      <w:pPr>
        <w:spacing w:after="0" w:line="205" w:lineRule="exact"/>
        <w:rPr>
          <w:sz w:val="20"/>
          <w:szCs w:val="20"/>
          <w:color w:val="auto"/>
        </w:rPr>
      </w:pPr>
    </w:p>
    <w:p>
      <w:pPr>
        <w:ind w:left="660" w:right="680"/>
        <w:spacing w:after="0" w:line="266" w:lineRule="auto"/>
        <w:rPr>
          <w:sz w:val="20"/>
          <w:szCs w:val="20"/>
          <w:color w:val="auto"/>
        </w:rPr>
      </w:pPr>
      <w:r>
        <w:rPr>
          <w:rFonts w:ascii="Arial" w:cs="Arial" w:eastAsia="Arial" w:hAnsi="Arial"/>
          <w:sz w:val="16"/>
          <w:szCs w:val="16"/>
          <w:color w:val="auto"/>
        </w:rPr>
        <w:t>In the event of a change in control of Lucid Group following the closing of the Merger, any unvested CEO Time-Based RSUs to the extent not assumed or substituted in connection with such change in control will vest subject to Mr. Rawlinson’s continued employment through the change in control or a termination without cause or constructive termination within thirty days prior to the change in control, subject to Mr. Rawlinson’s execution of a release of claims. If the CEO Time-Based RSUs are assumed or substituted in connection with the change in control, any unvested CEO Time-Based RSUs will vest if Mr. Rawlinson experiences a termination without cause or constructive termination within twelve months following the change in control. With respect to the CEO Performance RSUs, subject to Mr. Rawlinson’s continued service through the change in control, any unvested CEO</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900" w:type="dxa"/>
            <w:vAlign w:val="bottom"/>
          </w:tcPr>
          <w:p>
            <w:pPr>
              <w:ind w:left="660"/>
              <w:spacing w:after="0"/>
              <w:rPr>
                <w:sz w:val="20"/>
                <w:szCs w:val="20"/>
                <w:color w:val="auto"/>
              </w:rPr>
            </w:pPr>
            <w:r>
              <w:rPr>
                <w:rFonts w:ascii="Arial" w:cs="Arial" w:eastAsia="Arial" w:hAnsi="Arial"/>
                <w:sz w:val="13"/>
                <w:szCs w:val="13"/>
                <w:color w:val="auto"/>
              </w:rPr>
              <w:t>2022 Proxy Statement</w:t>
            </w:r>
          </w:p>
        </w:tc>
        <w:tc>
          <w:tcPr>
            <w:tcW w:w="4820" w:type="dxa"/>
            <w:vAlign w:val="bottom"/>
          </w:tcPr>
          <w:p>
            <w:pPr>
              <w:jc w:val="right"/>
              <w:ind w:right="617"/>
              <w:spacing w:after="0"/>
              <w:rPr>
                <w:sz w:val="20"/>
                <w:szCs w:val="20"/>
                <w:color w:val="auto"/>
              </w:rPr>
            </w:pPr>
            <w:r>
              <w:rPr>
                <w:rFonts w:ascii="Arial" w:cs="Arial" w:eastAsia="Arial" w:hAnsi="Arial"/>
                <w:sz w:val="13"/>
                <w:szCs w:val="13"/>
                <w:b w:val="1"/>
                <w:bCs w:val="1"/>
                <w:color w:val="auto"/>
              </w:rPr>
              <w:t>53</w:t>
            </w:r>
          </w:p>
        </w:tc>
      </w:tr>
      <w:tr>
        <w:trPr>
          <w:trHeight w:val="158"/>
        </w:trPr>
        <w:tc>
          <w:tcPr>
            <w:tcW w:w="590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62" w:name="page63"/>
    <w:bookmarkEnd w:id="62"/>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60" w:right="100"/>
        <w:spacing w:after="0" w:line="286" w:lineRule="auto"/>
        <w:rPr>
          <w:sz w:val="20"/>
          <w:szCs w:val="20"/>
          <w:color w:val="auto"/>
        </w:rPr>
      </w:pPr>
      <w:r>
        <w:rPr>
          <w:rFonts w:ascii="Arial" w:cs="Arial" w:eastAsia="Arial" w:hAnsi="Arial"/>
          <w:sz w:val="16"/>
          <w:szCs w:val="16"/>
          <w:color w:val="auto"/>
        </w:rPr>
        <w:t>Performance RSUs will vest on the change in control to the extent the per share deal price exceeds the relevant market capitalization goal. In addition, upon a private financing or public offering of Lucid Group’s common stock with proceeds of at least $1 billion, if the price per share implied by the financing exceeds the relevant market capitalization goal, the CEO Performance RSUs associated with such goal will vest.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Other Compensation</w:t>
      </w:r>
    </w:p>
    <w:p>
      <w:pPr>
        <w:spacing w:after="0" w:line="394" w:lineRule="exact"/>
        <w:rPr>
          <w:sz w:val="20"/>
          <w:szCs w:val="20"/>
          <w:color w:val="auto"/>
        </w:rPr>
      </w:pPr>
    </w:p>
    <w:p>
      <w:pPr>
        <w:ind w:left="660"/>
        <w:spacing w:after="0"/>
        <w:rPr>
          <w:sz w:val="20"/>
          <w:szCs w:val="20"/>
          <w:color w:val="auto"/>
        </w:rPr>
      </w:pPr>
      <w:r>
        <w:rPr>
          <w:rFonts w:ascii="Arial" w:cs="Arial" w:eastAsia="Arial" w:hAnsi="Arial"/>
          <w:sz w:val="16"/>
          <w:szCs w:val="16"/>
          <w:color w:val="886B25"/>
        </w:rPr>
        <w:t>Retirement</w:t>
      </w:r>
    </w:p>
    <w:p>
      <w:pPr>
        <w:spacing w:after="0" w:line="181" w:lineRule="exact"/>
        <w:rPr>
          <w:sz w:val="20"/>
          <w:szCs w:val="20"/>
          <w:color w:val="auto"/>
        </w:rPr>
      </w:pPr>
    </w:p>
    <w:p>
      <w:pPr>
        <w:ind w:left="660" w:right="340"/>
        <w:spacing w:after="0" w:line="295" w:lineRule="auto"/>
        <w:rPr>
          <w:sz w:val="20"/>
          <w:szCs w:val="20"/>
          <w:color w:val="auto"/>
        </w:rPr>
      </w:pPr>
      <w:r>
        <w:rPr>
          <w:rFonts w:ascii="Arial" w:cs="Arial" w:eastAsia="Arial" w:hAnsi="Arial"/>
          <w:sz w:val="16"/>
          <w:szCs w:val="16"/>
          <w:color w:val="auto"/>
        </w:rPr>
        <w:t>We maintain a 401(k) retirement savings plan for our employees in the United States, including the NEOs, who satisfy certain eligibility requirements. Our NEOs are eligible to participate in the 401(k) plan on the same terms as other full-time employees.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6"/>
          <w:szCs w:val="16"/>
          <w:color w:val="886B25"/>
        </w:rPr>
        <w:t>Employee Benefits and Perquisites</w:t>
      </w:r>
    </w:p>
    <w:p>
      <w:pPr>
        <w:spacing w:after="0" w:line="181" w:lineRule="exact"/>
        <w:rPr>
          <w:sz w:val="20"/>
          <w:szCs w:val="20"/>
          <w:color w:val="auto"/>
        </w:rPr>
      </w:pPr>
    </w:p>
    <w:p>
      <w:pPr>
        <w:ind w:left="660" w:right="180"/>
        <w:spacing w:after="0" w:line="285" w:lineRule="auto"/>
        <w:rPr>
          <w:sz w:val="20"/>
          <w:szCs w:val="20"/>
          <w:color w:val="auto"/>
        </w:rPr>
      </w:pPr>
      <w:r>
        <w:rPr>
          <w:rFonts w:ascii="Arial" w:cs="Arial" w:eastAsia="Arial" w:hAnsi="Arial"/>
          <w:sz w:val="16"/>
          <w:szCs w:val="16"/>
          <w:color w:val="auto"/>
        </w:rPr>
        <w:t>All of our full-time employees, including the NEOs, are eligible to participate in our health and welfare plans, including medical, dental and vision benefits, medical and dependent care flexible spending accounts and life insurance. We pay for executive disability insurance premiums for the NEOs in the amounts set forth in the Summary Compensation Table below. We do not view perquisites or other personal benefits as a significant component of our executive compensation program and do not provide material perquisites to our NEOs.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6"/>
          <w:szCs w:val="16"/>
          <w:color w:val="886B25"/>
        </w:rPr>
        <w:t>Series E Purchase</w:t>
      </w:r>
    </w:p>
    <w:p>
      <w:pPr>
        <w:spacing w:after="0" w:line="181" w:lineRule="exact"/>
        <w:rPr>
          <w:sz w:val="20"/>
          <w:szCs w:val="20"/>
          <w:color w:val="auto"/>
        </w:rPr>
      </w:pPr>
    </w:p>
    <w:p>
      <w:pPr>
        <w:ind w:left="660" w:right="200"/>
        <w:spacing w:after="0" w:line="284" w:lineRule="auto"/>
        <w:rPr>
          <w:sz w:val="20"/>
          <w:szCs w:val="20"/>
          <w:color w:val="auto"/>
        </w:rPr>
      </w:pPr>
      <w:r>
        <w:rPr>
          <w:rFonts w:ascii="Arial" w:cs="Arial" w:eastAsia="Arial" w:hAnsi="Arial"/>
          <w:sz w:val="16"/>
          <w:szCs w:val="16"/>
          <w:color w:val="auto"/>
        </w:rPr>
        <w:t>On April 2, 2021, certain employees of Atieva, including Mr. Rawlinson, Mr. Bach and Mr. Bell, as well as directors, purchased shares of Atieva, Inc. Series E Preferred Shares at a purchase price of $7.90 per share (converted to a price of $2.99 per share after the Merger). It was subsequently determined that the fair market value of Series E Preferred Shares on April 2, 2021, after conversion in the Merger, was actually $15.26 per share. The difference between the purchase price and the fair market value is treated as compensation for tax purposes and the difference is reported as “All Other Compensation” in the 2021 Summary Compensation Table.</w:t>
      </w:r>
    </w:p>
    <w:p>
      <w:pPr>
        <w:spacing w:after="0" w:line="206" w:lineRule="exact"/>
        <w:rPr>
          <w:sz w:val="20"/>
          <w:szCs w:val="20"/>
          <w:color w:val="auto"/>
        </w:rPr>
      </w:pPr>
    </w:p>
    <w:p>
      <w:pPr>
        <w:ind w:left="660" w:right="240"/>
        <w:spacing w:after="0" w:line="281" w:lineRule="auto"/>
        <w:rPr>
          <w:sz w:val="20"/>
          <w:szCs w:val="20"/>
          <w:color w:val="auto"/>
        </w:rPr>
      </w:pPr>
      <w:r>
        <w:rPr>
          <w:rFonts w:ascii="Arial" w:cs="Arial" w:eastAsia="Arial" w:hAnsi="Arial"/>
          <w:sz w:val="16"/>
          <w:szCs w:val="16"/>
          <w:color w:val="auto"/>
        </w:rPr>
        <w:t>In October 2021, in order to allow directors and employees, including Mr. Rawlinson, Mr. Bach and Mr. Bell, to satisfy certain tax obligations (including tax withholding obligations of the Company) with respect to the Series E Preferred Shares, the Company repurchased an aggregate of 857,825 shares of its common stock from certain individuals, including 178,796 shares from</w:t>
      </w:r>
    </w:p>
    <w:p>
      <w:pPr>
        <w:spacing w:after="0" w:line="2" w:lineRule="exact"/>
        <w:rPr>
          <w:sz w:val="20"/>
          <w:szCs w:val="20"/>
          <w:color w:val="auto"/>
        </w:rPr>
      </w:pPr>
    </w:p>
    <w:p>
      <w:pPr>
        <w:ind w:left="660" w:right="80"/>
        <w:spacing w:after="0" w:line="285" w:lineRule="auto"/>
        <w:rPr>
          <w:sz w:val="20"/>
          <w:szCs w:val="20"/>
          <w:color w:val="auto"/>
        </w:rPr>
      </w:pPr>
      <w:r>
        <w:rPr>
          <w:rFonts w:ascii="Arial" w:cs="Arial" w:eastAsia="Arial" w:hAnsi="Arial"/>
          <w:sz w:val="16"/>
          <w:szCs w:val="16"/>
          <w:color w:val="auto"/>
        </w:rPr>
        <w:t>Mr. Rawlinson, 195,557 shares from Mr. Bach and 33,526 shares from Mr. Bell (such transactions, the “Repurchases”). The repurchase price was $24.15 per share, which was equal to the average closing price of our common stock on the Nasdaq Global Select Market for the three-trading day period ending on and including October 6, 2021, the second trading day prior to the date of the Repurchases. The Company applied the proceeds received from the Repurchases to the applicable U.S. tax authorities to satisfy tax obligations.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Offer Letters &amp; Employment Arrangements</w:t>
      </w:r>
    </w:p>
    <w:p>
      <w:pPr>
        <w:spacing w:after="0" w:line="205" w:lineRule="exact"/>
        <w:rPr>
          <w:sz w:val="20"/>
          <w:szCs w:val="20"/>
          <w:color w:val="auto"/>
        </w:rPr>
      </w:pPr>
    </w:p>
    <w:p>
      <w:pPr>
        <w:ind w:left="660" w:right="40"/>
        <w:spacing w:after="0" w:line="284" w:lineRule="auto"/>
        <w:rPr>
          <w:sz w:val="20"/>
          <w:szCs w:val="20"/>
          <w:color w:val="auto"/>
        </w:rPr>
      </w:pPr>
      <w:r>
        <w:rPr>
          <w:rFonts w:ascii="Arial" w:cs="Arial" w:eastAsia="Arial" w:hAnsi="Arial"/>
          <w:sz w:val="16"/>
          <w:szCs w:val="16"/>
          <w:color w:val="auto"/>
        </w:rPr>
        <w:t>Lucid entered into offer letters with Messrs. Rawlinson, Bach, Bell and Ms. House each of which provides for at-will employment and provides for no specified term of employment. Each of Ms. House’s and Mr. Bell’s offer letter provides for a $100,000 and $250,000 sign-on bonus, respectively, as described above and an initial grant of 250,000 and 500,000, respectively, RSUs. In addition, as a condition of their employment, each of the NEOs was required to sign a Confidential Information and Invention Assignment Agreement (“Restrictive Covenant Agreement”) which includes, among other provisions, a 24-month post-employment non solicit of employees and customers, a perpetual confidentiality covenant and an assignment of inventions provision.</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Termination and Change in Control Agreements</w:t>
      </w:r>
    </w:p>
    <w:p>
      <w:pPr>
        <w:spacing w:after="0" w:line="205" w:lineRule="exact"/>
        <w:rPr>
          <w:sz w:val="20"/>
          <w:szCs w:val="20"/>
          <w:color w:val="auto"/>
        </w:rPr>
      </w:pPr>
    </w:p>
    <w:p>
      <w:pPr>
        <w:ind w:left="660" w:right="200"/>
        <w:spacing w:after="0" w:line="283" w:lineRule="auto"/>
        <w:rPr>
          <w:sz w:val="20"/>
          <w:szCs w:val="20"/>
          <w:color w:val="auto"/>
        </w:rPr>
      </w:pPr>
      <w:r>
        <w:rPr>
          <w:rFonts w:ascii="Arial" w:cs="Arial" w:eastAsia="Arial" w:hAnsi="Arial"/>
          <w:sz w:val="16"/>
          <w:szCs w:val="16"/>
          <w:color w:val="auto"/>
        </w:rPr>
        <w:t>Each of our NEOs also participates in the Lucid Group, Inc. Executive Severance Benefit Plan (the “Executive Severance Plan”). Under the terms of the Executive Severance Plan, participants are entitled to receive the following in the event of a termination without “cause” or on a “constructive termination” (as each such term is defined in the Executive Severance Plan), subject to the participant’s execution of a release of claims: (i) a continuation of base salary for the number of months as set forth in the participant’s participation agreement, (ii) COBRA continuation premium payments for the number of months as set forth in the participant’s participation agreement, and (iii) accelerated vesting of a certain percentage of the participant’s outstanding equity awards (but accelerated vesting under the Executive Severance Plan does not apply to the CEO Grant, which contains its own terms relative to accelerated vesting under certain circumstances, as described above under “CEO Grant”).</w:t>
      </w:r>
    </w:p>
    <w:p>
      <w:pPr>
        <w:sectPr>
          <w:pgSz w:w="11900" w:h="16838" w:orient="portrait"/>
          <w:cols w:equalWidth="0" w:num="1">
            <w:col w:w="10040"/>
          </w:cols>
          <w:pgMar w:left="580" w:top="132" w:right="1279" w:bottom="1440" w:gutter="0" w:footer="0" w:header="0"/>
        </w:sectPr>
      </w:pPr>
    </w:p>
    <w:p>
      <w:pPr>
        <w:spacing w:after="0" w:line="374"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2"/>
          <w:szCs w:val="12"/>
          <w:b w:val="1"/>
          <w:bCs w:val="1"/>
          <w:color w:val="auto"/>
        </w:rPr>
        <w:t>54</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110490</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type w:val="continuous"/>
        </w:sectPr>
      </w:pPr>
    </w:p>
    <w:bookmarkStart w:id="63" w:name="page64"/>
    <w:bookmarkEnd w:id="63"/>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60" w:right="820"/>
        <w:spacing w:after="0" w:line="267" w:lineRule="auto"/>
        <w:rPr>
          <w:sz w:val="20"/>
          <w:szCs w:val="20"/>
          <w:color w:val="auto"/>
        </w:rPr>
      </w:pPr>
      <w:r>
        <w:rPr>
          <w:rFonts w:ascii="Arial" w:cs="Arial" w:eastAsia="Arial" w:hAnsi="Arial"/>
          <w:sz w:val="16"/>
          <w:szCs w:val="16"/>
          <w:color w:val="auto"/>
        </w:rPr>
        <w:t>In the event of a termination without “cause” or on a “constructive termination” within 3 months prior to or 12 months following a change in control (a “Change in Control Termination”), participants are entitled to receive the following, subject to the participant’s execution of a release of claims: (i) a continuation of base salary and bonus for the number of months as set forth in the participant’s participation agreement, (ii) COBRA continuation premium payments for the number of months as set forth in the participant’s participation agreement, and (iii) accelerated vesting of 100% of the participant’s outstanding equity awards.</w:t>
      </w:r>
    </w:p>
    <w:p>
      <w:pPr>
        <w:spacing w:after="0" w:line="205" w:lineRule="exact"/>
        <w:rPr>
          <w:sz w:val="20"/>
          <w:szCs w:val="20"/>
          <w:color w:val="auto"/>
        </w:rPr>
      </w:pPr>
    </w:p>
    <w:p>
      <w:pPr>
        <w:ind w:left="660" w:right="780"/>
        <w:spacing w:after="0" w:line="271" w:lineRule="auto"/>
        <w:rPr>
          <w:sz w:val="20"/>
          <w:szCs w:val="20"/>
          <w:color w:val="auto"/>
        </w:rPr>
      </w:pPr>
      <w:r>
        <w:rPr>
          <w:rFonts w:ascii="Arial" w:cs="Arial" w:eastAsia="Arial" w:hAnsi="Arial"/>
          <w:sz w:val="16"/>
          <w:szCs w:val="16"/>
          <w:color w:val="auto"/>
        </w:rPr>
        <w:t>Under the Executive Severance Plan, a participant’s right to receive severance benefits terminates in the event of the participant’s breach of the Restrictive Covenant Agreement or the participant utilizes our trade secrets to solicit employees to leave us or to induce any of our then-current clients, customers or suppliers to terminate their business relationship with us.</w:t>
      </w:r>
    </w:p>
    <w:p>
      <w:pPr>
        <w:spacing w:after="0" w:line="200" w:lineRule="exact"/>
        <w:rPr>
          <w:sz w:val="20"/>
          <w:szCs w:val="20"/>
          <w:color w:val="auto"/>
        </w:rPr>
      </w:pPr>
    </w:p>
    <w:p>
      <w:pPr>
        <w:ind w:left="660" w:right="880"/>
        <w:spacing w:after="0" w:line="278" w:lineRule="auto"/>
        <w:rPr>
          <w:sz w:val="20"/>
          <w:szCs w:val="20"/>
          <w:color w:val="auto"/>
        </w:rPr>
      </w:pPr>
      <w:r>
        <w:rPr>
          <w:rFonts w:ascii="Arial" w:cs="Arial" w:eastAsia="Arial" w:hAnsi="Arial"/>
          <w:sz w:val="16"/>
          <w:szCs w:val="16"/>
          <w:color w:val="auto"/>
        </w:rPr>
        <w:t>On September 15, 2021, our Compensation Committee approved the severance levels that apply to each of the NEOs under the Executive Severance Benefit Plan which are set forth in the table below.</w:t>
      </w:r>
    </w:p>
    <w:p>
      <w:pPr>
        <w:spacing w:after="0" w:line="247" w:lineRule="exact"/>
        <w:rPr>
          <w:sz w:val="20"/>
          <w:szCs w:val="20"/>
          <w:color w:val="auto"/>
        </w:rPr>
      </w:pPr>
    </w:p>
    <w:tbl>
      <w:tblPr>
        <w:tblLayout w:type="fixed"/>
        <w:tblInd w:w="660" w:type="dxa"/>
        <w:tblCellMar>
          <w:top w:w="0" w:type="dxa"/>
          <w:left w:w="0" w:type="dxa"/>
          <w:bottom w:w="0" w:type="dxa"/>
          <w:right w:w="0" w:type="dxa"/>
        </w:tblCellMar>
      </w:tblPr>
      <w:tr>
        <w:trPr>
          <w:trHeight w:val="248"/>
        </w:trPr>
        <w:tc>
          <w:tcPr>
            <w:tcW w:w="2780" w:type="dxa"/>
            <w:vAlign w:val="bottom"/>
            <w:shd w:val="clear" w:color="auto" w:fill="000000"/>
          </w:tcPr>
          <w:p>
            <w:pPr>
              <w:ind w:left="140"/>
              <w:spacing w:after="0"/>
              <w:rPr>
                <w:sz w:val="20"/>
                <w:szCs w:val="20"/>
                <w:color w:val="auto"/>
              </w:rPr>
            </w:pPr>
            <w:r>
              <w:rPr>
                <w:rFonts w:ascii="Arial" w:cs="Arial" w:eastAsia="Arial" w:hAnsi="Arial"/>
                <w:sz w:val="13"/>
                <w:szCs w:val="13"/>
                <w:b w:val="1"/>
                <w:bCs w:val="1"/>
                <w:color w:val="FEFEFE"/>
              </w:rPr>
              <w:t>Name</w:t>
            </w:r>
          </w:p>
        </w:tc>
        <w:tc>
          <w:tcPr>
            <w:tcW w:w="4080" w:type="dxa"/>
            <w:vAlign w:val="bottom"/>
            <w:shd w:val="clear" w:color="auto" w:fill="000000"/>
          </w:tcPr>
          <w:p>
            <w:pPr>
              <w:jc w:val="center"/>
              <w:ind w:left="1552"/>
              <w:spacing w:after="0"/>
              <w:rPr>
                <w:sz w:val="20"/>
                <w:szCs w:val="20"/>
                <w:color w:val="auto"/>
              </w:rPr>
            </w:pPr>
            <w:r>
              <w:rPr>
                <w:rFonts w:ascii="Arial" w:cs="Arial" w:eastAsia="Arial" w:hAnsi="Arial"/>
                <w:sz w:val="13"/>
                <w:szCs w:val="13"/>
                <w:b w:val="1"/>
                <w:bCs w:val="1"/>
                <w:color w:val="FEFEFE"/>
                <w:w w:val="96"/>
              </w:rPr>
              <w:t>Salary and Benefits Continuation Not</w:t>
            </w:r>
          </w:p>
        </w:tc>
        <w:tc>
          <w:tcPr>
            <w:tcW w:w="2520" w:type="dxa"/>
            <w:vAlign w:val="bottom"/>
            <w:shd w:val="clear" w:color="auto" w:fill="000000"/>
          </w:tcPr>
          <w:p>
            <w:pPr>
              <w:jc w:val="center"/>
              <w:ind w:right="32"/>
              <w:spacing w:after="0"/>
              <w:rPr>
                <w:sz w:val="20"/>
                <w:szCs w:val="20"/>
                <w:color w:val="auto"/>
              </w:rPr>
            </w:pPr>
            <w:r>
              <w:rPr>
                <w:rFonts w:ascii="Arial" w:cs="Arial" w:eastAsia="Arial" w:hAnsi="Arial"/>
                <w:sz w:val="13"/>
                <w:szCs w:val="13"/>
                <w:b w:val="1"/>
                <w:bCs w:val="1"/>
                <w:color w:val="FEFEFE"/>
                <w:w w:val="97"/>
              </w:rPr>
              <w:t>Salary and Benefits Continuation in</w:t>
            </w:r>
          </w:p>
        </w:tc>
      </w:tr>
      <w:tr>
        <w:trPr>
          <w:trHeight w:val="135"/>
        </w:trPr>
        <w:tc>
          <w:tcPr>
            <w:tcW w:w="2780" w:type="dxa"/>
            <w:vAlign w:val="bottom"/>
            <w:shd w:val="clear" w:color="auto" w:fill="000000"/>
          </w:tcPr>
          <w:p>
            <w:pPr>
              <w:spacing w:after="0"/>
              <w:rPr>
                <w:sz w:val="11"/>
                <w:szCs w:val="11"/>
                <w:color w:val="auto"/>
              </w:rPr>
            </w:pPr>
          </w:p>
        </w:tc>
        <w:tc>
          <w:tcPr>
            <w:tcW w:w="4080" w:type="dxa"/>
            <w:vAlign w:val="bottom"/>
            <w:shd w:val="clear" w:color="auto" w:fill="000000"/>
          </w:tcPr>
          <w:p>
            <w:pPr>
              <w:jc w:val="center"/>
              <w:ind w:left="1552"/>
              <w:spacing w:after="0" w:line="135" w:lineRule="exact"/>
              <w:rPr>
                <w:sz w:val="20"/>
                <w:szCs w:val="20"/>
                <w:color w:val="auto"/>
              </w:rPr>
            </w:pPr>
            <w:r>
              <w:rPr>
                <w:rFonts w:ascii="Arial" w:cs="Arial" w:eastAsia="Arial" w:hAnsi="Arial"/>
                <w:sz w:val="13"/>
                <w:szCs w:val="13"/>
                <w:b w:val="1"/>
                <w:bCs w:val="1"/>
                <w:color w:val="FEFEFE"/>
                <w:w w:val="96"/>
              </w:rPr>
              <w:t>in Connection with a Change in</w:t>
            </w:r>
          </w:p>
        </w:tc>
        <w:tc>
          <w:tcPr>
            <w:tcW w:w="2520" w:type="dxa"/>
            <w:vAlign w:val="bottom"/>
            <w:shd w:val="clear" w:color="auto" w:fill="000000"/>
          </w:tcPr>
          <w:p>
            <w:pPr>
              <w:jc w:val="center"/>
              <w:ind w:right="32"/>
              <w:spacing w:after="0" w:line="135" w:lineRule="exact"/>
              <w:rPr>
                <w:sz w:val="20"/>
                <w:szCs w:val="20"/>
                <w:color w:val="auto"/>
              </w:rPr>
            </w:pPr>
            <w:r>
              <w:rPr>
                <w:rFonts w:ascii="Arial" w:cs="Arial" w:eastAsia="Arial" w:hAnsi="Arial"/>
                <w:sz w:val="13"/>
                <w:szCs w:val="13"/>
                <w:b w:val="1"/>
                <w:bCs w:val="1"/>
                <w:color w:val="FEFEFE"/>
                <w:w w:val="97"/>
              </w:rPr>
              <w:t>Connection with a Change in Control</w:t>
            </w:r>
          </w:p>
        </w:tc>
      </w:tr>
      <w:tr>
        <w:trPr>
          <w:trHeight w:val="168"/>
        </w:trPr>
        <w:tc>
          <w:tcPr>
            <w:tcW w:w="2780" w:type="dxa"/>
            <w:vAlign w:val="bottom"/>
            <w:shd w:val="clear" w:color="auto" w:fill="000000"/>
          </w:tcPr>
          <w:p>
            <w:pPr>
              <w:spacing w:after="0"/>
              <w:rPr>
                <w:sz w:val="14"/>
                <w:szCs w:val="14"/>
                <w:color w:val="auto"/>
              </w:rPr>
            </w:pPr>
          </w:p>
        </w:tc>
        <w:tc>
          <w:tcPr>
            <w:tcW w:w="4080" w:type="dxa"/>
            <w:vAlign w:val="bottom"/>
            <w:shd w:val="clear" w:color="auto" w:fill="000000"/>
          </w:tcPr>
          <w:p>
            <w:pPr>
              <w:jc w:val="center"/>
              <w:ind w:left="1572"/>
              <w:spacing w:after="0"/>
              <w:rPr>
                <w:sz w:val="20"/>
                <w:szCs w:val="20"/>
                <w:color w:val="auto"/>
              </w:rPr>
            </w:pPr>
            <w:r>
              <w:rPr>
                <w:rFonts w:ascii="Arial" w:cs="Arial" w:eastAsia="Arial" w:hAnsi="Arial"/>
                <w:sz w:val="13"/>
                <w:szCs w:val="13"/>
                <w:b w:val="1"/>
                <w:bCs w:val="1"/>
                <w:color w:val="FEFEFE"/>
                <w:w w:val="96"/>
              </w:rPr>
              <w:t>Control (Number of Months)</w:t>
            </w:r>
          </w:p>
        </w:tc>
        <w:tc>
          <w:tcPr>
            <w:tcW w:w="2520" w:type="dxa"/>
            <w:vAlign w:val="bottom"/>
            <w:shd w:val="clear" w:color="auto" w:fill="000000"/>
          </w:tcPr>
          <w:p>
            <w:pPr>
              <w:jc w:val="center"/>
              <w:ind w:right="32"/>
              <w:spacing w:after="0"/>
              <w:rPr>
                <w:sz w:val="20"/>
                <w:szCs w:val="20"/>
                <w:color w:val="auto"/>
              </w:rPr>
            </w:pPr>
            <w:r>
              <w:rPr>
                <w:rFonts w:ascii="Arial" w:cs="Arial" w:eastAsia="Arial" w:hAnsi="Arial"/>
                <w:sz w:val="13"/>
                <w:szCs w:val="13"/>
                <w:b w:val="1"/>
                <w:bCs w:val="1"/>
                <w:color w:val="FEFEFE"/>
                <w:w w:val="96"/>
              </w:rPr>
              <w:t>Termination (Number of Months)</w:t>
            </w:r>
          </w:p>
        </w:tc>
      </w:tr>
      <w:tr>
        <w:trPr>
          <w:trHeight w:val="137"/>
        </w:trPr>
        <w:tc>
          <w:tcPr>
            <w:tcW w:w="2780" w:type="dxa"/>
            <w:vAlign w:val="bottom"/>
            <w:shd w:val="clear" w:color="auto" w:fill="000000"/>
          </w:tcPr>
          <w:p>
            <w:pPr>
              <w:spacing w:after="0"/>
              <w:rPr>
                <w:sz w:val="11"/>
                <w:szCs w:val="11"/>
                <w:color w:val="auto"/>
              </w:rPr>
            </w:pPr>
          </w:p>
        </w:tc>
        <w:tc>
          <w:tcPr>
            <w:tcW w:w="4080" w:type="dxa"/>
            <w:vAlign w:val="bottom"/>
            <w:shd w:val="clear" w:color="auto" w:fill="000000"/>
          </w:tcPr>
          <w:p>
            <w:pPr>
              <w:spacing w:after="0"/>
              <w:rPr>
                <w:sz w:val="11"/>
                <w:szCs w:val="11"/>
                <w:color w:val="auto"/>
              </w:rPr>
            </w:pPr>
          </w:p>
        </w:tc>
        <w:tc>
          <w:tcPr>
            <w:tcW w:w="2520" w:type="dxa"/>
            <w:vAlign w:val="bottom"/>
            <w:shd w:val="clear" w:color="auto" w:fill="000000"/>
          </w:tcPr>
          <w:p>
            <w:pPr>
              <w:spacing w:after="0"/>
              <w:rPr>
                <w:sz w:val="11"/>
                <w:szCs w:val="11"/>
                <w:color w:val="auto"/>
              </w:rPr>
            </w:pPr>
          </w:p>
        </w:tc>
      </w:tr>
      <w:tr>
        <w:trPr>
          <w:trHeight w:val="326"/>
        </w:trPr>
        <w:tc>
          <w:tcPr>
            <w:tcW w:w="2780" w:type="dxa"/>
            <w:vAlign w:val="bottom"/>
          </w:tcPr>
          <w:p>
            <w:pPr>
              <w:ind w:left="140"/>
              <w:spacing w:after="0"/>
              <w:rPr>
                <w:sz w:val="20"/>
                <w:szCs w:val="20"/>
                <w:color w:val="auto"/>
              </w:rPr>
            </w:pPr>
            <w:r>
              <w:rPr>
                <w:rFonts w:ascii="Arial" w:cs="Arial" w:eastAsia="Arial" w:hAnsi="Arial"/>
                <w:sz w:val="14"/>
                <w:szCs w:val="14"/>
                <w:color w:val="auto"/>
              </w:rPr>
              <w:t>Mr. Rawlinson</w:t>
            </w:r>
          </w:p>
        </w:tc>
        <w:tc>
          <w:tcPr>
            <w:tcW w:w="4080" w:type="dxa"/>
            <w:vAlign w:val="bottom"/>
          </w:tcPr>
          <w:p>
            <w:pPr>
              <w:jc w:val="right"/>
              <w:ind w:right="1092"/>
              <w:spacing w:after="0"/>
              <w:rPr>
                <w:sz w:val="20"/>
                <w:szCs w:val="20"/>
                <w:color w:val="auto"/>
              </w:rPr>
            </w:pPr>
            <w:r>
              <w:rPr>
                <w:rFonts w:ascii="Arial" w:cs="Arial" w:eastAsia="Arial" w:hAnsi="Arial"/>
                <w:sz w:val="14"/>
                <w:szCs w:val="14"/>
                <w:color w:val="auto"/>
              </w:rPr>
              <w:t>12</w:t>
            </w:r>
          </w:p>
        </w:tc>
        <w:tc>
          <w:tcPr>
            <w:tcW w:w="2520" w:type="dxa"/>
            <w:vAlign w:val="bottom"/>
          </w:tcPr>
          <w:p>
            <w:pPr>
              <w:jc w:val="center"/>
              <w:ind w:right="52"/>
              <w:spacing w:after="0"/>
              <w:rPr>
                <w:sz w:val="20"/>
                <w:szCs w:val="20"/>
                <w:color w:val="auto"/>
              </w:rPr>
            </w:pPr>
            <w:r>
              <w:rPr>
                <w:rFonts w:ascii="Arial" w:cs="Arial" w:eastAsia="Arial" w:hAnsi="Arial"/>
                <w:sz w:val="14"/>
                <w:szCs w:val="14"/>
                <w:color w:val="auto"/>
              </w:rPr>
              <w:t>18</w:t>
            </w:r>
          </w:p>
        </w:tc>
      </w:tr>
      <w:tr>
        <w:trPr>
          <w:trHeight w:val="93"/>
        </w:trPr>
        <w:tc>
          <w:tcPr>
            <w:tcW w:w="2780" w:type="dxa"/>
            <w:vAlign w:val="bottom"/>
            <w:tcBorders>
              <w:bottom w:val="single" w:sz="8" w:color="auto"/>
            </w:tcBorders>
          </w:tcPr>
          <w:p>
            <w:pPr>
              <w:spacing w:after="0"/>
              <w:rPr>
                <w:sz w:val="8"/>
                <w:szCs w:val="8"/>
                <w:color w:val="auto"/>
              </w:rPr>
            </w:pPr>
          </w:p>
        </w:tc>
        <w:tc>
          <w:tcPr>
            <w:tcW w:w="408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r>
      <w:tr>
        <w:trPr>
          <w:trHeight w:val="305"/>
        </w:trPr>
        <w:tc>
          <w:tcPr>
            <w:tcW w:w="2780" w:type="dxa"/>
            <w:vAlign w:val="bottom"/>
            <w:shd w:val="clear" w:color="auto" w:fill="F7F7F7"/>
          </w:tcPr>
          <w:p>
            <w:pPr>
              <w:ind w:left="140"/>
              <w:spacing w:after="0"/>
              <w:rPr>
                <w:sz w:val="20"/>
                <w:szCs w:val="20"/>
                <w:color w:val="auto"/>
              </w:rPr>
            </w:pPr>
            <w:r>
              <w:rPr>
                <w:rFonts w:ascii="Arial" w:cs="Arial" w:eastAsia="Arial" w:hAnsi="Arial"/>
                <w:sz w:val="14"/>
                <w:szCs w:val="14"/>
                <w:color w:val="auto"/>
              </w:rPr>
              <w:t>Ms. House</w:t>
            </w:r>
          </w:p>
        </w:tc>
        <w:tc>
          <w:tcPr>
            <w:tcW w:w="4080" w:type="dxa"/>
            <w:vAlign w:val="bottom"/>
            <w:shd w:val="clear" w:color="auto" w:fill="F7F7F7"/>
          </w:tcPr>
          <w:p>
            <w:pPr>
              <w:jc w:val="right"/>
              <w:ind w:right="1092"/>
              <w:spacing w:after="0"/>
              <w:rPr>
                <w:sz w:val="20"/>
                <w:szCs w:val="20"/>
                <w:color w:val="auto"/>
              </w:rPr>
            </w:pPr>
            <w:r>
              <w:rPr>
                <w:rFonts w:ascii="Arial" w:cs="Arial" w:eastAsia="Arial" w:hAnsi="Arial"/>
                <w:sz w:val="14"/>
                <w:szCs w:val="14"/>
                <w:color w:val="auto"/>
              </w:rPr>
              <w:t>9</w:t>
            </w:r>
          </w:p>
        </w:tc>
        <w:tc>
          <w:tcPr>
            <w:tcW w:w="2520" w:type="dxa"/>
            <w:vAlign w:val="bottom"/>
            <w:shd w:val="clear" w:color="auto" w:fill="F7F7F7"/>
          </w:tcPr>
          <w:p>
            <w:pPr>
              <w:jc w:val="center"/>
              <w:ind w:right="52"/>
              <w:spacing w:after="0"/>
              <w:rPr>
                <w:sz w:val="20"/>
                <w:szCs w:val="20"/>
                <w:color w:val="auto"/>
              </w:rPr>
            </w:pPr>
            <w:r>
              <w:rPr>
                <w:rFonts w:ascii="Arial" w:cs="Arial" w:eastAsia="Arial" w:hAnsi="Arial"/>
                <w:sz w:val="14"/>
                <w:szCs w:val="14"/>
                <w:color w:val="auto"/>
              </w:rPr>
              <w:t>12</w:t>
            </w:r>
          </w:p>
        </w:tc>
      </w:tr>
      <w:tr>
        <w:trPr>
          <w:trHeight w:val="93"/>
        </w:trPr>
        <w:tc>
          <w:tcPr>
            <w:tcW w:w="2780" w:type="dxa"/>
            <w:vAlign w:val="bottom"/>
            <w:tcBorders>
              <w:bottom w:val="single" w:sz="8" w:color="auto"/>
            </w:tcBorders>
            <w:shd w:val="clear" w:color="auto" w:fill="F7F7F7"/>
          </w:tcPr>
          <w:p>
            <w:pPr>
              <w:spacing w:after="0"/>
              <w:rPr>
                <w:sz w:val="8"/>
                <w:szCs w:val="8"/>
                <w:color w:val="auto"/>
              </w:rPr>
            </w:pPr>
          </w:p>
        </w:tc>
        <w:tc>
          <w:tcPr>
            <w:tcW w:w="4080" w:type="dxa"/>
            <w:vAlign w:val="bottom"/>
            <w:tcBorders>
              <w:bottom w:val="single" w:sz="8" w:color="auto"/>
            </w:tcBorders>
            <w:shd w:val="clear" w:color="auto" w:fill="F7F7F7"/>
          </w:tcPr>
          <w:p>
            <w:pPr>
              <w:spacing w:after="0"/>
              <w:rPr>
                <w:sz w:val="8"/>
                <w:szCs w:val="8"/>
                <w:color w:val="auto"/>
              </w:rPr>
            </w:pPr>
          </w:p>
        </w:tc>
        <w:tc>
          <w:tcPr>
            <w:tcW w:w="2520" w:type="dxa"/>
            <w:vAlign w:val="bottom"/>
            <w:tcBorders>
              <w:bottom w:val="single" w:sz="8" w:color="auto"/>
            </w:tcBorders>
            <w:shd w:val="clear" w:color="auto" w:fill="F7F7F7"/>
          </w:tcPr>
          <w:p>
            <w:pPr>
              <w:spacing w:after="0"/>
              <w:rPr>
                <w:sz w:val="8"/>
                <w:szCs w:val="8"/>
                <w:color w:val="auto"/>
              </w:rPr>
            </w:pPr>
          </w:p>
        </w:tc>
      </w:tr>
      <w:tr>
        <w:trPr>
          <w:trHeight w:val="305"/>
        </w:trPr>
        <w:tc>
          <w:tcPr>
            <w:tcW w:w="2780" w:type="dxa"/>
            <w:vAlign w:val="bottom"/>
          </w:tcPr>
          <w:p>
            <w:pPr>
              <w:ind w:left="140"/>
              <w:spacing w:after="0"/>
              <w:rPr>
                <w:sz w:val="20"/>
                <w:szCs w:val="20"/>
                <w:color w:val="auto"/>
              </w:rPr>
            </w:pPr>
            <w:r>
              <w:rPr>
                <w:rFonts w:ascii="Arial" w:cs="Arial" w:eastAsia="Arial" w:hAnsi="Arial"/>
                <w:sz w:val="14"/>
                <w:szCs w:val="14"/>
                <w:color w:val="auto"/>
              </w:rPr>
              <w:t>Mr. Bach</w:t>
            </w:r>
          </w:p>
        </w:tc>
        <w:tc>
          <w:tcPr>
            <w:tcW w:w="4080" w:type="dxa"/>
            <w:vAlign w:val="bottom"/>
          </w:tcPr>
          <w:p>
            <w:pPr>
              <w:jc w:val="right"/>
              <w:ind w:right="1092"/>
              <w:spacing w:after="0"/>
              <w:rPr>
                <w:sz w:val="20"/>
                <w:szCs w:val="20"/>
                <w:color w:val="auto"/>
              </w:rPr>
            </w:pPr>
            <w:r>
              <w:rPr>
                <w:rFonts w:ascii="Arial" w:cs="Arial" w:eastAsia="Arial" w:hAnsi="Arial"/>
                <w:sz w:val="14"/>
                <w:szCs w:val="14"/>
                <w:color w:val="auto"/>
              </w:rPr>
              <w:t>9</w:t>
            </w:r>
          </w:p>
        </w:tc>
        <w:tc>
          <w:tcPr>
            <w:tcW w:w="2520" w:type="dxa"/>
            <w:vAlign w:val="bottom"/>
          </w:tcPr>
          <w:p>
            <w:pPr>
              <w:jc w:val="center"/>
              <w:ind w:right="52"/>
              <w:spacing w:after="0"/>
              <w:rPr>
                <w:sz w:val="20"/>
                <w:szCs w:val="20"/>
                <w:color w:val="auto"/>
              </w:rPr>
            </w:pPr>
            <w:r>
              <w:rPr>
                <w:rFonts w:ascii="Arial" w:cs="Arial" w:eastAsia="Arial" w:hAnsi="Arial"/>
                <w:sz w:val="14"/>
                <w:szCs w:val="14"/>
                <w:color w:val="auto"/>
              </w:rPr>
              <w:t>12</w:t>
            </w:r>
          </w:p>
        </w:tc>
      </w:tr>
      <w:tr>
        <w:trPr>
          <w:trHeight w:val="93"/>
        </w:trPr>
        <w:tc>
          <w:tcPr>
            <w:tcW w:w="2780" w:type="dxa"/>
            <w:vAlign w:val="bottom"/>
            <w:tcBorders>
              <w:bottom w:val="single" w:sz="8" w:color="auto"/>
            </w:tcBorders>
          </w:tcPr>
          <w:p>
            <w:pPr>
              <w:spacing w:after="0"/>
              <w:rPr>
                <w:sz w:val="8"/>
                <w:szCs w:val="8"/>
                <w:color w:val="auto"/>
              </w:rPr>
            </w:pPr>
          </w:p>
        </w:tc>
        <w:tc>
          <w:tcPr>
            <w:tcW w:w="408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r>
      <w:tr>
        <w:trPr>
          <w:trHeight w:val="305"/>
        </w:trPr>
        <w:tc>
          <w:tcPr>
            <w:tcW w:w="2780" w:type="dxa"/>
            <w:vAlign w:val="bottom"/>
            <w:shd w:val="clear" w:color="auto" w:fill="F7F7F7"/>
          </w:tcPr>
          <w:p>
            <w:pPr>
              <w:ind w:left="140"/>
              <w:spacing w:after="0"/>
              <w:rPr>
                <w:sz w:val="20"/>
                <w:szCs w:val="20"/>
                <w:color w:val="auto"/>
              </w:rPr>
            </w:pPr>
            <w:r>
              <w:rPr>
                <w:rFonts w:ascii="Arial" w:cs="Arial" w:eastAsia="Arial" w:hAnsi="Arial"/>
                <w:sz w:val="14"/>
                <w:szCs w:val="14"/>
                <w:color w:val="auto"/>
              </w:rPr>
              <w:t>Mr. Bell</w:t>
            </w:r>
          </w:p>
        </w:tc>
        <w:tc>
          <w:tcPr>
            <w:tcW w:w="4080" w:type="dxa"/>
            <w:vAlign w:val="bottom"/>
            <w:shd w:val="clear" w:color="auto" w:fill="F7F7F7"/>
          </w:tcPr>
          <w:p>
            <w:pPr>
              <w:jc w:val="right"/>
              <w:ind w:right="1092"/>
              <w:spacing w:after="0"/>
              <w:rPr>
                <w:sz w:val="20"/>
                <w:szCs w:val="20"/>
                <w:color w:val="auto"/>
              </w:rPr>
            </w:pPr>
            <w:r>
              <w:rPr>
                <w:rFonts w:ascii="Arial" w:cs="Arial" w:eastAsia="Arial" w:hAnsi="Arial"/>
                <w:sz w:val="14"/>
                <w:szCs w:val="14"/>
                <w:color w:val="auto"/>
              </w:rPr>
              <w:t>9</w:t>
            </w:r>
          </w:p>
        </w:tc>
        <w:tc>
          <w:tcPr>
            <w:tcW w:w="2520" w:type="dxa"/>
            <w:vAlign w:val="bottom"/>
            <w:shd w:val="clear" w:color="auto" w:fill="F7F7F7"/>
          </w:tcPr>
          <w:p>
            <w:pPr>
              <w:jc w:val="center"/>
              <w:ind w:right="52"/>
              <w:spacing w:after="0"/>
              <w:rPr>
                <w:sz w:val="20"/>
                <w:szCs w:val="20"/>
                <w:color w:val="auto"/>
              </w:rPr>
            </w:pPr>
            <w:r>
              <w:rPr>
                <w:rFonts w:ascii="Arial" w:cs="Arial" w:eastAsia="Arial" w:hAnsi="Arial"/>
                <w:sz w:val="14"/>
                <w:szCs w:val="14"/>
                <w:color w:val="auto"/>
              </w:rPr>
              <w:t>12</w:t>
            </w:r>
          </w:p>
        </w:tc>
      </w:tr>
      <w:tr>
        <w:trPr>
          <w:trHeight w:val="93"/>
        </w:trPr>
        <w:tc>
          <w:tcPr>
            <w:tcW w:w="2780" w:type="dxa"/>
            <w:vAlign w:val="bottom"/>
            <w:tcBorders>
              <w:bottom w:val="single" w:sz="8" w:color="auto"/>
            </w:tcBorders>
            <w:shd w:val="clear" w:color="auto" w:fill="F7F7F7"/>
          </w:tcPr>
          <w:p>
            <w:pPr>
              <w:spacing w:after="0"/>
              <w:rPr>
                <w:sz w:val="8"/>
                <w:szCs w:val="8"/>
                <w:color w:val="auto"/>
              </w:rPr>
            </w:pPr>
          </w:p>
        </w:tc>
        <w:tc>
          <w:tcPr>
            <w:tcW w:w="4080" w:type="dxa"/>
            <w:vAlign w:val="bottom"/>
            <w:tcBorders>
              <w:bottom w:val="single" w:sz="8" w:color="auto"/>
            </w:tcBorders>
            <w:shd w:val="clear" w:color="auto" w:fill="F7F7F7"/>
          </w:tcPr>
          <w:p>
            <w:pPr>
              <w:spacing w:after="0"/>
              <w:rPr>
                <w:sz w:val="8"/>
                <w:szCs w:val="8"/>
                <w:color w:val="auto"/>
              </w:rPr>
            </w:pPr>
          </w:p>
        </w:tc>
        <w:tc>
          <w:tcPr>
            <w:tcW w:w="2520" w:type="dxa"/>
            <w:vAlign w:val="bottom"/>
            <w:tcBorders>
              <w:bottom w:val="single" w:sz="8" w:color="auto"/>
            </w:tcBorders>
            <w:shd w:val="clear" w:color="auto" w:fill="F7F7F7"/>
          </w:tcPr>
          <w:p>
            <w:pPr>
              <w:spacing w:after="0"/>
              <w:rPr>
                <w:sz w:val="8"/>
                <w:szCs w:val="8"/>
                <w:color w:val="auto"/>
              </w:rPr>
            </w:pPr>
          </w:p>
        </w:tc>
      </w:tr>
    </w:tbl>
    <w:p>
      <w:pPr>
        <w:spacing w:after="0" w:line="218" w:lineRule="exact"/>
        <w:rPr>
          <w:sz w:val="20"/>
          <w:szCs w:val="20"/>
          <w:color w:val="auto"/>
        </w:rPr>
      </w:pPr>
    </w:p>
    <w:p>
      <w:pPr>
        <w:ind w:left="660" w:right="720"/>
        <w:spacing w:after="0" w:line="266" w:lineRule="auto"/>
        <w:rPr>
          <w:sz w:val="20"/>
          <w:szCs w:val="20"/>
          <w:color w:val="auto"/>
        </w:rPr>
      </w:pPr>
      <w:r>
        <w:rPr>
          <w:rFonts w:ascii="Arial" w:cs="Arial" w:eastAsia="Arial" w:hAnsi="Arial"/>
          <w:sz w:val="16"/>
          <w:szCs w:val="16"/>
          <w:color w:val="auto"/>
        </w:rPr>
        <w:t>Under the terms of the Lucid Group, Inc. Vesting Acceleration Policy for Death and Disability (the “Acceleration Policy”), which was approved by our Compensation Committee on September 15, 2021, our NEOs are also entitled to accelerated vesting of all outstanding unvested time-based and performance-based equity awards in the event of death or disability, except to the extent the policy would be inconsistent with the terms or provisions of any award agreement, employment agreement, or other plan or agreement. The Acceleration Policy also does not apply to any equity awards granted to Mr. Rawlinson prior to the date the Acceleration Policy was adopted (including the CEO Grant). Each NEO’s severance entitlements upon certain terminations of employment and/or a change in control are described in more detail below under “Potential Payments under Termination or Change in Control.”</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Update on CEO Grant</w:t>
      </w:r>
    </w:p>
    <w:p>
      <w:pPr>
        <w:spacing w:after="0" w:line="192" w:lineRule="exact"/>
        <w:rPr>
          <w:sz w:val="20"/>
          <w:szCs w:val="20"/>
          <w:color w:val="auto"/>
        </w:rPr>
      </w:pPr>
    </w:p>
    <w:p>
      <w:pPr>
        <w:ind w:left="660" w:right="700"/>
        <w:spacing w:after="0" w:line="267" w:lineRule="auto"/>
        <w:rPr>
          <w:sz w:val="20"/>
          <w:szCs w:val="20"/>
          <w:color w:val="auto"/>
        </w:rPr>
      </w:pPr>
      <w:r>
        <w:rPr>
          <w:rFonts w:ascii="Arial" w:cs="Arial" w:eastAsia="Arial" w:hAnsi="Arial"/>
          <w:sz w:val="16"/>
          <w:szCs w:val="16"/>
          <w:color w:val="auto"/>
        </w:rPr>
        <w:t>In designing the CEO Grant, the Atieva Board set extremely challenging goals that incentivized Mr. Rawlinson towards the creation of significant stockholder value. As of the date of this filing, the awards and goals have been working as intended. From the time of the closing of the Merger through January 25, 2022 (the first possible measurement date for the vesting of the CEO Performance RSUs), our stock delivered a TSR of 32.65% resulting in the creation of $61.9 billion of stockholder value from the initial Churchill transaction valuation of $11.75 billion.</w:t>
      </w:r>
    </w:p>
    <w:p>
      <w:pPr>
        <w:spacing w:after="0" w:line="205" w:lineRule="exact"/>
        <w:rPr>
          <w:sz w:val="20"/>
          <w:szCs w:val="20"/>
          <w:color w:val="auto"/>
        </w:rPr>
      </w:pPr>
    </w:p>
    <w:p>
      <w:pPr>
        <w:ind w:left="660" w:right="780"/>
        <w:spacing w:after="0" w:line="271" w:lineRule="auto"/>
        <w:rPr>
          <w:sz w:val="20"/>
          <w:szCs w:val="20"/>
          <w:color w:val="auto"/>
        </w:rPr>
      </w:pPr>
      <w:r>
        <w:rPr>
          <w:rFonts w:ascii="Arial" w:cs="Arial" w:eastAsia="Arial" w:hAnsi="Arial"/>
          <w:sz w:val="16"/>
          <w:szCs w:val="16"/>
          <w:color w:val="auto"/>
        </w:rPr>
        <w:t>The closing of our SPAC transaction being on July 23, 2021 and the first trading day for the combined company of July 26, 2021 resulted in January 25, 2022 marking the first possible measurement for the potential vesting of the CEO Performance RSUs (</w:t>
      </w:r>
      <w:r>
        <w:rPr>
          <w:rFonts w:ascii="Arial" w:cs="Arial" w:eastAsia="Arial" w:hAnsi="Arial"/>
          <w:sz w:val="16"/>
          <w:szCs w:val="16"/>
          <w:i w:val="1"/>
          <w:iCs w:val="1"/>
          <w:color w:val="auto"/>
        </w:rPr>
        <w:t>i.e.</w:t>
      </w:r>
      <w:r>
        <w:rPr>
          <w:rFonts w:ascii="Arial" w:cs="Arial" w:eastAsia="Arial" w:hAnsi="Arial"/>
          <w:sz w:val="16"/>
          <w:szCs w:val="16"/>
          <w:color w:val="auto"/>
        </w:rPr>
        <w:t>, six calendar months following the close of the Merger transaction).</w:t>
      </w:r>
    </w:p>
    <w:p>
      <w:pPr>
        <w:spacing w:after="0" w:line="200" w:lineRule="exact"/>
        <w:rPr>
          <w:sz w:val="20"/>
          <w:szCs w:val="20"/>
          <w:color w:val="auto"/>
        </w:rPr>
      </w:pPr>
    </w:p>
    <w:p>
      <w:pPr>
        <w:jc w:val="both"/>
        <w:ind w:left="660" w:right="860"/>
        <w:spacing w:after="0" w:line="271" w:lineRule="auto"/>
        <w:rPr>
          <w:sz w:val="20"/>
          <w:szCs w:val="20"/>
          <w:color w:val="auto"/>
        </w:rPr>
      </w:pPr>
      <w:r>
        <w:rPr>
          <w:rFonts w:ascii="Arial" w:cs="Arial" w:eastAsia="Arial" w:hAnsi="Arial"/>
          <w:sz w:val="16"/>
          <w:szCs w:val="16"/>
          <w:color w:val="auto"/>
        </w:rPr>
        <w:t>As a result of the significant value created for our stockholders, in March 2022, the Board certified the achievement of the market capitalization milestones associated with the first four (of five) tranches of the CEO Performance RSUs (pursuant to the terms of the CEO Grant), leading to the vesting of an aggregate of 13,934,272 CEO Performance RSUs.</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Tax and Accounting Considerations</w:t>
      </w:r>
    </w:p>
    <w:p>
      <w:pPr>
        <w:spacing w:after="0" w:line="37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Deductibility of Executive Compensation</w:t>
      </w:r>
    </w:p>
    <w:p>
      <w:pPr>
        <w:spacing w:after="0" w:line="192" w:lineRule="exact"/>
        <w:rPr>
          <w:sz w:val="20"/>
          <w:szCs w:val="20"/>
          <w:color w:val="auto"/>
        </w:rPr>
      </w:pPr>
    </w:p>
    <w:p>
      <w:pPr>
        <w:ind w:left="660" w:right="1060"/>
        <w:spacing w:after="0" w:line="271" w:lineRule="auto"/>
        <w:rPr>
          <w:sz w:val="20"/>
          <w:szCs w:val="20"/>
          <w:color w:val="auto"/>
        </w:rPr>
      </w:pPr>
      <w:r>
        <w:rPr>
          <w:rFonts w:ascii="Arial" w:cs="Arial" w:eastAsia="Arial" w:hAnsi="Arial"/>
          <w:sz w:val="16"/>
          <w:szCs w:val="16"/>
          <w:color w:val="auto"/>
        </w:rPr>
        <w:t>Section 162(m) of the Code (Section 162(m)) generally imposes a $1 million cap on the federal income tax deduction for compensation paid to our “covered employees” during any fiscal year. While the Compensation Committee considers the deductibility of awards as one factor in determining executive compensation, the Compensation Committee also looks at other</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900" w:type="dxa"/>
            <w:vAlign w:val="bottom"/>
          </w:tcPr>
          <w:p>
            <w:pPr>
              <w:ind w:left="660"/>
              <w:spacing w:after="0"/>
              <w:rPr>
                <w:sz w:val="20"/>
                <w:szCs w:val="20"/>
                <w:color w:val="auto"/>
              </w:rPr>
            </w:pPr>
            <w:r>
              <w:rPr>
                <w:rFonts w:ascii="Arial" w:cs="Arial" w:eastAsia="Arial" w:hAnsi="Arial"/>
                <w:sz w:val="13"/>
                <w:szCs w:val="13"/>
                <w:color w:val="auto"/>
              </w:rPr>
              <w:t>2022 Proxy Statement</w:t>
            </w:r>
          </w:p>
        </w:tc>
        <w:tc>
          <w:tcPr>
            <w:tcW w:w="4820" w:type="dxa"/>
            <w:vAlign w:val="bottom"/>
          </w:tcPr>
          <w:p>
            <w:pPr>
              <w:jc w:val="right"/>
              <w:ind w:right="617"/>
              <w:spacing w:after="0"/>
              <w:rPr>
                <w:sz w:val="20"/>
                <w:szCs w:val="20"/>
                <w:color w:val="auto"/>
              </w:rPr>
            </w:pPr>
            <w:r>
              <w:rPr>
                <w:rFonts w:ascii="Arial" w:cs="Arial" w:eastAsia="Arial" w:hAnsi="Arial"/>
                <w:sz w:val="13"/>
                <w:szCs w:val="13"/>
                <w:b w:val="1"/>
                <w:bCs w:val="1"/>
                <w:color w:val="auto"/>
              </w:rPr>
              <w:t>55</w:t>
            </w:r>
          </w:p>
        </w:tc>
      </w:tr>
      <w:tr>
        <w:trPr>
          <w:trHeight w:val="171"/>
        </w:trPr>
        <w:tc>
          <w:tcPr>
            <w:tcW w:w="5900" w:type="dxa"/>
            <w:vAlign w:val="bottom"/>
            <w:tcBorders>
              <w:bottom w:val="single" w:sz="8" w:color="9A9A9A"/>
            </w:tcBorders>
          </w:tcPr>
          <w:p>
            <w:pPr>
              <w:spacing w:after="0"/>
              <w:rPr>
                <w:sz w:val="14"/>
                <w:szCs w:val="14"/>
                <w:color w:val="auto"/>
              </w:rPr>
            </w:pPr>
          </w:p>
        </w:tc>
        <w:tc>
          <w:tcPr>
            <w:tcW w:w="48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64" w:name="page65"/>
    <w:bookmarkEnd w:id="64"/>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60" w:right="80"/>
        <w:spacing w:after="0" w:line="286" w:lineRule="auto"/>
        <w:rPr>
          <w:sz w:val="20"/>
          <w:szCs w:val="20"/>
          <w:color w:val="auto"/>
        </w:rPr>
      </w:pPr>
      <w:r>
        <w:rPr>
          <w:rFonts w:ascii="Arial" w:cs="Arial" w:eastAsia="Arial" w:hAnsi="Arial"/>
          <w:sz w:val="16"/>
          <w:szCs w:val="16"/>
          <w:color w:val="auto"/>
        </w:rPr>
        <w:t>factors in making its decisions, and, in the exercise of its business judgment and in accordance with its compensation philosophy, the Compensation Committee retains the flexibility to award compensation even if the compensation is not deductible by us for tax purposes, and to modify compensation that was initially intended to be tax deductible if it determines such modifications are consistent with our business needs.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Accounting for Stock-Based Compensation</w:t>
      </w:r>
    </w:p>
    <w:p>
      <w:pPr>
        <w:spacing w:after="0" w:line="205" w:lineRule="exact"/>
        <w:rPr>
          <w:sz w:val="20"/>
          <w:szCs w:val="20"/>
          <w:color w:val="auto"/>
        </w:rPr>
      </w:pPr>
    </w:p>
    <w:p>
      <w:pPr>
        <w:ind w:left="660"/>
        <w:spacing w:after="0" w:line="286" w:lineRule="auto"/>
        <w:rPr>
          <w:sz w:val="20"/>
          <w:szCs w:val="20"/>
          <w:color w:val="auto"/>
        </w:rPr>
      </w:pPr>
      <w:r>
        <w:rPr>
          <w:rFonts w:ascii="Arial" w:cs="Arial" w:eastAsia="Arial" w:hAnsi="Arial"/>
          <w:sz w:val="16"/>
          <w:szCs w:val="16"/>
          <w:color w:val="auto"/>
        </w:rPr>
        <w:t>The Compensation Committee takes accounting considerations into account in designing compensation plans and arrangements for our NEOs and other employees. We follow Financial Accounting Standard Board’s Accounting Standards Codification Topic 718 (FASB ASC Topic 718) for our stock-based compensation awards. FASB ASC Topic 718 requires us to measure the compensation expense for all share-based payment awards based on the grant date “fair value” of these awards.</w:t>
      </w:r>
    </w:p>
    <w:p>
      <w:pPr>
        <w:sectPr>
          <w:pgSz w:w="11900" w:h="16838" w:orient="portrait"/>
          <w:cols w:equalWidth="0" w:num="1">
            <w:col w:w="10040"/>
          </w:cols>
          <w:pgMar w:left="580" w:top="132"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2"/>
          <w:szCs w:val="12"/>
          <w:b w:val="1"/>
          <w:bCs w:val="1"/>
          <w:color w:val="auto"/>
        </w:rPr>
        <w:t>56</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110490</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type w:val="continuous"/>
        </w:sectPr>
      </w:pPr>
    </w:p>
    <w:bookmarkStart w:id="65" w:name="page66"/>
    <w:bookmarkEnd w:id="65"/>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36"/>
          <w:szCs w:val="36"/>
          <w:b w:val="1"/>
          <w:bCs w:val="1"/>
          <w:color w:val="auto"/>
        </w:rPr>
        <w:t>Compensation Committee Report</w:t>
      </w:r>
    </w:p>
    <w:p>
      <w:pPr>
        <w:spacing w:after="0" w:line="200" w:lineRule="exact"/>
        <w:rPr>
          <w:sz w:val="20"/>
          <w:szCs w:val="20"/>
          <w:color w:val="auto"/>
        </w:rPr>
      </w:pPr>
    </w:p>
    <w:p>
      <w:pPr>
        <w:spacing w:after="0" w:line="210" w:lineRule="exact"/>
        <w:rPr>
          <w:sz w:val="20"/>
          <w:szCs w:val="20"/>
          <w:color w:val="auto"/>
        </w:rPr>
      </w:pPr>
    </w:p>
    <w:p>
      <w:pPr>
        <w:ind w:left="660" w:right="320"/>
        <w:spacing w:after="0" w:line="288" w:lineRule="auto"/>
        <w:rPr>
          <w:sz w:val="20"/>
          <w:szCs w:val="20"/>
          <w:color w:val="auto"/>
        </w:rPr>
      </w:pPr>
      <w:r>
        <w:rPr>
          <w:rFonts w:ascii="Arial" w:cs="Arial" w:eastAsia="Arial" w:hAnsi="Arial"/>
          <w:sz w:val="16"/>
          <w:szCs w:val="16"/>
          <w:color w:val="auto"/>
        </w:rPr>
        <w:t>The Compensation Committee has reviewed and discussed this CD&amp;A with management and, based on such review and discussions, the Compensation Committee recommended to the Board that the CD&amp;A be included in this Proxy Statement and incorporated by reference into the Company’s Annual Report on Form 10-K for the fiscal year ended December 31, 2021.</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Andrew Liveris, Chair</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Frank Lindenberg</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Anthony Posawatz</w:t>
      </w:r>
    </w:p>
    <w:p>
      <w:pPr>
        <w:sectPr>
          <w:pgSz w:w="11900" w:h="16838" w:orient="portrait"/>
          <w:cols w:equalWidth="0" w:num="1">
            <w:col w:w="10040"/>
          </w:cols>
          <w:pgMar w:left="580" w:top="132"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spacing w:after="0"/>
        <w:tabs>
          <w:tab w:leader="none" w:pos="9880" w:val="left"/>
        </w:tabs>
        <w:rPr>
          <w:sz w:val="20"/>
          <w:szCs w:val="20"/>
          <w:color w:val="auto"/>
        </w:rPr>
      </w:pPr>
      <w:r>
        <w:rPr>
          <w:rFonts w:ascii="Arial" w:cs="Arial" w:eastAsia="Arial" w:hAnsi="Arial"/>
          <w:sz w:val="13"/>
          <w:szCs w:val="13"/>
          <w:color w:val="auto"/>
        </w:rPr>
        <w:t>2022 Proxy Statement</w:t>
      </w:r>
      <w:r>
        <w:rPr>
          <w:sz w:val="20"/>
          <w:szCs w:val="20"/>
          <w:color w:val="auto"/>
        </w:rPr>
        <w:tab/>
      </w:r>
      <w:r>
        <w:rPr>
          <w:rFonts w:ascii="Arial" w:cs="Arial" w:eastAsia="Arial" w:hAnsi="Arial"/>
          <w:sz w:val="12"/>
          <w:szCs w:val="12"/>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type w:val="continuous"/>
        </w:sectPr>
      </w:pPr>
    </w:p>
    <w:bookmarkStart w:id="66" w:name="page67"/>
    <w:bookmarkEnd w:id="66"/>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36"/>
          <w:szCs w:val="36"/>
          <w:b w:val="1"/>
          <w:bCs w:val="1"/>
          <w:color w:val="auto"/>
        </w:rPr>
        <w:t>2021 Summary Compensation Table</w:t>
      </w:r>
    </w:p>
    <w:p>
      <w:pPr>
        <w:spacing w:after="0" w:line="200" w:lineRule="exact"/>
        <w:rPr>
          <w:sz w:val="20"/>
          <w:szCs w:val="20"/>
          <w:color w:val="auto"/>
        </w:rPr>
      </w:pPr>
    </w:p>
    <w:p>
      <w:pPr>
        <w:spacing w:after="0" w:line="210" w:lineRule="exact"/>
        <w:rPr>
          <w:sz w:val="20"/>
          <w:szCs w:val="20"/>
          <w:color w:val="auto"/>
        </w:rPr>
      </w:pPr>
    </w:p>
    <w:p>
      <w:pPr>
        <w:ind w:left="660" w:right="60"/>
        <w:spacing w:after="0" w:line="295" w:lineRule="auto"/>
        <w:rPr>
          <w:sz w:val="20"/>
          <w:szCs w:val="20"/>
          <w:color w:val="auto"/>
        </w:rPr>
      </w:pPr>
      <w:r>
        <w:rPr>
          <w:rFonts w:ascii="Arial" w:cs="Arial" w:eastAsia="Arial" w:hAnsi="Arial"/>
          <w:sz w:val="16"/>
          <w:szCs w:val="16"/>
          <w:color w:val="auto"/>
        </w:rPr>
        <w:t>The following table sets forth the compensation awarded to or paid to our NEOs for services rendered to Atieva prior to the Merger and to us following the Merger during the years ended December 31, 2021 and 2020.</w:t>
      </w:r>
    </w:p>
    <w:p>
      <w:pPr>
        <w:spacing w:after="0" w:line="234"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1780" w:type="dxa"/>
            <w:vAlign w:val="bottom"/>
            <w:shd w:val="clear" w:color="auto" w:fill="000000"/>
          </w:tcPr>
          <w:p>
            <w:pPr>
              <w:ind w:left="160"/>
              <w:spacing w:after="0"/>
              <w:rPr>
                <w:sz w:val="20"/>
                <w:szCs w:val="20"/>
                <w:color w:val="auto"/>
              </w:rPr>
            </w:pPr>
            <w:r>
              <w:rPr>
                <w:rFonts w:ascii="Arial" w:cs="Arial" w:eastAsia="Arial" w:hAnsi="Arial"/>
                <w:sz w:val="13"/>
                <w:szCs w:val="13"/>
                <w:b w:val="1"/>
                <w:bCs w:val="1"/>
                <w:color w:val="FEFEFE"/>
              </w:rPr>
              <w:t>Name and Principal</w:t>
            </w:r>
          </w:p>
        </w:tc>
        <w:tc>
          <w:tcPr>
            <w:tcW w:w="560" w:type="dxa"/>
            <w:vAlign w:val="bottom"/>
            <w:shd w:val="clear" w:color="auto" w:fill="000000"/>
          </w:tcPr>
          <w:p>
            <w:pPr>
              <w:ind w:left="140"/>
              <w:spacing w:after="0"/>
              <w:rPr>
                <w:sz w:val="20"/>
                <w:szCs w:val="20"/>
                <w:color w:val="auto"/>
              </w:rPr>
            </w:pPr>
            <w:r>
              <w:rPr>
                <w:rFonts w:ascii="Arial" w:cs="Arial" w:eastAsia="Arial" w:hAnsi="Arial"/>
                <w:sz w:val="13"/>
                <w:szCs w:val="13"/>
                <w:b w:val="1"/>
                <w:bCs w:val="1"/>
                <w:color w:val="FEFEFE"/>
              </w:rPr>
              <w:t>Year</w:t>
            </w:r>
          </w:p>
        </w:tc>
        <w:tc>
          <w:tcPr>
            <w:tcW w:w="76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w w:val="97"/>
              </w:rPr>
              <w:t>Salary</w:t>
            </w:r>
          </w:p>
        </w:tc>
        <w:tc>
          <w:tcPr>
            <w:tcW w:w="900" w:type="dxa"/>
            <w:vAlign w:val="bottom"/>
            <w:shd w:val="clear" w:color="auto" w:fill="000000"/>
          </w:tcPr>
          <w:p>
            <w:pPr>
              <w:jc w:val="right"/>
              <w:ind w:right="211"/>
              <w:spacing w:after="0"/>
              <w:rPr>
                <w:sz w:val="20"/>
                <w:szCs w:val="20"/>
                <w:color w:val="auto"/>
              </w:rPr>
            </w:pPr>
            <w:r>
              <w:rPr>
                <w:rFonts w:ascii="Arial" w:cs="Arial" w:eastAsia="Arial" w:hAnsi="Arial"/>
                <w:sz w:val="13"/>
                <w:szCs w:val="13"/>
                <w:b w:val="1"/>
                <w:bCs w:val="1"/>
                <w:color w:val="FEFEFE"/>
              </w:rPr>
              <w:t>Bonus</w:t>
            </w:r>
          </w:p>
        </w:tc>
        <w:tc>
          <w:tcPr>
            <w:tcW w:w="104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w w:val="95"/>
              </w:rPr>
              <w:t>Stock</w:t>
            </w:r>
          </w:p>
        </w:tc>
        <w:tc>
          <w:tcPr>
            <w:tcW w:w="940" w:type="dxa"/>
            <w:vAlign w:val="bottom"/>
            <w:shd w:val="clear" w:color="auto" w:fill="000000"/>
          </w:tcPr>
          <w:p>
            <w:pPr>
              <w:jc w:val="right"/>
              <w:ind w:right="211"/>
              <w:spacing w:after="0"/>
              <w:rPr>
                <w:sz w:val="20"/>
                <w:szCs w:val="20"/>
                <w:color w:val="auto"/>
              </w:rPr>
            </w:pPr>
            <w:r>
              <w:rPr>
                <w:rFonts w:ascii="Arial" w:cs="Arial" w:eastAsia="Arial" w:hAnsi="Arial"/>
                <w:sz w:val="13"/>
                <w:szCs w:val="13"/>
                <w:b w:val="1"/>
                <w:bCs w:val="1"/>
                <w:color w:val="FEFEFE"/>
              </w:rPr>
              <w:t>Option</w:t>
            </w:r>
          </w:p>
        </w:tc>
        <w:tc>
          <w:tcPr>
            <w:tcW w:w="110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w w:val="95"/>
              </w:rPr>
              <w:t>Non-Equity</w:t>
            </w:r>
          </w:p>
        </w:tc>
        <w:tc>
          <w:tcPr>
            <w:tcW w:w="114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w w:val="94"/>
              </w:rPr>
              <w:t>All Other</w:t>
            </w:r>
          </w:p>
        </w:tc>
        <w:tc>
          <w:tcPr>
            <w:tcW w:w="1160" w:type="dxa"/>
            <w:vAlign w:val="bottom"/>
            <w:shd w:val="clear" w:color="auto" w:fill="000000"/>
          </w:tcPr>
          <w:p>
            <w:pPr>
              <w:jc w:val="right"/>
              <w:ind w:right="430"/>
              <w:spacing w:after="0"/>
              <w:rPr>
                <w:sz w:val="20"/>
                <w:szCs w:val="20"/>
                <w:color w:val="auto"/>
              </w:rPr>
            </w:pPr>
            <w:r>
              <w:rPr>
                <w:rFonts w:ascii="Arial" w:cs="Arial" w:eastAsia="Arial" w:hAnsi="Arial"/>
                <w:sz w:val="13"/>
                <w:szCs w:val="13"/>
                <w:b w:val="1"/>
                <w:bCs w:val="1"/>
                <w:color w:val="FEFEFE"/>
              </w:rPr>
              <w:t>Total</w:t>
            </w:r>
          </w:p>
        </w:tc>
        <w:tc>
          <w:tcPr>
            <w:tcW w:w="0" w:type="dxa"/>
            <w:vAlign w:val="bottom"/>
          </w:tcPr>
          <w:p>
            <w:pPr>
              <w:spacing w:after="0"/>
              <w:rPr>
                <w:sz w:val="1"/>
                <w:szCs w:val="1"/>
                <w:color w:val="auto"/>
              </w:rPr>
            </w:pPr>
          </w:p>
        </w:tc>
      </w:tr>
      <w:tr>
        <w:trPr>
          <w:trHeight w:val="135"/>
        </w:trPr>
        <w:tc>
          <w:tcPr>
            <w:tcW w:w="1780" w:type="dxa"/>
            <w:vAlign w:val="bottom"/>
            <w:shd w:val="clear" w:color="auto" w:fill="000000"/>
          </w:tcPr>
          <w:p>
            <w:pPr>
              <w:ind w:left="160"/>
              <w:spacing w:after="0" w:line="135" w:lineRule="exact"/>
              <w:rPr>
                <w:sz w:val="20"/>
                <w:szCs w:val="20"/>
                <w:color w:val="auto"/>
              </w:rPr>
            </w:pPr>
            <w:r>
              <w:rPr>
                <w:rFonts w:ascii="Arial" w:cs="Arial" w:eastAsia="Arial" w:hAnsi="Arial"/>
                <w:sz w:val="13"/>
                <w:szCs w:val="13"/>
                <w:b w:val="1"/>
                <w:bCs w:val="1"/>
                <w:color w:val="FEFEFE"/>
              </w:rPr>
              <w:t>Position</w:t>
            </w:r>
          </w:p>
        </w:tc>
        <w:tc>
          <w:tcPr>
            <w:tcW w:w="560" w:type="dxa"/>
            <w:vAlign w:val="bottom"/>
            <w:shd w:val="clear" w:color="auto" w:fill="000000"/>
          </w:tcPr>
          <w:p>
            <w:pPr>
              <w:spacing w:after="0"/>
              <w:rPr>
                <w:sz w:val="11"/>
                <w:szCs w:val="11"/>
                <w:color w:val="auto"/>
              </w:rPr>
            </w:pPr>
          </w:p>
        </w:tc>
        <w:tc>
          <w:tcPr>
            <w:tcW w:w="760" w:type="dxa"/>
            <w:vAlign w:val="bottom"/>
            <w:shd w:val="clear" w:color="auto" w:fill="000000"/>
          </w:tcPr>
          <w:p>
            <w:pPr>
              <w:jc w:val="center"/>
              <w:spacing w:after="0" w:line="135" w:lineRule="exact"/>
              <w:rPr>
                <w:sz w:val="20"/>
                <w:szCs w:val="20"/>
                <w:color w:val="auto"/>
              </w:rPr>
            </w:pPr>
            <w:r>
              <w:rPr>
                <w:rFonts w:ascii="Arial" w:cs="Arial" w:eastAsia="Arial" w:hAnsi="Arial"/>
                <w:sz w:val="12"/>
                <w:szCs w:val="12"/>
                <w:b w:val="1"/>
                <w:bCs w:val="1"/>
                <w:color w:val="FEFEFE"/>
                <w:w w:val="96"/>
              </w:rPr>
              <w:t>($)</w:t>
            </w:r>
            <w:r>
              <w:rPr>
                <w:rFonts w:ascii="Arial" w:cs="Arial" w:eastAsia="Arial" w:hAnsi="Arial"/>
                <w:sz w:val="15"/>
                <w:szCs w:val="15"/>
                <w:b w:val="1"/>
                <w:bCs w:val="1"/>
                <w:color w:val="FEFEFE"/>
                <w:w w:val="96"/>
                <w:vertAlign w:val="superscript"/>
              </w:rPr>
              <w:t>(1)</w:t>
            </w:r>
          </w:p>
        </w:tc>
        <w:tc>
          <w:tcPr>
            <w:tcW w:w="900" w:type="dxa"/>
            <w:vAlign w:val="bottom"/>
            <w:shd w:val="clear" w:color="auto" w:fill="000000"/>
          </w:tcPr>
          <w:p>
            <w:pPr>
              <w:jc w:val="right"/>
              <w:ind w:right="271"/>
              <w:spacing w:after="0" w:line="135" w:lineRule="exact"/>
              <w:rPr>
                <w:sz w:val="20"/>
                <w:szCs w:val="20"/>
                <w:color w:val="auto"/>
              </w:rPr>
            </w:pPr>
            <w:r>
              <w:rPr>
                <w:rFonts w:ascii="Arial" w:cs="Arial" w:eastAsia="Arial" w:hAnsi="Arial"/>
                <w:sz w:val="12"/>
                <w:szCs w:val="12"/>
                <w:b w:val="1"/>
                <w:bCs w:val="1"/>
                <w:color w:val="FEFEFE"/>
              </w:rPr>
              <w:t>($)</w:t>
            </w:r>
            <w:r>
              <w:rPr>
                <w:rFonts w:ascii="Arial" w:cs="Arial" w:eastAsia="Arial" w:hAnsi="Arial"/>
                <w:sz w:val="15"/>
                <w:szCs w:val="15"/>
                <w:b w:val="1"/>
                <w:bCs w:val="1"/>
                <w:color w:val="FEFEFE"/>
                <w:vertAlign w:val="superscript"/>
              </w:rPr>
              <w:t>(2)</w:t>
            </w:r>
          </w:p>
        </w:tc>
        <w:tc>
          <w:tcPr>
            <w:tcW w:w="1040" w:type="dxa"/>
            <w:vAlign w:val="bottom"/>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3"/>
              </w:rPr>
              <w:t>Awards</w:t>
            </w:r>
          </w:p>
        </w:tc>
        <w:tc>
          <w:tcPr>
            <w:tcW w:w="940" w:type="dxa"/>
            <w:vAlign w:val="bottom"/>
            <w:shd w:val="clear" w:color="auto" w:fill="000000"/>
          </w:tcPr>
          <w:p>
            <w:pPr>
              <w:jc w:val="right"/>
              <w:ind w:right="51"/>
              <w:spacing w:after="0" w:line="135" w:lineRule="exact"/>
              <w:rPr>
                <w:sz w:val="20"/>
                <w:szCs w:val="20"/>
                <w:color w:val="auto"/>
              </w:rPr>
            </w:pPr>
            <w:r>
              <w:rPr>
                <w:rFonts w:ascii="Arial" w:cs="Arial" w:eastAsia="Arial" w:hAnsi="Arial"/>
                <w:sz w:val="12"/>
                <w:szCs w:val="12"/>
                <w:b w:val="1"/>
                <w:bCs w:val="1"/>
                <w:color w:val="FEFEFE"/>
              </w:rPr>
              <w:t>Awards($)</w:t>
            </w:r>
            <w:r>
              <w:rPr>
                <w:rFonts w:ascii="Arial" w:cs="Arial" w:eastAsia="Arial" w:hAnsi="Arial"/>
                <w:sz w:val="15"/>
                <w:szCs w:val="15"/>
                <w:b w:val="1"/>
                <w:bCs w:val="1"/>
                <w:color w:val="FEFEFE"/>
                <w:vertAlign w:val="superscript"/>
              </w:rPr>
              <w:t>(4)</w:t>
            </w:r>
          </w:p>
        </w:tc>
        <w:tc>
          <w:tcPr>
            <w:tcW w:w="1100" w:type="dxa"/>
            <w:vAlign w:val="bottom"/>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8"/>
              </w:rPr>
              <w:t>Incentive Plan</w:t>
            </w:r>
          </w:p>
        </w:tc>
        <w:tc>
          <w:tcPr>
            <w:tcW w:w="1140" w:type="dxa"/>
            <w:vAlign w:val="bottom"/>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7"/>
              </w:rPr>
              <w:t>Compensation</w:t>
            </w:r>
          </w:p>
        </w:tc>
        <w:tc>
          <w:tcPr>
            <w:tcW w:w="1160" w:type="dxa"/>
            <w:vAlign w:val="bottom"/>
            <w:shd w:val="clear" w:color="auto" w:fill="000000"/>
          </w:tcPr>
          <w:p>
            <w:pPr>
              <w:jc w:val="right"/>
              <w:ind w:right="490"/>
              <w:spacing w:after="0" w:line="135" w:lineRule="exact"/>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35"/>
        </w:trPr>
        <w:tc>
          <w:tcPr>
            <w:tcW w:w="1780" w:type="dxa"/>
            <w:vAlign w:val="bottom"/>
            <w:shd w:val="clear" w:color="auto" w:fill="000000"/>
          </w:tcPr>
          <w:p>
            <w:pPr>
              <w:spacing w:after="0"/>
              <w:rPr>
                <w:sz w:val="11"/>
                <w:szCs w:val="11"/>
                <w:color w:val="auto"/>
              </w:rPr>
            </w:pPr>
          </w:p>
        </w:tc>
        <w:tc>
          <w:tcPr>
            <w:tcW w:w="560" w:type="dxa"/>
            <w:vAlign w:val="bottom"/>
            <w:shd w:val="clear" w:color="auto" w:fill="000000"/>
          </w:tcPr>
          <w:p>
            <w:pPr>
              <w:spacing w:after="0"/>
              <w:rPr>
                <w:sz w:val="11"/>
                <w:szCs w:val="11"/>
                <w:color w:val="auto"/>
              </w:rPr>
            </w:pPr>
          </w:p>
        </w:tc>
        <w:tc>
          <w:tcPr>
            <w:tcW w:w="760" w:type="dxa"/>
            <w:vAlign w:val="bottom"/>
            <w:shd w:val="clear" w:color="auto" w:fill="000000"/>
          </w:tcPr>
          <w:p>
            <w:pPr>
              <w:spacing w:after="0"/>
              <w:rPr>
                <w:sz w:val="11"/>
                <w:szCs w:val="11"/>
                <w:color w:val="auto"/>
              </w:rPr>
            </w:pPr>
          </w:p>
        </w:tc>
        <w:tc>
          <w:tcPr>
            <w:tcW w:w="900" w:type="dxa"/>
            <w:vAlign w:val="bottom"/>
            <w:shd w:val="clear" w:color="auto" w:fill="000000"/>
          </w:tcPr>
          <w:p>
            <w:pPr>
              <w:spacing w:after="0"/>
              <w:rPr>
                <w:sz w:val="11"/>
                <w:szCs w:val="11"/>
                <w:color w:val="auto"/>
              </w:rPr>
            </w:pPr>
          </w:p>
        </w:tc>
        <w:tc>
          <w:tcPr>
            <w:tcW w:w="1040" w:type="dxa"/>
            <w:vAlign w:val="bottom"/>
            <w:shd w:val="clear" w:color="auto" w:fill="000000"/>
          </w:tcPr>
          <w:p>
            <w:pPr>
              <w:jc w:val="center"/>
              <w:spacing w:after="0" w:line="135" w:lineRule="exact"/>
              <w:rPr>
                <w:sz w:val="20"/>
                <w:szCs w:val="20"/>
                <w:color w:val="auto"/>
              </w:rPr>
            </w:pPr>
            <w:r>
              <w:rPr>
                <w:rFonts w:ascii="Arial" w:cs="Arial" w:eastAsia="Arial" w:hAnsi="Arial"/>
                <w:sz w:val="12"/>
                <w:szCs w:val="12"/>
                <w:b w:val="1"/>
                <w:bCs w:val="1"/>
                <w:color w:val="FEFEFE"/>
                <w:w w:val="89"/>
              </w:rPr>
              <w:t>($)</w:t>
            </w:r>
            <w:r>
              <w:rPr>
                <w:rFonts w:ascii="Arial" w:cs="Arial" w:eastAsia="Arial" w:hAnsi="Arial"/>
                <w:sz w:val="15"/>
                <w:szCs w:val="15"/>
                <w:b w:val="1"/>
                <w:bCs w:val="1"/>
                <w:color w:val="FEFEFE"/>
                <w:w w:val="89"/>
                <w:vertAlign w:val="superscript"/>
              </w:rPr>
              <w:t>(3)</w:t>
            </w:r>
          </w:p>
        </w:tc>
        <w:tc>
          <w:tcPr>
            <w:tcW w:w="940" w:type="dxa"/>
            <w:vAlign w:val="bottom"/>
            <w:shd w:val="clear" w:color="auto" w:fill="000000"/>
          </w:tcPr>
          <w:p>
            <w:pPr>
              <w:spacing w:after="0"/>
              <w:rPr>
                <w:sz w:val="11"/>
                <w:szCs w:val="11"/>
                <w:color w:val="auto"/>
              </w:rPr>
            </w:pPr>
          </w:p>
        </w:tc>
        <w:tc>
          <w:tcPr>
            <w:tcW w:w="1100" w:type="dxa"/>
            <w:vAlign w:val="bottom"/>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5"/>
              </w:rPr>
              <w:t>Compensation</w:t>
            </w:r>
          </w:p>
        </w:tc>
        <w:tc>
          <w:tcPr>
            <w:tcW w:w="1140" w:type="dxa"/>
            <w:vAlign w:val="bottom"/>
            <w:shd w:val="clear" w:color="auto" w:fill="000000"/>
          </w:tcPr>
          <w:p>
            <w:pPr>
              <w:jc w:val="center"/>
              <w:spacing w:after="0" w:line="135" w:lineRule="exact"/>
              <w:rPr>
                <w:sz w:val="20"/>
                <w:szCs w:val="20"/>
                <w:color w:val="auto"/>
              </w:rPr>
            </w:pPr>
            <w:r>
              <w:rPr>
                <w:rFonts w:ascii="Arial" w:cs="Arial" w:eastAsia="Arial" w:hAnsi="Arial"/>
                <w:sz w:val="12"/>
                <w:szCs w:val="12"/>
                <w:b w:val="1"/>
                <w:bCs w:val="1"/>
                <w:color w:val="FEFEFE"/>
                <w:w w:val="89"/>
              </w:rPr>
              <w:t>($)</w:t>
            </w:r>
            <w:r>
              <w:rPr>
                <w:rFonts w:ascii="Arial" w:cs="Arial" w:eastAsia="Arial" w:hAnsi="Arial"/>
                <w:sz w:val="15"/>
                <w:szCs w:val="15"/>
                <w:b w:val="1"/>
                <w:bCs w:val="1"/>
                <w:color w:val="FEFEFE"/>
                <w:w w:val="89"/>
                <w:vertAlign w:val="superscript"/>
              </w:rPr>
              <w:t>(6)</w:t>
            </w:r>
          </w:p>
        </w:tc>
        <w:tc>
          <w:tcPr>
            <w:tcW w:w="116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1780" w:type="dxa"/>
            <w:vAlign w:val="bottom"/>
            <w:shd w:val="clear" w:color="auto" w:fill="000000"/>
          </w:tcPr>
          <w:p>
            <w:pPr>
              <w:spacing w:after="0"/>
              <w:rPr>
                <w:sz w:val="18"/>
                <w:szCs w:val="18"/>
                <w:color w:val="auto"/>
              </w:rPr>
            </w:pPr>
          </w:p>
        </w:tc>
        <w:tc>
          <w:tcPr>
            <w:tcW w:w="560" w:type="dxa"/>
            <w:vAlign w:val="bottom"/>
            <w:shd w:val="clear" w:color="auto" w:fill="000000"/>
          </w:tcPr>
          <w:p>
            <w:pPr>
              <w:spacing w:after="0"/>
              <w:rPr>
                <w:sz w:val="18"/>
                <w:szCs w:val="18"/>
                <w:color w:val="auto"/>
              </w:rPr>
            </w:pPr>
          </w:p>
        </w:tc>
        <w:tc>
          <w:tcPr>
            <w:tcW w:w="760" w:type="dxa"/>
            <w:vAlign w:val="bottom"/>
            <w:shd w:val="clear" w:color="auto" w:fill="000000"/>
          </w:tcPr>
          <w:p>
            <w:pPr>
              <w:spacing w:after="0"/>
              <w:rPr>
                <w:sz w:val="18"/>
                <w:szCs w:val="18"/>
                <w:color w:val="auto"/>
              </w:rPr>
            </w:pPr>
          </w:p>
        </w:tc>
        <w:tc>
          <w:tcPr>
            <w:tcW w:w="900" w:type="dxa"/>
            <w:vAlign w:val="bottom"/>
            <w:shd w:val="clear" w:color="auto" w:fill="000000"/>
          </w:tcPr>
          <w:p>
            <w:pPr>
              <w:spacing w:after="0"/>
              <w:rPr>
                <w:sz w:val="18"/>
                <w:szCs w:val="18"/>
                <w:color w:val="auto"/>
              </w:rPr>
            </w:pPr>
          </w:p>
        </w:tc>
        <w:tc>
          <w:tcPr>
            <w:tcW w:w="1040" w:type="dxa"/>
            <w:vAlign w:val="bottom"/>
            <w:shd w:val="clear" w:color="auto" w:fill="000000"/>
          </w:tcPr>
          <w:p>
            <w:pPr>
              <w:spacing w:after="0"/>
              <w:rPr>
                <w:sz w:val="18"/>
                <w:szCs w:val="18"/>
                <w:color w:val="auto"/>
              </w:rPr>
            </w:pPr>
          </w:p>
        </w:tc>
        <w:tc>
          <w:tcPr>
            <w:tcW w:w="940" w:type="dxa"/>
            <w:vAlign w:val="bottom"/>
            <w:shd w:val="clear" w:color="auto" w:fill="000000"/>
          </w:tcPr>
          <w:p>
            <w:pPr>
              <w:spacing w:after="0"/>
              <w:rPr>
                <w:sz w:val="18"/>
                <w:szCs w:val="18"/>
                <w:color w:val="auto"/>
              </w:rPr>
            </w:pPr>
          </w:p>
        </w:tc>
        <w:tc>
          <w:tcPr>
            <w:tcW w:w="110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w w:val="89"/>
              </w:rPr>
              <w:t>($)</w:t>
            </w:r>
            <w:r>
              <w:rPr>
                <w:rFonts w:ascii="Arial" w:cs="Arial" w:eastAsia="Arial" w:hAnsi="Arial"/>
                <w:sz w:val="16"/>
                <w:szCs w:val="16"/>
                <w:b w:val="1"/>
                <w:bCs w:val="1"/>
                <w:color w:val="FEFEFE"/>
                <w:w w:val="89"/>
                <w:vertAlign w:val="superscript"/>
              </w:rPr>
              <w:t>(5)</w:t>
            </w:r>
          </w:p>
        </w:tc>
        <w:tc>
          <w:tcPr>
            <w:tcW w:w="1140" w:type="dxa"/>
            <w:vAlign w:val="bottom"/>
            <w:shd w:val="clear" w:color="auto" w:fill="000000"/>
          </w:tcPr>
          <w:p>
            <w:pPr>
              <w:spacing w:after="0"/>
              <w:rPr>
                <w:sz w:val="18"/>
                <w:szCs w:val="18"/>
                <w:color w:val="auto"/>
              </w:rPr>
            </w:pPr>
          </w:p>
        </w:tc>
        <w:tc>
          <w:tcPr>
            <w:tcW w:w="116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1780" w:type="dxa"/>
            <w:vAlign w:val="bottom"/>
            <w:shd w:val="clear" w:color="auto" w:fill="000000"/>
          </w:tcPr>
          <w:p>
            <w:pPr>
              <w:spacing w:after="0"/>
              <w:rPr>
                <w:sz w:val="8"/>
                <w:szCs w:val="8"/>
                <w:color w:val="auto"/>
              </w:rPr>
            </w:pPr>
          </w:p>
        </w:tc>
        <w:tc>
          <w:tcPr>
            <w:tcW w:w="560" w:type="dxa"/>
            <w:vAlign w:val="bottom"/>
            <w:shd w:val="clear" w:color="auto" w:fill="000000"/>
          </w:tcPr>
          <w:p>
            <w:pPr>
              <w:spacing w:after="0"/>
              <w:rPr>
                <w:sz w:val="8"/>
                <w:szCs w:val="8"/>
                <w:color w:val="auto"/>
              </w:rPr>
            </w:pPr>
          </w:p>
        </w:tc>
        <w:tc>
          <w:tcPr>
            <w:tcW w:w="760" w:type="dxa"/>
            <w:vAlign w:val="bottom"/>
            <w:shd w:val="clear" w:color="auto" w:fill="000000"/>
          </w:tcPr>
          <w:p>
            <w:pPr>
              <w:spacing w:after="0"/>
              <w:rPr>
                <w:sz w:val="8"/>
                <w:szCs w:val="8"/>
                <w:color w:val="auto"/>
              </w:rPr>
            </w:pPr>
          </w:p>
        </w:tc>
        <w:tc>
          <w:tcPr>
            <w:tcW w:w="900" w:type="dxa"/>
            <w:vAlign w:val="bottom"/>
            <w:shd w:val="clear" w:color="auto" w:fill="000000"/>
          </w:tcPr>
          <w:p>
            <w:pPr>
              <w:spacing w:after="0"/>
              <w:rPr>
                <w:sz w:val="8"/>
                <w:szCs w:val="8"/>
                <w:color w:val="auto"/>
              </w:rPr>
            </w:pPr>
          </w:p>
        </w:tc>
        <w:tc>
          <w:tcPr>
            <w:tcW w:w="1040" w:type="dxa"/>
            <w:vAlign w:val="bottom"/>
            <w:shd w:val="clear" w:color="auto" w:fill="000000"/>
          </w:tcPr>
          <w:p>
            <w:pPr>
              <w:spacing w:after="0"/>
              <w:rPr>
                <w:sz w:val="8"/>
                <w:szCs w:val="8"/>
                <w:color w:val="auto"/>
              </w:rPr>
            </w:pPr>
          </w:p>
        </w:tc>
        <w:tc>
          <w:tcPr>
            <w:tcW w:w="940" w:type="dxa"/>
            <w:vAlign w:val="bottom"/>
            <w:shd w:val="clear" w:color="auto" w:fill="000000"/>
          </w:tcPr>
          <w:p>
            <w:pPr>
              <w:spacing w:after="0"/>
              <w:rPr>
                <w:sz w:val="8"/>
                <w:szCs w:val="8"/>
                <w:color w:val="auto"/>
              </w:rPr>
            </w:pPr>
          </w:p>
        </w:tc>
        <w:tc>
          <w:tcPr>
            <w:tcW w:w="1100" w:type="dxa"/>
            <w:vAlign w:val="bottom"/>
            <w:shd w:val="clear" w:color="auto" w:fill="000000"/>
          </w:tcPr>
          <w:p>
            <w:pPr>
              <w:spacing w:after="0"/>
              <w:rPr>
                <w:sz w:val="8"/>
                <w:szCs w:val="8"/>
                <w:color w:val="auto"/>
              </w:rPr>
            </w:pPr>
          </w:p>
        </w:tc>
        <w:tc>
          <w:tcPr>
            <w:tcW w:w="1140" w:type="dxa"/>
            <w:vAlign w:val="bottom"/>
            <w:shd w:val="clear" w:color="auto" w:fill="000000"/>
          </w:tcPr>
          <w:p>
            <w:pPr>
              <w:spacing w:after="0"/>
              <w:rPr>
                <w:sz w:val="8"/>
                <w:szCs w:val="8"/>
                <w:color w:val="auto"/>
              </w:rPr>
            </w:pPr>
          </w:p>
        </w:tc>
        <w:tc>
          <w:tcPr>
            <w:tcW w:w="116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332"/>
        </w:trPr>
        <w:tc>
          <w:tcPr>
            <w:tcW w:w="1780" w:type="dxa"/>
            <w:vAlign w:val="bottom"/>
          </w:tcPr>
          <w:p>
            <w:pPr>
              <w:ind w:left="160"/>
              <w:spacing w:after="0"/>
              <w:rPr>
                <w:sz w:val="20"/>
                <w:szCs w:val="20"/>
                <w:color w:val="auto"/>
              </w:rPr>
            </w:pPr>
            <w:r>
              <w:rPr>
                <w:rFonts w:ascii="Arial" w:cs="Arial" w:eastAsia="Arial" w:hAnsi="Arial"/>
                <w:sz w:val="16"/>
                <w:szCs w:val="16"/>
                <w:b w:val="1"/>
                <w:bCs w:val="1"/>
                <w:color w:val="auto"/>
              </w:rPr>
              <w:t>Peter Rawlinson</w:t>
            </w:r>
          </w:p>
        </w:tc>
        <w:tc>
          <w:tcPr>
            <w:tcW w:w="560" w:type="dxa"/>
            <w:vAlign w:val="bottom"/>
          </w:tcPr>
          <w:p>
            <w:pPr>
              <w:ind w:left="120"/>
              <w:spacing w:after="0"/>
              <w:rPr>
                <w:sz w:val="20"/>
                <w:szCs w:val="20"/>
                <w:color w:val="auto"/>
              </w:rPr>
            </w:pPr>
            <w:r>
              <w:rPr>
                <w:rFonts w:ascii="Arial" w:cs="Arial" w:eastAsia="Arial" w:hAnsi="Arial"/>
                <w:sz w:val="14"/>
                <w:szCs w:val="14"/>
                <w:color w:val="auto"/>
              </w:rPr>
              <w:t>2021</w:t>
            </w:r>
          </w:p>
        </w:tc>
        <w:tc>
          <w:tcPr>
            <w:tcW w:w="760" w:type="dxa"/>
            <w:vAlign w:val="bottom"/>
          </w:tcPr>
          <w:p>
            <w:pPr>
              <w:jc w:val="center"/>
              <w:spacing w:after="0"/>
              <w:rPr>
                <w:sz w:val="20"/>
                <w:szCs w:val="20"/>
                <w:color w:val="auto"/>
              </w:rPr>
            </w:pPr>
            <w:r>
              <w:rPr>
                <w:rFonts w:ascii="Arial" w:cs="Arial" w:eastAsia="Arial" w:hAnsi="Arial"/>
                <w:sz w:val="14"/>
                <w:szCs w:val="14"/>
                <w:color w:val="auto"/>
              </w:rPr>
              <w:t>528,846</w:t>
            </w:r>
          </w:p>
        </w:tc>
        <w:tc>
          <w:tcPr>
            <w:tcW w:w="900" w:type="dxa"/>
            <w:vAlign w:val="bottom"/>
          </w:tcPr>
          <w:p>
            <w:pPr>
              <w:jc w:val="right"/>
              <w:ind w:right="71"/>
              <w:spacing w:after="0"/>
              <w:rPr>
                <w:sz w:val="20"/>
                <w:szCs w:val="20"/>
                <w:color w:val="auto"/>
              </w:rPr>
            </w:pPr>
            <w:r>
              <w:rPr>
                <w:rFonts w:ascii="Arial" w:cs="Arial" w:eastAsia="Arial" w:hAnsi="Arial"/>
                <w:sz w:val="14"/>
                <w:szCs w:val="14"/>
                <w:color w:val="auto"/>
              </w:rPr>
              <w:t>2,190,761</w:t>
            </w:r>
          </w:p>
        </w:tc>
        <w:tc>
          <w:tcPr>
            <w:tcW w:w="1040" w:type="dxa"/>
            <w:vAlign w:val="bottom"/>
          </w:tcPr>
          <w:p>
            <w:pPr>
              <w:jc w:val="right"/>
              <w:ind w:right="51"/>
              <w:spacing w:after="0"/>
              <w:rPr>
                <w:sz w:val="20"/>
                <w:szCs w:val="20"/>
                <w:color w:val="auto"/>
              </w:rPr>
            </w:pPr>
            <w:r>
              <w:rPr>
                <w:rFonts w:ascii="Arial" w:cs="Arial" w:eastAsia="Arial" w:hAnsi="Arial"/>
                <w:sz w:val="14"/>
                <w:szCs w:val="14"/>
                <w:color w:val="auto"/>
              </w:rPr>
              <w:t>556,086,963</w:t>
            </w:r>
          </w:p>
        </w:tc>
        <w:tc>
          <w:tcPr>
            <w:tcW w:w="94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92"/>
              <w:spacing w:after="0"/>
              <w:rPr>
                <w:sz w:val="20"/>
                <w:szCs w:val="20"/>
                <w:color w:val="auto"/>
              </w:rPr>
            </w:pPr>
            <w:r>
              <w:rPr>
                <w:rFonts w:ascii="Arial" w:cs="Arial" w:eastAsia="Arial" w:hAnsi="Arial"/>
                <w:sz w:val="14"/>
                <w:szCs w:val="14"/>
                <w:color w:val="auto"/>
              </w:rPr>
              <w:t>215,625</w:t>
            </w:r>
          </w:p>
        </w:tc>
        <w:tc>
          <w:tcPr>
            <w:tcW w:w="1140" w:type="dxa"/>
            <w:vAlign w:val="bottom"/>
          </w:tcPr>
          <w:p>
            <w:pPr>
              <w:jc w:val="right"/>
              <w:ind w:right="151"/>
              <w:spacing w:after="0"/>
              <w:rPr>
                <w:sz w:val="20"/>
                <w:szCs w:val="20"/>
                <w:color w:val="auto"/>
              </w:rPr>
            </w:pPr>
            <w:r>
              <w:rPr>
                <w:rFonts w:ascii="Arial" w:cs="Arial" w:eastAsia="Arial" w:hAnsi="Arial"/>
                <w:sz w:val="14"/>
                <w:szCs w:val="14"/>
                <w:color w:val="auto"/>
              </w:rPr>
              <w:t>6,569,317</w:t>
            </w:r>
          </w:p>
        </w:tc>
        <w:tc>
          <w:tcPr>
            <w:tcW w:w="1160" w:type="dxa"/>
            <w:vAlign w:val="bottom"/>
          </w:tcPr>
          <w:p>
            <w:pPr>
              <w:jc w:val="right"/>
              <w:ind w:right="130"/>
              <w:spacing w:after="0"/>
              <w:rPr>
                <w:sz w:val="20"/>
                <w:szCs w:val="20"/>
                <w:color w:val="auto"/>
              </w:rPr>
            </w:pPr>
            <w:r>
              <w:rPr>
                <w:rFonts w:ascii="Arial" w:cs="Arial" w:eastAsia="Arial" w:hAnsi="Arial"/>
                <w:sz w:val="14"/>
                <w:szCs w:val="14"/>
                <w:color w:val="auto"/>
              </w:rPr>
              <w:t>565,591,512</w:t>
            </w:r>
          </w:p>
        </w:tc>
        <w:tc>
          <w:tcPr>
            <w:tcW w:w="0" w:type="dxa"/>
            <w:vAlign w:val="bottom"/>
          </w:tcPr>
          <w:p>
            <w:pPr>
              <w:spacing w:after="0"/>
              <w:rPr>
                <w:sz w:val="1"/>
                <w:szCs w:val="1"/>
                <w:color w:val="auto"/>
              </w:rPr>
            </w:pPr>
          </w:p>
        </w:tc>
      </w:tr>
      <w:tr>
        <w:trPr>
          <w:trHeight w:val="114"/>
        </w:trPr>
        <w:tc>
          <w:tcPr>
            <w:tcW w:w="1780" w:type="dxa"/>
            <w:vAlign w:val="bottom"/>
            <w:vMerge w:val="restart"/>
          </w:tcPr>
          <w:p>
            <w:pPr>
              <w:ind w:left="160"/>
              <w:spacing w:after="0"/>
              <w:rPr>
                <w:sz w:val="20"/>
                <w:szCs w:val="20"/>
                <w:color w:val="auto"/>
              </w:rPr>
            </w:pPr>
            <w:r>
              <w:rPr>
                <w:rFonts w:ascii="Arial" w:cs="Arial" w:eastAsia="Arial" w:hAnsi="Arial"/>
                <w:sz w:val="14"/>
                <w:szCs w:val="14"/>
                <w:i w:val="1"/>
                <w:iCs w:val="1"/>
                <w:color w:val="auto"/>
              </w:rPr>
              <w:t>Chief Executive Officer</w:t>
            </w:r>
          </w:p>
        </w:tc>
        <w:tc>
          <w:tcPr>
            <w:tcW w:w="5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17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1780" w:type="dxa"/>
            <w:vAlign w:val="bottom"/>
          </w:tcPr>
          <w:p>
            <w:pPr>
              <w:ind w:left="160"/>
              <w:spacing w:after="0"/>
              <w:rPr>
                <w:sz w:val="20"/>
                <w:szCs w:val="20"/>
                <w:color w:val="auto"/>
              </w:rPr>
            </w:pPr>
            <w:r>
              <w:rPr>
                <w:rFonts w:ascii="Arial" w:cs="Arial" w:eastAsia="Arial" w:hAnsi="Arial"/>
                <w:sz w:val="14"/>
                <w:szCs w:val="14"/>
                <w:i w:val="1"/>
                <w:iCs w:val="1"/>
                <w:color w:val="auto"/>
              </w:rPr>
              <w:t>and Chief Technology</w:t>
            </w:r>
          </w:p>
        </w:tc>
        <w:tc>
          <w:tcPr>
            <w:tcW w:w="560" w:type="dxa"/>
            <w:vAlign w:val="bottom"/>
          </w:tcPr>
          <w:p>
            <w:pPr>
              <w:ind w:left="120"/>
              <w:spacing w:after="0"/>
              <w:rPr>
                <w:sz w:val="20"/>
                <w:szCs w:val="20"/>
                <w:color w:val="auto"/>
              </w:rPr>
            </w:pPr>
            <w:r>
              <w:rPr>
                <w:rFonts w:ascii="Arial" w:cs="Arial" w:eastAsia="Arial" w:hAnsi="Arial"/>
                <w:sz w:val="14"/>
                <w:szCs w:val="14"/>
                <w:color w:val="auto"/>
              </w:rPr>
              <w:t>2020</w:t>
            </w:r>
          </w:p>
        </w:tc>
        <w:tc>
          <w:tcPr>
            <w:tcW w:w="760" w:type="dxa"/>
            <w:vAlign w:val="bottom"/>
          </w:tcPr>
          <w:p>
            <w:pPr>
              <w:jc w:val="center"/>
              <w:spacing w:after="0"/>
              <w:rPr>
                <w:sz w:val="20"/>
                <w:szCs w:val="20"/>
                <w:color w:val="auto"/>
              </w:rPr>
            </w:pPr>
            <w:r>
              <w:rPr>
                <w:rFonts w:ascii="Arial" w:cs="Arial" w:eastAsia="Arial" w:hAnsi="Arial"/>
                <w:sz w:val="14"/>
                <w:szCs w:val="14"/>
                <w:color w:val="auto"/>
              </w:rPr>
              <w:t>468,077</w:t>
            </w:r>
          </w:p>
        </w:tc>
        <w:tc>
          <w:tcPr>
            <w:tcW w:w="900" w:type="dxa"/>
            <w:vAlign w:val="bottom"/>
          </w:tcPr>
          <w:p>
            <w:pPr>
              <w:jc w:val="right"/>
              <w:ind w:right="71"/>
              <w:spacing w:after="0"/>
              <w:rPr>
                <w:sz w:val="20"/>
                <w:szCs w:val="20"/>
                <w:color w:val="auto"/>
              </w:rPr>
            </w:pPr>
            <w:r>
              <w:rPr>
                <w:rFonts w:ascii="Arial" w:cs="Arial" w:eastAsia="Arial" w:hAnsi="Arial"/>
                <w:sz w:val="14"/>
                <w:szCs w:val="14"/>
                <w:color w:val="auto"/>
              </w:rPr>
              <w:t>210,000</w:t>
            </w:r>
          </w:p>
        </w:tc>
        <w:tc>
          <w:tcPr>
            <w:tcW w:w="104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30"/>
              <w:spacing w:after="0"/>
              <w:rPr>
                <w:sz w:val="20"/>
                <w:szCs w:val="20"/>
                <w:color w:val="auto"/>
              </w:rPr>
            </w:pPr>
            <w:r>
              <w:rPr>
                <w:rFonts w:ascii="Arial" w:cs="Arial" w:eastAsia="Arial" w:hAnsi="Arial"/>
                <w:sz w:val="14"/>
                <w:szCs w:val="14"/>
                <w:color w:val="auto"/>
              </w:rPr>
              <w:t>678,007</w:t>
            </w:r>
          </w:p>
        </w:tc>
        <w:tc>
          <w:tcPr>
            <w:tcW w:w="0" w:type="dxa"/>
            <w:vAlign w:val="bottom"/>
          </w:tcPr>
          <w:p>
            <w:pPr>
              <w:spacing w:after="0"/>
              <w:rPr>
                <w:sz w:val="1"/>
                <w:szCs w:val="1"/>
                <w:color w:val="auto"/>
              </w:rPr>
            </w:pPr>
          </w:p>
        </w:tc>
      </w:tr>
      <w:tr>
        <w:trPr>
          <w:trHeight w:val="186"/>
        </w:trPr>
        <w:tc>
          <w:tcPr>
            <w:tcW w:w="1780" w:type="dxa"/>
            <w:vAlign w:val="bottom"/>
          </w:tcPr>
          <w:p>
            <w:pPr>
              <w:ind w:left="160"/>
              <w:spacing w:after="0"/>
              <w:rPr>
                <w:sz w:val="20"/>
                <w:szCs w:val="20"/>
                <w:color w:val="auto"/>
              </w:rPr>
            </w:pPr>
            <w:r>
              <w:rPr>
                <w:rFonts w:ascii="Arial" w:cs="Arial" w:eastAsia="Arial" w:hAnsi="Arial"/>
                <w:sz w:val="14"/>
                <w:szCs w:val="14"/>
                <w:i w:val="1"/>
                <w:iCs w:val="1"/>
                <w:color w:val="auto"/>
              </w:rPr>
              <w:t>Officer</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17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45"/>
        </w:trPr>
        <w:tc>
          <w:tcPr>
            <w:tcW w:w="1780" w:type="dxa"/>
            <w:vAlign w:val="bottom"/>
            <w:shd w:val="clear" w:color="auto" w:fill="F7F7F7"/>
          </w:tcPr>
          <w:p>
            <w:pPr>
              <w:ind w:left="160"/>
              <w:spacing w:after="0"/>
              <w:rPr>
                <w:sz w:val="20"/>
                <w:szCs w:val="20"/>
                <w:color w:val="auto"/>
              </w:rPr>
            </w:pPr>
            <w:r>
              <w:rPr>
                <w:rFonts w:ascii="Arial" w:cs="Arial" w:eastAsia="Arial" w:hAnsi="Arial"/>
                <w:sz w:val="16"/>
                <w:szCs w:val="16"/>
                <w:b w:val="1"/>
                <w:bCs w:val="1"/>
                <w:color w:val="auto"/>
              </w:rPr>
              <w:t>Sherry House</w:t>
            </w:r>
            <w:r>
              <w:rPr>
                <w:rFonts w:ascii="Arial" w:cs="Arial" w:eastAsia="Arial" w:hAnsi="Arial"/>
                <w:sz w:val="19"/>
                <w:szCs w:val="19"/>
                <w:b w:val="1"/>
                <w:bCs w:val="1"/>
                <w:color w:val="auto"/>
                <w:vertAlign w:val="superscript"/>
              </w:rPr>
              <w:t>(7)</w:t>
            </w:r>
          </w:p>
        </w:tc>
        <w:tc>
          <w:tcPr>
            <w:tcW w:w="560" w:type="dxa"/>
            <w:vAlign w:val="bottom"/>
            <w:shd w:val="clear" w:color="auto" w:fill="F7F7F7"/>
          </w:tcPr>
          <w:p>
            <w:pPr>
              <w:ind w:left="120"/>
              <w:spacing w:after="0"/>
              <w:rPr>
                <w:sz w:val="20"/>
                <w:szCs w:val="20"/>
                <w:color w:val="auto"/>
              </w:rPr>
            </w:pPr>
            <w:r>
              <w:rPr>
                <w:rFonts w:ascii="Arial" w:cs="Arial" w:eastAsia="Arial" w:hAnsi="Arial"/>
                <w:sz w:val="14"/>
                <w:szCs w:val="14"/>
                <w:color w:val="auto"/>
              </w:rPr>
              <w:t>2021</w:t>
            </w:r>
          </w:p>
        </w:tc>
        <w:tc>
          <w:tcPr>
            <w:tcW w:w="760" w:type="dxa"/>
            <w:vAlign w:val="bottom"/>
            <w:shd w:val="clear" w:color="auto" w:fill="F7F7F7"/>
          </w:tcPr>
          <w:p>
            <w:pPr>
              <w:jc w:val="center"/>
              <w:spacing w:after="0"/>
              <w:rPr>
                <w:sz w:val="20"/>
                <w:szCs w:val="20"/>
                <w:color w:val="auto"/>
              </w:rPr>
            </w:pPr>
            <w:r>
              <w:rPr>
                <w:rFonts w:ascii="Arial" w:cs="Arial" w:eastAsia="Arial" w:hAnsi="Arial"/>
                <w:sz w:val="14"/>
                <w:szCs w:val="14"/>
                <w:color w:val="auto"/>
              </w:rPr>
              <w:t>317,308</w:t>
            </w:r>
          </w:p>
        </w:tc>
        <w:tc>
          <w:tcPr>
            <w:tcW w:w="900" w:type="dxa"/>
            <w:vAlign w:val="bottom"/>
            <w:shd w:val="clear" w:color="auto" w:fill="F7F7F7"/>
          </w:tcPr>
          <w:p>
            <w:pPr>
              <w:jc w:val="right"/>
              <w:ind w:right="71"/>
              <w:spacing w:after="0"/>
              <w:rPr>
                <w:sz w:val="20"/>
                <w:szCs w:val="20"/>
                <w:color w:val="auto"/>
              </w:rPr>
            </w:pPr>
            <w:r>
              <w:rPr>
                <w:rFonts w:ascii="Arial" w:cs="Arial" w:eastAsia="Arial" w:hAnsi="Arial"/>
                <w:sz w:val="14"/>
                <w:szCs w:val="14"/>
                <w:color w:val="auto"/>
              </w:rPr>
              <w:t>141,685</w:t>
            </w:r>
          </w:p>
        </w:tc>
        <w:tc>
          <w:tcPr>
            <w:tcW w:w="1040" w:type="dxa"/>
            <w:vAlign w:val="bottom"/>
            <w:shd w:val="clear" w:color="auto" w:fill="F7F7F7"/>
          </w:tcPr>
          <w:p>
            <w:pPr>
              <w:jc w:val="right"/>
              <w:ind w:right="51"/>
              <w:spacing w:after="0"/>
              <w:rPr>
                <w:sz w:val="20"/>
                <w:szCs w:val="20"/>
                <w:color w:val="auto"/>
              </w:rPr>
            </w:pPr>
            <w:r>
              <w:rPr>
                <w:rFonts w:ascii="Arial" w:cs="Arial" w:eastAsia="Arial" w:hAnsi="Arial"/>
                <w:sz w:val="14"/>
                <w:szCs w:val="14"/>
                <w:color w:val="auto"/>
              </w:rPr>
              <w:t>16,181,280</w:t>
            </w:r>
          </w:p>
        </w:tc>
        <w:tc>
          <w:tcPr>
            <w:tcW w:w="940" w:type="dxa"/>
            <w:vAlign w:val="bottom"/>
            <w:shd w:val="clear" w:color="auto" w:fill="F7F7F7"/>
          </w:tcPr>
          <w:p>
            <w:pPr>
              <w:jc w:val="right"/>
              <w:ind w:right="131"/>
              <w:spacing w:after="0"/>
              <w:rPr>
                <w:sz w:val="20"/>
                <w:szCs w:val="20"/>
                <w:color w:val="auto"/>
              </w:rPr>
            </w:pPr>
            <w:r>
              <w:rPr>
                <w:rFonts w:ascii="Arial" w:cs="Arial" w:eastAsia="Arial" w:hAnsi="Arial"/>
                <w:sz w:val="14"/>
                <w:szCs w:val="14"/>
                <w:color w:val="auto"/>
              </w:rPr>
              <w:t>—</w:t>
            </w:r>
          </w:p>
        </w:tc>
        <w:tc>
          <w:tcPr>
            <w:tcW w:w="1100" w:type="dxa"/>
            <w:vAlign w:val="bottom"/>
            <w:shd w:val="clear" w:color="auto" w:fill="F7F7F7"/>
          </w:tcPr>
          <w:p>
            <w:pPr>
              <w:jc w:val="right"/>
              <w:ind w:right="192"/>
              <w:spacing w:after="0"/>
              <w:rPr>
                <w:sz w:val="20"/>
                <w:szCs w:val="20"/>
                <w:color w:val="auto"/>
              </w:rPr>
            </w:pPr>
            <w:r>
              <w:rPr>
                <w:rFonts w:ascii="Arial" w:cs="Arial" w:eastAsia="Arial" w:hAnsi="Arial"/>
                <w:sz w:val="14"/>
                <w:szCs w:val="14"/>
                <w:color w:val="auto"/>
              </w:rPr>
              <w:t>124,315</w:t>
            </w:r>
          </w:p>
        </w:tc>
        <w:tc>
          <w:tcPr>
            <w:tcW w:w="1140" w:type="dxa"/>
            <w:vAlign w:val="bottom"/>
            <w:shd w:val="clear" w:color="auto" w:fill="F7F7F7"/>
          </w:tcPr>
          <w:p>
            <w:pPr>
              <w:jc w:val="right"/>
              <w:ind w:right="151"/>
              <w:spacing w:after="0"/>
              <w:rPr>
                <w:sz w:val="20"/>
                <w:szCs w:val="20"/>
                <w:color w:val="auto"/>
              </w:rPr>
            </w:pPr>
            <w:r>
              <w:rPr>
                <w:rFonts w:ascii="Arial" w:cs="Arial" w:eastAsia="Arial" w:hAnsi="Arial"/>
                <w:sz w:val="14"/>
                <w:szCs w:val="14"/>
                <w:color w:val="auto"/>
              </w:rPr>
              <w:t>1,160</w:t>
            </w:r>
          </w:p>
        </w:tc>
        <w:tc>
          <w:tcPr>
            <w:tcW w:w="1160" w:type="dxa"/>
            <w:vAlign w:val="bottom"/>
            <w:shd w:val="clear" w:color="auto" w:fill="F7F7F7"/>
          </w:tcPr>
          <w:p>
            <w:pPr>
              <w:jc w:val="right"/>
              <w:ind w:right="130"/>
              <w:spacing w:after="0"/>
              <w:rPr>
                <w:sz w:val="20"/>
                <w:szCs w:val="20"/>
                <w:color w:val="auto"/>
              </w:rPr>
            </w:pPr>
            <w:r>
              <w:rPr>
                <w:rFonts w:ascii="Arial" w:cs="Arial" w:eastAsia="Arial" w:hAnsi="Arial"/>
                <w:sz w:val="14"/>
                <w:szCs w:val="14"/>
                <w:color w:val="auto"/>
              </w:rPr>
              <w:t>16,765,748</w:t>
            </w:r>
          </w:p>
        </w:tc>
        <w:tc>
          <w:tcPr>
            <w:tcW w:w="0" w:type="dxa"/>
            <w:vAlign w:val="bottom"/>
          </w:tcPr>
          <w:p>
            <w:pPr>
              <w:spacing w:after="0"/>
              <w:rPr>
                <w:sz w:val="1"/>
                <w:szCs w:val="1"/>
                <w:color w:val="auto"/>
              </w:rPr>
            </w:pPr>
          </w:p>
        </w:tc>
      </w:tr>
      <w:tr>
        <w:trPr>
          <w:trHeight w:val="190"/>
        </w:trPr>
        <w:tc>
          <w:tcPr>
            <w:tcW w:w="1780" w:type="dxa"/>
            <w:vAlign w:val="bottom"/>
            <w:shd w:val="clear" w:color="auto" w:fill="F7F7F7"/>
          </w:tcPr>
          <w:p>
            <w:pPr>
              <w:ind w:left="160"/>
              <w:spacing w:after="0"/>
              <w:rPr>
                <w:sz w:val="20"/>
                <w:szCs w:val="20"/>
                <w:color w:val="auto"/>
              </w:rPr>
            </w:pPr>
            <w:r>
              <w:rPr>
                <w:rFonts w:ascii="Arial" w:cs="Arial" w:eastAsia="Arial" w:hAnsi="Arial"/>
                <w:sz w:val="14"/>
                <w:szCs w:val="14"/>
                <w:i w:val="1"/>
                <w:iCs w:val="1"/>
                <w:color w:val="auto"/>
              </w:rPr>
              <w:t>Chief Financial Officer</w:t>
            </w:r>
          </w:p>
        </w:tc>
        <w:tc>
          <w:tcPr>
            <w:tcW w:w="560" w:type="dxa"/>
            <w:vAlign w:val="bottom"/>
            <w:shd w:val="clear" w:color="auto" w:fill="F7F7F7"/>
          </w:tcPr>
          <w:p>
            <w:pPr>
              <w:spacing w:after="0"/>
              <w:rPr>
                <w:sz w:val="16"/>
                <w:szCs w:val="16"/>
                <w:color w:val="auto"/>
              </w:rPr>
            </w:pPr>
          </w:p>
        </w:tc>
        <w:tc>
          <w:tcPr>
            <w:tcW w:w="760" w:type="dxa"/>
            <w:vAlign w:val="bottom"/>
            <w:shd w:val="clear" w:color="auto" w:fill="F7F7F7"/>
          </w:tcPr>
          <w:p>
            <w:pPr>
              <w:spacing w:after="0"/>
              <w:rPr>
                <w:sz w:val="16"/>
                <w:szCs w:val="16"/>
                <w:color w:val="auto"/>
              </w:rPr>
            </w:pPr>
          </w:p>
        </w:tc>
        <w:tc>
          <w:tcPr>
            <w:tcW w:w="900" w:type="dxa"/>
            <w:vAlign w:val="bottom"/>
            <w:shd w:val="clear" w:color="auto" w:fill="F7F7F7"/>
          </w:tcPr>
          <w:p>
            <w:pPr>
              <w:spacing w:after="0"/>
              <w:rPr>
                <w:sz w:val="16"/>
                <w:szCs w:val="16"/>
                <w:color w:val="auto"/>
              </w:rPr>
            </w:pPr>
          </w:p>
        </w:tc>
        <w:tc>
          <w:tcPr>
            <w:tcW w:w="1040" w:type="dxa"/>
            <w:vAlign w:val="bottom"/>
            <w:shd w:val="clear" w:color="auto" w:fill="F7F7F7"/>
          </w:tcPr>
          <w:p>
            <w:pPr>
              <w:spacing w:after="0"/>
              <w:rPr>
                <w:sz w:val="16"/>
                <w:szCs w:val="16"/>
                <w:color w:val="auto"/>
              </w:rPr>
            </w:pPr>
          </w:p>
        </w:tc>
        <w:tc>
          <w:tcPr>
            <w:tcW w:w="940" w:type="dxa"/>
            <w:vAlign w:val="bottom"/>
            <w:shd w:val="clear" w:color="auto" w:fill="F7F7F7"/>
          </w:tcPr>
          <w:p>
            <w:pPr>
              <w:spacing w:after="0"/>
              <w:rPr>
                <w:sz w:val="16"/>
                <w:szCs w:val="16"/>
                <w:color w:val="auto"/>
              </w:rPr>
            </w:pPr>
          </w:p>
        </w:tc>
        <w:tc>
          <w:tcPr>
            <w:tcW w:w="1100" w:type="dxa"/>
            <w:vAlign w:val="bottom"/>
            <w:shd w:val="clear" w:color="auto" w:fill="F7F7F7"/>
          </w:tcPr>
          <w:p>
            <w:pPr>
              <w:spacing w:after="0"/>
              <w:rPr>
                <w:sz w:val="16"/>
                <w:szCs w:val="16"/>
                <w:color w:val="auto"/>
              </w:rPr>
            </w:pPr>
          </w:p>
        </w:tc>
        <w:tc>
          <w:tcPr>
            <w:tcW w:w="1140" w:type="dxa"/>
            <w:vAlign w:val="bottom"/>
            <w:shd w:val="clear" w:color="auto" w:fill="F7F7F7"/>
          </w:tcPr>
          <w:p>
            <w:pPr>
              <w:spacing w:after="0"/>
              <w:rPr>
                <w:sz w:val="16"/>
                <w:szCs w:val="16"/>
                <w:color w:val="auto"/>
              </w:rPr>
            </w:pPr>
          </w:p>
        </w:tc>
        <w:tc>
          <w:tcPr>
            <w:tcW w:w="1160" w:type="dxa"/>
            <w:vAlign w:val="bottom"/>
            <w:shd w:val="clear" w:color="auto" w:fill="F7F7F7"/>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780" w:type="dxa"/>
            <w:vAlign w:val="bottom"/>
            <w:tcBorders>
              <w:bottom w:val="single" w:sz="8" w:color="auto"/>
            </w:tcBorders>
            <w:shd w:val="clear" w:color="auto" w:fill="F7F7F7"/>
          </w:tcPr>
          <w:p>
            <w:pPr>
              <w:spacing w:after="0"/>
              <w:rPr>
                <w:sz w:val="8"/>
                <w:szCs w:val="8"/>
                <w:color w:val="auto"/>
              </w:rPr>
            </w:pPr>
          </w:p>
        </w:tc>
        <w:tc>
          <w:tcPr>
            <w:tcW w:w="560" w:type="dxa"/>
            <w:vAlign w:val="bottom"/>
            <w:tcBorders>
              <w:bottom w:val="single" w:sz="8" w:color="auto"/>
            </w:tcBorders>
            <w:shd w:val="clear" w:color="auto" w:fill="F7F7F7"/>
          </w:tcPr>
          <w:p>
            <w:pPr>
              <w:spacing w:after="0"/>
              <w:rPr>
                <w:sz w:val="8"/>
                <w:szCs w:val="8"/>
                <w:color w:val="auto"/>
              </w:rPr>
            </w:pPr>
          </w:p>
        </w:tc>
        <w:tc>
          <w:tcPr>
            <w:tcW w:w="760" w:type="dxa"/>
            <w:vAlign w:val="bottom"/>
            <w:tcBorders>
              <w:bottom w:val="single" w:sz="8" w:color="auto"/>
            </w:tcBorders>
            <w:shd w:val="clear" w:color="auto" w:fill="F7F7F7"/>
          </w:tcPr>
          <w:p>
            <w:pPr>
              <w:spacing w:after="0"/>
              <w:rPr>
                <w:sz w:val="8"/>
                <w:szCs w:val="8"/>
                <w:color w:val="auto"/>
              </w:rPr>
            </w:pPr>
          </w:p>
        </w:tc>
        <w:tc>
          <w:tcPr>
            <w:tcW w:w="900" w:type="dxa"/>
            <w:vAlign w:val="bottom"/>
            <w:tcBorders>
              <w:bottom w:val="single" w:sz="8" w:color="auto"/>
            </w:tcBorders>
            <w:shd w:val="clear" w:color="auto" w:fill="F7F7F7"/>
          </w:tcPr>
          <w:p>
            <w:pPr>
              <w:spacing w:after="0"/>
              <w:rPr>
                <w:sz w:val="8"/>
                <w:szCs w:val="8"/>
                <w:color w:val="auto"/>
              </w:rPr>
            </w:pPr>
          </w:p>
        </w:tc>
        <w:tc>
          <w:tcPr>
            <w:tcW w:w="1040" w:type="dxa"/>
            <w:vAlign w:val="bottom"/>
            <w:tcBorders>
              <w:bottom w:val="single" w:sz="8" w:color="auto"/>
            </w:tcBorders>
            <w:shd w:val="clear" w:color="auto" w:fill="F7F7F7"/>
          </w:tcPr>
          <w:p>
            <w:pPr>
              <w:spacing w:after="0"/>
              <w:rPr>
                <w:sz w:val="8"/>
                <w:szCs w:val="8"/>
                <w:color w:val="auto"/>
              </w:rPr>
            </w:pPr>
          </w:p>
        </w:tc>
        <w:tc>
          <w:tcPr>
            <w:tcW w:w="940" w:type="dxa"/>
            <w:vAlign w:val="bottom"/>
            <w:tcBorders>
              <w:bottom w:val="single" w:sz="8" w:color="auto"/>
            </w:tcBorders>
            <w:shd w:val="clear" w:color="auto" w:fill="F7F7F7"/>
          </w:tcPr>
          <w:p>
            <w:pPr>
              <w:spacing w:after="0"/>
              <w:rPr>
                <w:sz w:val="8"/>
                <w:szCs w:val="8"/>
                <w:color w:val="auto"/>
              </w:rPr>
            </w:pPr>
          </w:p>
        </w:tc>
        <w:tc>
          <w:tcPr>
            <w:tcW w:w="1100" w:type="dxa"/>
            <w:vAlign w:val="bottom"/>
            <w:tcBorders>
              <w:bottom w:val="single" w:sz="8" w:color="auto"/>
            </w:tcBorders>
            <w:shd w:val="clear" w:color="auto" w:fill="F7F7F7"/>
          </w:tcPr>
          <w:p>
            <w:pPr>
              <w:spacing w:after="0"/>
              <w:rPr>
                <w:sz w:val="8"/>
                <w:szCs w:val="8"/>
                <w:color w:val="auto"/>
              </w:rPr>
            </w:pPr>
          </w:p>
        </w:tc>
        <w:tc>
          <w:tcPr>
            <w:tcW w:w="1140" w:type="dxa"/>
            <w:vAlign w:val="bottom"/>
            <w:tcBorders>
              <w:bottom w:val="single" w:sz="8" w:color="auto"/>
            </w:tcBorders>
            <w:shd w:val="clear" w:color="auto" w:fill="F7F7F7"/>
          </w:tcPr>
          <w:p>
            <w:pPr>
              <w:spacing w:after="0"/>
              <w:rPr>
                <w:sz w:val="8"/>
                <w:szCs w:val="8"/>
                <w:color w:val="auto"/>
              </w:rPr>
            </w:pPr>
          </w:p>
        </w:tc>
        <w:tc>
          <w:tcPr>
            <w:tcW w:w="1160" w:type="dxa"/>
            <w:vAlign w:val="bottom"/>
            <w:tcBorders>
              <w:bottom w:val="single" w:sz="8" w:color="auto"/>
            </w:tcBorders>
            <w:shd w:val="clear" w:color="auto" w:fill="F7F7F7"/>
          </w:tcPr>
          <w:p>
            <w:pPr>
              <w:spacing w:after="0"/>
              <w:rPr>
                <w:sz w:val="8"/>
                <w:szCs w:val="8"/>
                <w:color w:val="auto"/>
              </w:rPr>
            </w:pPr>
          </w:p>
        </w:tc>
        <w:tc>
          <w:tcPr>
            <w:tcW w:w="0" w:type="dxa"/>
            <w:vAlign w:val="bottom"/>
          </w:tcPr>
          <w:p>
            <w:pPr>
              <w:spacing w:after="0"/>
              <w:rPr>
                <w:sz w:val="1"/>
                <w:szCs w:val="1"/>
                <w:color w:val="auto"/>
              </w:rPr>
            </w:pPr>
          </w:p>
        </w:tc>
      </w:tr>
      <w:tr>
        <w:trPr>
          <w:trHeight w:val="325"/>
        </w:trPr>
        <w:tc>
          <w:tcPr>
            <w:tcW w:w="1780" w:type="dxa"/>
            <w:vAlign w:val="bottom"/>
          </w:tcPr>
          <w:p>
            <w:pPr>
              <w:ind w:left="160"/>
              <w:spacing w:after="0"/>
              <w:rPr>
                <w:sz w:val="20"/>
                <w:szCs w:val="20"/>
                <w:color w:val="auto"/>
              </w:rPr>
            </w:pPr>
            <w:r>
              <w:rPr>
                <w:rFonts w:ascii="Arial" w:cs="Arial" w:eastAsia="Arial" w:hAnsi="Arial"/>
                <w:sz w:val="16"/>
                <w:szCs w:val="16"/>
                <w:b w:val="1"/>
                <w:bCs w:val="1"/>
                <w:color w:val="auto"/>
              </w:rPr>
              <w:t>Eric Bach</w:t>
            </w:r>
          </w:p>
        </w:tc>
        <w:tc>
          <w:tcPr>
            <w:tcW w:w="560" w:type="dxa"/>
            <w:vAlign w:val="bottom"/>
          </w:tcPr>
          <w:p>
            <w:pPr>
              <w:ind w:left="120"/>
              <w:spacing w:after="0"/>
              <w:rPr>
                <w:sz w:val="20"/>
                <w:szCs w:val="20"/>
                <w:color w:val="auto"/>
              </w:rPr>
            </w:pPr>
            <w:r>
              <w:rPr>
                <w:rFonts w:ascii="Arial" w:cs="Arial" w:eastAsia="Arial" w:hAnsi="Arial"/>
                <w:sz w:val="14"/>
                <w:szCs w:val="14"/>
                <w:color w:val="auto"/>
              </w:rPr>
              <w:t>2021</w:t>
            </w:r>
          </w:p>
        </w:tc>
        <w:tc>
          <w:tcPr>
            <w:tcW w:w="760" w:type="dxa"/>
            <w:vAlign w:val="bottom"/>
          </w:tcPr>
          <w:p>
            <w:pPr>
              <w:jc w:val="center"/>
              <w:spacing w:after="0"/>
              <w:rPr>
                <w:sz w:val="20"/>
                <w:szCs w:val="20"/>
                <w:color w:val="auto"/>
              </w:rPr>
            </w:pPr>
            <w:r>
              <w:rPr>
                <w:rFonts w:ascii="Arial" w:cs="Arial" w:eastAsia="Arial" w:hAnsi="Arial"/>
                <w:sz w:val="14"/>
                <w:szCs w:val="14"/>
                <w:color w:val="auto"/>
              </w:rPr>
              <w:t>414,423</w:t>
            </w:r>
          </w:p>
        </w:tc>
        <w:tc>
          <w:tcPr>
            <w:tcW w:w="900" w:type="dxa"/>
            <w:vAlign w:val="bottom"/>
          </w:tcPr>
          <w:p>
            <w:pPr>
              <w:jc w:val="right"/>
              <w:ind w:right="71"/>
              <w:spacing w:after="0"/>
              <w:rPr>
                <w:sz w:val="20"/>
                <w:szCs w:val="20"/>
                <w:color w:val="auto"/>
              </w:rPr>
            </w:pPr>
            <w:r>
              <w:rPr>
                <w:rFonts w:ascii="Arial" w:cs="Arial" w:eastAsia="Arial" w:hAnsi="Arial"/>
                <w:sz w:val="14"/>
                <w:szCs w:val="14"/>
                <w:color w:val="auto"/>
              </w:rPr>
              <w:t>118,248</w:t>
            </w:r>
          </w:p>
        </w:tc>
        <w:tc>
          <w:tcPr>
            <w:tcW w:w="1040" w:type="dxa"/>
            <w:vAlign w:val="bottom"/>
          </w:tcPr>
          <w:p>
            <w:pPr>
              <w:jc w:val="right"/>
              <w:ind w:right="51"/>
              <w:spacing w:after="0"/>
              <w:rPr>
                <w:sz w:val="20"/>
                <w:szCs w:val="20"/>
                <w:color w:val="auto"/>
              </w:rPr>
            </w:pPr>
            <w:r>
              <w:rPr>
                <w:rFonts w:ascii="Arial" w:cs="Arial" w:eastAsia="Arial" w:hAnsi="Arial"/>
                <w:sz w:val="14"/>
                <w:szCs w:val="14"/>
                <w:color w:val="auto"/>
              </w:rPr>
              <w:t>10,000,930</w:t>
            </w:r>
          </w:p>
        </w:tc>
        <w:tc>
          <w:tcPr>
            <w:tcW w:w="94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92"/>
              <w:spacing w:after="0"/>
              <w:rPr>
                <w:sz w:val="20"/>
                <w:szCs w:val="20"/>
                <w:color w:val="auto"/>
              </w:rPr>
            </w:pPr>
            <w:r>
              <w:rPr>
                <w:rFonts w:ascii="Arial" w:cs="Arial" w:eastAsia="Arial" w:hAnsi="Arial"/>
                <w:sz w:val="14"/>
                <w:szCs w:val="14"/>
                <w:color w:val="auto"/>
              </w:rPr>
              <w:t>168,750</w:t>
            </w:r>
          </w:p>
        </w:tc>
        <w:tc>
          <w:tcPr>
            <w:tcW w:w="1140" w:type="dxa"/>
            <w:vAlign w:val="bottom"/>
          </w:tcPr>
          <w:p>
            <w:pPr>
              <w:jc w:val="right"/>
              <w:ind w:right="151"/>
              <w:spacing w:after="0"/>
              <w:rPr>
                <w:sz w:val="20"/>
                <w:szCs w:val="20"/>
                <w:color w:val="auto"/>
              </w:rPr>
            </w:pPr>
            <w:r>
              <w:rPr>
                <w:rFonts w:ascii="Arial" w:cs="Arial" w:eastAsia="Arial" w:hAnsi="Arial"/>
                <w:sz w:val="14"/>
                <w:szCs w:val="14"/>
                <w:color w:val="auto"/>
              </w:rPr>
              <w:t>7,186,933</w:t>
            </w:r>
          </w:p>
        </w:tc>
        <w:tc>
          <w:tcPr>
            <w:tcW w:w="1160" w:type="dxa"/>
            <w:vAlign w:val="bottom"/>
          </w:tcPr>
          <w:p>
            <w:pPr>
              <w:jc w:val="right"/>
              <w:ind w:right="130"/>
              <w:spacing w:after="0"/>
              <w:rPr>
                <w:sz w:val="20"/>
                <w:szCs w:val="20"/>
                <w:color w:val="auto"/>
              </w:rPr>
            </w:pPr>
            <w:r>
              <w:rPr>
                <w:rFonts w:ascii="Arial" w:cs="Arial" w:eastAsia="Arial" w:hAnsi="Arial"/>
                <w:sz w:val="14"/>
                <w:szCs w:val="14"/>
                <w:color w:val="auto"/>
              </w:rPr>
              <w:t>17,889,284</w:t>
            </w:r>
          </w:p>
        </w:tc>
        <w:tc>
          <w:tcPr>
            <w:tcW w:w="0" w:type="dxa"/>
            <w:vAlign w:val="bottom"/>
          </w:tcPr>
          <w:p>
            <w:pPr>
              <w:spacing w:after="0"/>
              <w:rPr>
                <w:sz w:val="1"/>
                <w:szCs w:val="1"/>
                <w:color w:val="auto"/>
              </w:rPr>
            </w:pPr>
          </w:p>
        </w:tc>
      </w:tr>
      <w:tr>
        <w:trPr>
          <w:trHeight w:val="114"/>
        </w:trPr>
        <w:tc>
          <w:tcPr>
            <w:tcW w:w="1780" w:type="dxa"/>
            <w:vAlign w:val="bottom"/>
            <w:vMerge w:val="restart"/>
          </w:tcPr>
          <w:p>
            <w:pPr>
              <w:ind w:left="160"/>
              <w:spacing w:after="0"/>
              <w:rPr>
                <w:sz w:val="20"/>
                <w:szCs w:val="20"/>
                <w:color w:val="auto"/>
              </w:rPr>
            </w:pPr>
            <w:r>
              <w:rPr>
                <w:rFonts w:ascii="Arial" w:cs="Arial" w:eastAsia="Arial" w:hAnsi="Arial"/>
                <w:sz w:val="14"/>
                <w:szCs w:val="14"/>
                <w:i w:val="1"/>
                <w:iCs w:val="1"/>
                <w:color w:val="auto"/>
              </w:rPr>
              <w:t>Senior Vice President,</w:t>
            </w:r>
          </w:p>
        </w:tc>
        <w:tc>
          <w:tcPr>
            <w:tcW w:w="5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17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1780" w:type="dxa"/>
            <w:vAlign w:val="bottom"/>
          </w:tcPr>
          <w:p>
            <w:pPr>
              <w:ind w:left="160"/>
              <w:spacing w:after="0"/>
              <w:rPr>
                <w:sz w:val="20"/>
                <w:szCs w:val="20"/>
                <w:color w:val="auto"/>
              </w:rPr>
            </w:pPr>
            <w:r>
              <w:rPr>
                <w:rFonts w:ascii="Arial" w:cs="Arial" w:eastAsia="Arial" w:hAnsi="Arial"/>
                <w:sz w:val="14"/>
                <w:szCs w:val="14"/>
                <w:i w:val="1"/>
                <w:iCs w:val="1"/>
                <w:color w:val="auto"/>
              </w:rPr>
              <w:t>Product and Chief</w:t>
            </w:r>
          </w:p>
        </w:tc>
        <w:tc>
          <w:tcPr>
            <w:tcW w:w="560" w:type="dxa"/>
            <w:vAlign w:val="bottom"/>
          </w:tcPr>
          <w:p>
            <w:pPr>
              <w:ind w:left="120"/>
              <w:spacing w:after="0"/>
              <w:rPr>
                <w:sz w:val="20"/>
                <w:szCs w:val="20"/>
                <w:color w:val="auto"/>
              </w:rPr>
            </w:pPr>
            <w:r>
              <w:rPr>
                <w:rFonts w:ascii="Arial" w:cs="Arial" w:eastAsia="Arial" w:hAnsi="Arial"/>
                <w:sz w:val="14"/>
                <w:szCs w:val="14"/>
                <w:color w:val="auto"/>
              </w:rPr>
              <w:t>2020</w:t>
            </w:r>
          </w:p>
        </w:tc>
        <w:tc>
          <w:tcPr>
            <w:tcW w:w="760" w:type="dxa"/>
            <w:vAlign w:val="bottom"/>
          </w:tcPr>
          <w:p>
            <w:pPr>
              <w:jc w:val="center"/>
              <w:spacing w:after="0"/>
              <w:rPr>
                <w:sz w:val="20"/>
                <w:szCs w:val="20"/>
                <w:color w:val="auto"/>
              </w:rPr>
            </w:pPr>
            <w:r>
              <w:rPr>
                <w:rFonts w:ascii="Arial" w:cs="Arial" w:eastAsia="Arial" w:hAnsi="Arial"/>
                <w:sz w:val="14"/>
                <w:szCs w:val="14"/>
                <w:color w:val="auto"/>
              </w:rPr>
              <w:t>346,731</w:t>
            </w:r>
          </w:p>
        </w:tc>
        <w:tc>
          <w:tcPr>
            <w:tcW w:w="900" w:type="dxa"/>
            <w:vAlign w:val="bottom"/>
          </w:tcPr>
          <w:p>
            <w:pPr>
              <w:jc w:val="right"/>
              <w:ind w:right="71"/>
              <w:spacing w:after="0"/>
              <w:rPr>
                <w:sz w:val="20"/>
                <w:szCs w:val="20"/>
                <w:color w:val="auto"/>
              </w:rPr>
            </w:pPr>
            <w:r>
              <w:rPr>
                <w:rFonts w:ascii="Arial" w:cs="Arial" w:eastAsia="Arial" w:hAnsi="Arial"/>
                <w:sz w:val="14"/>
                <w:szCs w:val="14"/>
                <w:color w:val="auto"/>
              </w:rPr>
              <w:t>100,000</w:t>
            </w:r>
          </w:p>
        </w:tc>
        <w:tc>
          <w:tcPr>
            <w:tcW w:w="104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31"/>
              <w:spacing w:after="0"/>
              <w:rPr>
                <w:sz w:val="20"/>
                <w:szCs w:val="20"/>
                <w:color w:val="auto"/>
              </w:rPr>
            </w:pPr>
            <w:r>
              <w:rPr>
                <w:rFonts w:ascii="Arial" w:cs="Arial" w:eastAsia="Arial" w:hAnsi="Arial"/>
                <w:sz w:val="14"/>
                <w:szCs w:val="14"/>
                <w:color w:val="auto"/>
              </w:rPr>
              <w:t>515,052</w:t>
            </w:r>
          </w:p>
        </w:tc>
        <w:tc>
          <w:tcPr>
            <w:tcW w:w="110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30"/>
              <w:spacing w:after="0"/>
              <w:rPr>
                <w:sz w:val="20"/>
                <w:szCs w:val="20"/>
                <w:color w:val="auto"/>
              </w:rPr>
            </w:pPr>
            <w:r>
              <w:rPr>
                <w:rFonts w:ascii="Arial" w:cs="Arial" w:eastAsia="Arial" w:hAnsi="Arial"/>
                <w:sz w:val="14"/>
                <w:szCs w:val="14"/>
                <w:color w:val="auto"/>
              </w:rPr>
              <w:t>961,783</w:t>
            </w:r>
          </w:p>
        </w:tc>
        <w:tc>
          <w:tcPr>
            <w:tcW w:w="0" w:type="dxa"/>
            <w:vAlign w:val="bottom"/>
          </w:tcPr>
          <w:p>
            <w:pPr>
              <w:spacing w:after="0"/>
              <w:rPr>
                <w:sz w:val="1"/>
                <w:szCs w:val="1"/>
                <w:color w:val="auto"/>
              </w:rPr>
            </w:pPr>
          </w:p>
        </w:tc>
      </w:tr>
      <w:tr>
        <w:trPr>
          <w:trHeight w:val="186"/>
        </w:trPr>
        <w:tc>
          <w:tcPr>
            <w:tcW w:w="1780" w:type="dxa"/>
            <w:vAlign w:val="bottom"/>
          </w:tcPr>
          <w:p>
            <w:pPr>
              <w:ind w:left="160"/>
              <w:spacing w:after="0"/>
              <w:rPr>
                <w:sz w:val="20"/>
                <w:szCs w:val="20"/>
                <w:color w:val="auto"/>
              </w:rPr>
            </w:pPr>
            <w:r>
              <w:rPr>
                <w:rFonts w:ascii="Arial" w:cs="Arial" w:eastAsia="Arial" w:hAnsi="Arial"/>
                <w:sz w:val="14"/>
                <w:szCs w:val="14"/>
                <w:i w:val="1"/>
                <w:iCs w:val="1"/>
                <w:color w:val="auto"/>
              </w:rPr>
              <w:t>Engineer</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17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45"/>
        </w:trPr>
        <w:tc>
          <w:tcPr>
            <w:tcW w:w="1780" w:type="dxa"/>
            <w:vAlign w:val="bottom"/>
            <w:shd w:val="clear" w:color="auto" w:fill="F7F7F7"/>
          </w:tcPr>
          <w:p>
            <w:pPr>
              <w:ind w:left="160"/>
              <w:spacing w:after="0"/>
              <w:rPr>
                <w:sz w:val="20"/>
                <w:szCs w:val="20"/>
                <w:color w:val="auto"/>
              </w:rPr>
            </w:pPr>
            <w:r>
              <w:rPr>
                <w:rFonts w:ascii="Arial" w:cs="Arial" w:eastAsia="Arial" w:hAnsi="Arial"/>
                <w:sz w:val="16"/>
                <w:szCs w:val="16"/>
                <w:b w:val="1"/>
                <w:bCs w:val="1"/>
                <w:color w:val="auto"/>
              </w:rPr>
              <w:t>Michael Bell</w:t>
            </w:r>
            <w:r>
              <w:rPr>
                <w:rFonts w:ascii="Arial" w:cs="Arial" w:eastAsia="Arial" w:hAnsi="Arial"/>
                <w:sz w:val="19"/>
                <w:szCs w:val="19"/>
                <w:b w:val="1"/>
                <w:bCs w:val="1"/>
                <w:color w:val="auto"/>
                <w:vertAlign w:val="superscript"/>
              </w:rPr>
              <w:t>(8)</w:t>
            </w:r>
          </w:p>
        </w:tc>
        <w:tc>
          <w:tcPr>
            <w:tcW w:w="560" w:type="dxa"/>
            <w:vAlign w:val="bottom"/>
            <w:shd w:val="clear" w:color="auto" w:fill="F7F7F7"/>
          </w:tcPr>
          <w:p>
            <w:pPr>
              <w:ind w:left="120"/>
              <w:spacing w:after="0"/>
              <w:rPr>
                <w:sz w:val="20"/>
                <w:szCs w:val="20"/>
                <w:color w:val="auto"/>
              </w:rPr>
            </w:pPr>
            <w:r>
              <w:rPr>
                <w:rFonts w:ascii="Arial" w:cs="Arial" w:eastAsia="Arial" w:hAnsi="Arial"/>
                <w:sz w:val="14"/>
                <w:szCs w:val="14"/>
                <w:color w:val="auto"/>
              </w:rPr>
              <w:t>2021</w:t>
            </w:r>
          </w:p>
        </w:tc>
        <w:tc>
          <w:tcPr>
            <w:tcW w:w="760" w:type="dxa"/>
            <w:vAlign w:val="bottom"/>
            <w:shd w:val="clear" w:color="auto" w:fill="F7F7F7"/>
          </w:tcPr>
          <w:p>
            <w:pPr>
              <w:jc w:val="center"/>
              <w:spacing w:after="0"/>
              <w:rPr>
                <w:sz w:val="20"/>
                <w:szCs w:val="20"/>
                <w:color w:val="auto"/>
              </w:rPr>
            </w:pPr>
            <w:r>
              <w:rPr>
                <w:rFonts w:ascii="Arial" w:cs="Arial" w:eastAsia="Arial" w:hAnsi="Arial"/>
                <w:sz w:val="14"/>
                <w:szCs w:val="14"/>
                <w:color w:val="auto"/>
              </w:rPr>
              <w:t>500,962</w:t>
            </w:r>
          </w:p>
        </w:tc>
        <w:tc>
          <w:tcPr>
            <w:tcW w:w="900" w:type="dxa"/>
            <w:vAlign w:val="bottom"/>
            <w:shd w:val="clear" w:color="auto" w:fill="F7F7F7"/>
          </w:tcPr>
          <w:p>
            <w:pPr>
              <w:jc w:val="right"/>
              <w:ind w:right="71"/>
              <w:spacing w:after="0"/>
              <w:rPr>
                <w:sz w:val="20"/>
                <w:szCs w:val="20"/>
                <w:color w:val="auto"/>
              </w:rPr>
            </w:pPr>
            <w:r>
              <w:rPr>
                <w:rFonts w:ascii="Arial" w:cs="Arial" w:eastAsia="Arial" w:hAnsi="Arial"/>
                <w:sz w:val="14"/>
                <w:szCs w:val="14"/>
                <w:color w:val="auto"/>
              </w:rPr>
              <w:t>357,726</w:t>
            </w:r>
          </w:p>
        </w:tc>
        <w:tc>
          <w:tcPr>
            <w:tcW w:w="1040" w:type="dxa"/>
            <w:vAlign w:val="bottom"/>
            <w:shd w:val="clear" w:color="auto" w:fill="F7F7F7"/>
          </w:tcPr>
          <w:p>
            <w:pPr>
              <w:jc w:val="right"/>
              <w:ind w:right="51"/>
              <w:spacing w:after="0"/>
              <w:rPr>
                <w:sz w:val="20"/>
                <w:szCs w:val="20"/>
                <w:color w:val="auto"/>
              </w:rPr>
            </w:pPr>
            <w:r>
              <w:rPr>
                <w:rFonts w:ascii="Arial" w:cs="Arial" w:eastAsia="Arial" w:hAnsi="Arial"/>
                <w:sz w:val="14"/>
                <w:szCs w:val="14"/>
                <w:color w:val="auto"/>
              </w:rPr>
              <w:t>26,783,720</w:t>
            </w:r>
          </w:p>
        </w:tc>
        <w:tc>
          <w:tcPr>
            <w:tcW w:w="940" w:type="dxa"/>
            <w:vAlign w:val="bottom"/>
            <w:shd w:val="clear" w:color="auto" w:fill="F7F7F7"/>
          </w:tcPr>
          <w:p>
            <w:pPr>
              <w:jc w:val="right"/>
              <w:ind w:right="131"/>
              <w:spacing w:after="0"/>
              <w:rPr>
                <w:sz w:val="20"/>
                <w:szCs w:val="20"/>
                <w:color w:val="auto"/>
              </w:rPr>
            </w:pPr>
            <w:r>
              <w:rPr>
                <w:rFonts w:ascii="Arial" w:cs="Arial" w:eastAsia="Arial" w:hAnsi="Arial"/>
                <w:sz w:val="14"/>
                <w:szCs w:val="14"/>
                <w:color w:val="auto"/>
              </w:rPr>
              <w:t>—</w:t>
            </w:r>
          </w:p>
        </w:tc>
        <w:tc>
          <w:tcPr>
            <w:tcW w:w="1100" w:type="dxa"/>
            <w:vAlign w:val="bottom"/>
            <w:shd w:val="clear" w:color="auto" w:fill="F7F7F7"/>
          </w:tcPr>
          <w:p>
            <w:pPr>
              <w:jc w:val="right"/>
              <w:ind w:right="192"/>
              <w:spacing w:after="0"/>
              <w:rPr>
                <w:sz w:val="20"/>
                <w:szCs w:val="20"/>
                <w:color w:val="auto"/>
              </w:rPr>
            </w:pPr>
            <w:r>
              <w:rPr>
                <w:rFonts w:ascii="Arial" w:cs="Arial" w:eastAsia="Arial" w:hAnsi="Arial"/>
                <w:sz w:val="14"/>
                <w:szCs w:val="14"/>
                <w:color w:val="auto"/>
              </w:rPr>
              <w:t>160,274</w:t>
            </w:r>
          </w:p>
        </w:tc>
        <w:tc>
          <w:tcPr>
            <w:tcW w:w="1140" w:type="dxa"/>
            <w:vAlign w:val="bottom"/>
            <w:shd w:val="clear" w:color="auto" w:fill="F7F7F7"/>
          </w:tcPr>
          <w:p>
            <w:pPr>
              <w:jc w:val="right"/>
              <w:ind w:right="151"/>
              <w:spacing w:after="0"/>
              <w:rPr>
                <w:sz w:val="20"/>
                <w:szCs w:val="20"/>
                <w:color w:val="auto"/>
              </w:rPr>
            </w:pPr>
            <w:r>
              <w:rPr>
                <w:rFonts w:ascii="Arial" w:cs="Arial" w:eastAsia="Arial" w:hAnsi="Arial"/>
                <w:sz w:val="14"/>
                <w:szCs w:val="14"/>
                <w:color w:val="auto"/>
              </w:rPr>
              <w:t>1,232,776</w:t>
            </w:r>
          </w:p>
        </w:tc>
        <w:tc>
          <w:tcPr>
            <w:tcW w:w="1160" w:type="dxa"/>
            <w:vAlign w:val="bottom"/>
            <w:shd w:val="clear" w:color="auto" w:fill="F7F7F7"/>
          </w:tcPr>
          <w:p>
            <w:pPr>
              <w:jc w:val="right"/>
              <w:ind w:right="130"/>
              <w:spacing w:after="0"/>
              <w:rPr>
                <w:sz w:val="20"/>
                <w:szCs w:val="20"/>
                <w:color w:val="auto"/>
              </w:rPr>
            </w:pPr>
            <w:r>
              <w:rPr>
                <w:rFonts w:ascii="Arial" w:cs="Arial" w:eastAsia="Arial" w:hAnsi="Arial"/>
                <w:sz w:val="14"/>
                <w:szCs w:val="14"/>
                <w:color w:val="auto"/>
              </w:rPr>
              <w:t>29,035,458</w:t>
            </w:r>
          </w:p>
        </w:tc>
        <w:tc>
          <w:tcPr>
            <w:tcW w:w="0" w:type="dxa"/>
            <w:vAlign w:val="bottom"/>
          </w:tcPr>
          <w:p>
            <w:pPr>
              <w:spacing w:after="0"/>
              <w:rPr>
                <w:sz w:val="1"/>
                <w:szCs w:val="1"/>
                <w:color w:val="auto"/>
              </w:rPr>
            </w:pPr>
          </w:p>
        </w:tc>
      </w:tr>
      <w:tr>
        <w:trPr>
          <w:trHeight w:val="166"/>
        </w:trPr>
        <w:tc>
          <w:tcPr>
            <w:tcW w:w="1780" w:type="dxa"/>
            <w:vAlign w:val="bottom"/>
            <w:shd w:val="clear" w:color="auto" w:fill="F7F7F7"/>
          </w:tcPr>
          <w:p>
            <w:pPr>
              <w:ind w:left="160"/>
              <w:spacing w:after="0"/>
              <w:rPr>
                <w:sz w:val="20"/>
                <w:szCs w:val="20"/>
                <w:color w:val="auto"/>
              </w:rPr>
            </w:pPr>
            <w:r>
              <w:rPr>
                <w:rFonts w:ascii="Arial" w:cs="Arial" w:eastAsia="Arial" w:hAnsi="Arial"/>
                <w:sz w:val="14"/>
                <w:szCs w:val="14"/>
                <w:i w:val="1"/>
                <w:iCs w:val="1"/>
                <w:color w:val="auto"/>
              </w:rPr>
              <w:t>Senior Vice President,</w:t>
            </w:r>
          </w:p>
        </w:tc>
        <w:tc>
          <w:tcPr>
            <w:tcW w:w="560" w:type="dxa"/>
            <w:vAlign w:val="bottom"/>
            <w:shd w:val="clear" w:color="auto" w:fill="F7F7F7"/>
          </w:tcPr>
          <w:p>
            <w:pPr>
              <w:spacing w:after="0"/>
              <w:rPr>
                <w:sz w:val="14"/>
                <w:szCs w:val="14"/>
                <w:color w:val="auto"/>
              </w:rPr>
            </w:pPr>
          </w:p>
        </w:tc>
        <w:tc>
          <w:tcPr>
            <w:tcW w:w="760" w:type="dxa"/>
            <w:vAlign w:val="bottom"/>
            <w:shd w:val="clear" w:color="auto" w:fill="F7F7F7"/>
          </w:tcPr>
          <w:p>
            <w:pPr>
              <w:spacing w:after="0"/>
              <w:rPr>
                <w:sz w:val="14"/>
                <w:szCs w:val="14"/>
                <w:color w:val="auto"/>
              </w:rPr>
            </w:pPr>
          </w:p>
        </w:tc>
        <w:tc>
          <w:tcPr>
            <w:tcW w:w="900" w:type="dxa"/>
            <w:vAlign w:val="bottom"/>
            <w:shd w:val="clear" w:color="auto" w:fill="F7F7F7"/>
          </w:tcPr>
          <w:p>
            <w:pPr>
              <w:spacing w:after="0"/>
              <w:rPr>
                <w:sz w:val="14"/>
                <w:szCs w:val="14"/>
                <w:color w:val="auto"/>
              </w:rPr>
            </w:pPr>
          </w:p>
        </w:tc>
        <w:tc>
          <w:tcPr>
            <w:tcW w:w="1040" w:type="dxa"/>
            <w:vAlign w:val="bottom"/>
            <w:shd w:val="clear" w:color="auto" w:fill="F7F7F7"/>
          </w:tcPr>
          <w:p>
            <w:pPr>
              <w:spacing w:after="0"/>
              <w:rPr>
                <w:sz w:val="14"/>
                <w:szCs w:val="14"/>
                <w:color w:val="auto"/>
              </w:rPr>
            </w:pPr>
          </w:p>
        </w:tc>
        <w:tc>
          <w:tcPr>
            <w:tcW w:w="940" w:type="dxa"/>
            <w:vAlign w:val="bottom"/>
            <w:shd w:val="clear" w:color="auto" w:fill="F7F7F7"/>
          </w:tcPr>
          <w:p>
            <w:pPr>
              <w:spacing w:after="0"/>
              <w:rPr>
                <w:sz w:val="14"/>
                <w:szCs w:val="14"/>
                <w:color w:val="auto"/>
              </w:rPr>
            </w:pPr>
          </w:p>
        </w:tc>
        <w:tc>
          <w:tcPr>
            <w:tcW w:w="1100" w:type="dxa"/>
            <w:vAlign w:val="bottom"/>
            <w:shd w:val="clear" w:color="auto" w:fill="F7F7F7"/>
          </w:tcPr>
          <w:p>
            <w:pPr>
              <w:spacing w:after="0"/>
              <w:rPr>
                <w:sz w:val="14"/>
                <w:szCs w:val="14"/>
                <w:color w:val="auto"/>
              </w:rPr>
            </w:pPr>
          </w:p>
        </w:tc>
        <w:tc>
          <w:tcPr>
            <w:tcW w:w="1140" w:type="dxa"/>
            <w:vAlign w:val="bottom"/>
            <w:shd w:val="clear" w:color="auto" w:fill="F7F7F7"/>
          </w:tcPr>
          <w:p>
            <w:pPr>
              <w:spacing w:after="0"/>
              <w:rPr>
                <w:sz w:val="14"/>
                <w:szCs w:val="14"/>
                <w:color w:val="auto"/>
              </w:rPr>
            </w:pPr>
          </w:p>
        </w:tc>
        <w:tc>
          <w:tcPr>
            <w:tcW w:w="1160" w:type="dxa"/>
            <w:vAlign w:val="bottom"/>
            <w:shd w:val="clear" w:color="auto" w:fill="F7F7F7"/>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780" w:type="dxa"/>
            <w:vAlign w:val="bottom"/>
            <w:shd w:val="clear" w:color="auto" w:fill="F7F7F7"/>
          </w:tcPr>
          <w:p>
            <w:pPr>
              <w:ind w:left="160"/>
              <w:spacing w:after="0"/>
              <w:rPr>
                <w:sz w:val="20"/>
                <w:szCs w:val="20"/>
                <w:color w:val="auto"/>
              </w:rPr>
            </w:pPr>
            <w:r>
              <w:rPr>
                <w:rFonts w:ascii="Arial" w:cs="Arial" w:eastAsia="Arial" w:hAnsi="Arial"/>
                <w:sz w:val="14"/>
                <w:szCs w:val="14"/>
                <w:i w:val="1"/>
                <w:iCs w:val="1"/>
                <w:color w:val="auto"/>
              </w:rPr>
              <w:t>Digital</w:t>
            </w:r>
          </w:p>
        </w:tc>
        <w:tc>
          <w:tcPr>
            <w:tcW w:w="560" w:type="dxa"/>
            <w:vAlign w:val="bottom"/>
            <w:shd w:val="clear" w:color="auto" w:fill="F7F7F7"/>
          </w:tcPr>
          <w:p>
            <w:pPr>
              <w:spacing w:after="0"/>
              <w:rPr>
                <w:sz w:val="16"/>
                <w:szCs w:val="16"/>
                <w:color w:val="auto"/>
              </w:rPr>
            </w:pPr>
          </w:p>
        </w:tc>
        <w:tc>
          <w:tcPr>
            <w:tcW w:w="760" w:type="dxa"/>
            <w:vAlign w:val="bottom"/>
            <w:shd w:val="clear" w:color="auto" w:fill="F7F7F7"/>
          </w:tcPr>
          <w:p>
            <w:pPr>
              <w:spacing w:after="0"/>
              <w:rPr>
                <w:sz w:val="16"/>
                <w:szCs w:val="16"/>
                <w:color w:val="auto"/>
              </w:rPr>
            </w:pPr>
          </w:p>
        </w:tc>
        <w:tc>
          <w:tcPr>
            <w:tcW w:w="900" w:type="dxa"/>
            <w:vAlign w:val="bottom"/>
            <w:shd w:val="clear" w:color="auto" w:fill="F7F7F7"/>
          </w:tcPr>
          <w:p>
            <w:pPr>
              <w:spacing w:after="0"/>
              <w:rPr>
                <w:sz w:val="16"/>
                <w:szCs w:val="16"/>
                <w:color w:val="auto"/>
              </w:rPr>
            </w:pPr>
          </w:p>
        </w:tc>
        <w:tc>
          <w:tcPr>
            <w:tcW w:w="1040" w:type="dxa"/>
            <w:vAlign w:val="bottom"/>
            <w:shd w:val="clear" w:color="auto" w:fill="F7F7F7"/>
          </w:tcPr>
          <w:p>
            <w:pPr>
              <w:spacing w:after="0"/>
              <w:rPr>
                <w:sz w:val="16"/>
                <w:szCs w:val="16"/>
                <w:color w:val="auto"/>
              </w:rPr>
            </w:pPr>
          </w:p>
        </w:tc>
        <w:tc>
          <w:tcPr>
            <w:tcW w:w="940" w:type="dxa"/>
            <w:vAlign w:val="bottom"/>
            <w:shd w:val="clear" w:color="auto" w:fill="F7F7F7"/>
          </w:tcPr>
          <w:p>
            <w:pPr>
              <w:spacing w:after="0"/>
              <w:rPr>
                <w:sz w:val="16"/>
                <w:szCs w:val="16"/>
                <w:color w:val="auto"/>
              </w:rPr>
            </w:pPr>
          </w:p>
        </w:tc>
        <w:tc>
          <w:tcPr>
            <w:tcW w:w="1100" w:type="dxa"/>
            <w:vAlign w:val="bottom"/>
            <w:shd w:val="clear" w:color="auto" w:fill="F7F7F7"/>
          </w:tcPr>
          <w:p>
            <w:pPr>
              <w:spacing w:after="0"/>
              <w:rPr>
                <w:sz w:val="16"/>
                <w:szCs w:val="16"/>
                <w:color w:val="auto"/>
              </w:rPr>
            </w:pPr>
          </w:p>
        </w:tc>
        <w:tc>
          <w:tcPr>
            <w:tcW w:w="1140" w:type="dxa"/>
            <w:vAlign w:val="bottom"/>
            <w:shd w:val="clear" w:color="auto" w:fill="F7F7F7"/>
          </w:tcPr>
          <w:p>
            <w:pPr>
              <w:spacing w:after="0"/>
              <w:rPr>
                <w:sz w:val="16"/>
                <w:szCs w:val="16"/>
                <w:color w:val="auto"/>
              </w:rPr>
            </w:pPr>
          </w:p>
        </w:tc>
        <w:tc>
          <w:tcPr>
            <w:tcW w:w="1160" w:type="dxa"/>
            <w:vAlign w:val="bottom"/>
            <w:shd w:val="clear" w:color="auto" w:fill="F7F7F7"/>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780" w:type="dxa"/>
            <w:vAlign w:val="bottom"/>
            <w:tcBorders>
              <w:bottom w:val="single" w:sz="8" w:color="auto"/>
            </w:tcBorders>
            <w:shd w:val="clear" w:color="auto" w:fill="F7F7F7"/>
          </w:tcPr>
          <w:p>
            <w:pPr>
              <w:spacing w:after="0"/>
              <w:rPr>
                <w:sz w:val="12"/>
                <w:szCs w:val="12"/>
                <w:color w:val="auto"/>
              </w:rPr>
            </w:pPr>
          </w:p>
        </w:tc>
        <w:tc>
          <w:tcPr>
            <w:tcW w:w="560" w:type="dxa"/>
            <w:vAlign w:val="bottom"/>
            <w:tcBorders>
              <w:bottom w:val="single" w:sz="8" w:color="auto"/>
            </w:tcBorders>
            <w:shd w:val="clear" w:color="auto" w:fill="F7F7F7"/>
          </w:tcPr>
          <w:p>
            <w:pPr>
              <w:spacing w:after="0"/>
              <w:rPr>
                <w:sz w:val="12"/>
                <w:szCs w:val="12"/>
                <w:color w:val="auto"/>
              </w:rPr>
            </w:pPr>
          </w:p>
        </w:tc>
        <w:tc>
          <w:tcPr>
            <w:tcW w:w="760" w:type="dxa"/>
            <w:vAlign w:val="bottom"/>
            <w:tcBorders>
              <w:bottom w:val="single" w:sz="8" w:color="auto"/>
            </w:tcBorders>
            <w:shd w:val="clear" w:color="auto" w:fill="F7F7F7"/>
          </w:tcPr>
          <w:p>
            <w:pPr>
              <w:spacing w:after="0"/>
              <w:rPr>
                <w:sz w:val="12"/>
                <w:szCs w:val="12"/>
                <w:color w:val="auto"/>
              </w:rPr>
            </w:pPr>
          </w:p>
        </w:tc>
        <w:tc>
          <w:tcPr>
            <w:tcW w:w="900" w:type="dxa"/>
            <w:vAlign w:val="bottom"/>
            <w:tcBorders>
              <w:bottom w:val="single" w:sz="8" w:color="auto"/>
            </w:tcBorders>
            <w:shd w:val="clear" w:color="auto" w:fill="F7F7F7"/>
          </w:tcPr>
          <w:p>
            <w:pPr>
              <w:spacing w:after="0"/>
              <w:rPr>
                <w:sz w:val="12"/>
                <w:szCs w:val="12"/>
                <w:color w:val="auto"/>
              </w:rPr>
            </w:pPr>
          </w:p>
        </w:tc>
        <w:tc>
          <w:tcPr>
            <w:tcW w:w="1040" w:type="dxa"/>
            <w:vAlign w:val="bottom"/>
            <w:tcBorders>
              <w:bottom w:val="single" w:sz="8" w:color="auto"/>
            </w:tcBorders>
            <w:shd w:val="clear" w:color="auto" w:fill="F7F7F7"/>
          </w:tcPr>
          <w:p>
            <w:pPr>
              <w:spacing w:after="0"/>
              <w:rPr>
                <w:sz w:val="12"/>
                <w:szCs w:val="12"/>
                <w:color w:val="auto"/>
              </w:rPr>
            </w:pPr>
          </w:p>
        </w:tc>
        <w:tc>
          <w:tcPr>
            <w:tcW w:w="940" w:type="dxa"/>
            <w:vAlign w:val="bottom"/>
            <w:tcBorders>
              <w:bottom w:val="single" w:sz="8" w:color="auto"/>
            </w:tcBorders>
            <w:shd w:val="clear" w:color="auto" w:fill="F7F7F7"/>
          </w:tcPr>
          <w:p>
            <w:pPr>
              <w:spacing w:after="0"/>
              <w:rPr>
                <w:sz w:val="12"/>
                <w:szCs w:val="12"/>
                <w:color w:val="auto"/>
              </w:rPr>
            </w:pPr>
          </w:p>
        </w:tc>
        <w:tc>
          <w:tcPr>
            <w:tcW w:w="1100" w:type="dxa"/>
            <w:vAlign w:val="bottom"/>
            <w:tcBorders>
              <w:bottom w:val="single" w:sz="8" w:color="auto"/>
            </w:tcBorders>
            <w:shd w:val="clear" w:color="auto" w:fill="F7F7F7"/>
          </w:tcPr>
          <w:p>
            <w:pPr>
              <w:spacing w:after="0"/>
              <w:rPr>
                <w:sz w:val="12"/>
                <w:szCs w:val="12"/>
                <w:color w:val="auto"/>
              </w:rPr>
            </w:pPr>
          </w:p>
        </w:tc>
        <w:tc>
          <w:tcPr>
            <w:tcW w:w="1140" w:type="dxa"/>
            <w:vAlign w:val="bottom"/>
            <w:tcBorders>
              <w:bottom w:val="single" w:sz="8" w:color="auto"/>
            </w:tcBorders>
            <w:shd w:val="clear" w:color="auto" w:fill="F7F7F7"/>
          </w:tcPr>
          <w:p>
            <w:pPr>
              <w:spacing w:after="0"/>
              <w:rPr>
                <w:sz w:val="12"/>
                <w:szCs w:val="12"/>
                <w:color w:val="auto"/>
              </w:rPr>
            </w:pPr>
          </w:p>
        </w:tc>
        <w:tc>
          <w:tcPr>
            <w:tcW w:w="1160" w:type="dxa"/>
            <w:vAlign w:val="bottom"/>
            <w:tcBorders>
              <w:bottom w:val="single" w:sz="8" w:color="auto"/>
            </w:tcBorders>
            <w:shd w:val="clear" w:color="auto" w:fill="F7F7F7"/>
          </w:tcPr>
          <w:p>
            <w:pPr>
              <w:spacing w:after="0"/>
              <w:rPr>
                <w:sz w:val="12"/>
                <w:szCs w:val="12"/>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780" w:right="160" w:hanging="126"/>
        <w:spacing w:after="0" w:line="222" w:lineRule="auto"/>
        <w:tabs>
          <w:tab w:leader="none" w:pos="780" w:val="left"/>
        </w:tabs>
        <w:numPr>
          <w:ilvl w:val="0"/>
          <w:numId w:val="39"/>
        </w:numPr>
        <w:rPr>
          <w:rFonts w:ascii="Arial" w:cs="Arial" w:eastAsia="Arial" w:hAnsi="Arial"/>
          <w:sz w:val="15"/>
          <w:szCs w:val="15"/>
          <w:color w:val="auto"/>
          <w:vertAlign w:val="superscript"/>
        </w:rPr>
      </w:pPr>
      <w:r>
        <w:rPr>
          <w:rFonts w:ascii="Arial" w:cs="Arial" w:eastAsia="Arial" w:hAnsi="Arial"/>
          <w:sz w:val="10"/>
          <w:szCs w:val="10"/>
          <w:color w:val="auto"/>
        </w:rPr>
        <w:t>Amounts reflect the base salary in effect for each NEO during fiscal 2021. For additional information, see “Base Salaries” above. For Messrs. Rawlinson and Bach, amount includes retroactive salary increases on September 15, 2021, effective August 2, 2021, in the amounts of $8,654 and 5,769, respectively. Mr. Bach’s base salary was previously increased to $400,000 (from $375,000) effective March 1, 2021 (prior to the Merger) in connection with his promotion from Vice President, Hardware Engineering to Senior Vice President, Product and Chief Engineer.</w:t>
      </w:r>
    </w:p>
    <w:p>
      <w:pPr>
        <w:spacing w:after="0" w:line="86" w:lineRule="exact"/>
        <w:rPr>
          <w:rFonts w:ascii="Arial" w:cs="Arial" w:eastAsia="Arial" w:hAnsi="Arial"/>
          <w:sz w:val="15"/>
          <w:szCs w:val="15"/>
          <w:color w:val="auto"/>
          <w:vertAlign w:val="superscript"/>
        </w:rPr>
      </w:pPr>
    </w:p>
    <w:p>
      <w:pPr>
        <w:ind w:left="780" w:right="60" w:hanging="126"/>
        <w:spacing w:after="0" w:line="222" w:lineRule="auto"/>
        <w:tabs>
          <w:tab w:leader="none" w:pos="780" w:val="left"/>
        </w:tabs>
        <w:numPr>
          <w:ilvl w:val="0"/>
          <w:numId w:val="39"/>
        </w:numPr>
        <w:rPr>
          <w:rFonts w:ascii="Arial" w:cs="Arial" w:eastAsia="Arial" w:hAnsi="Arial"/>
          <w:sz w:val="15"/>
          <w:szCs w:val="15"/>
          <w:color w:val="auto"/>
          <w:vertAlign w:val="superscript"/>
        </w:rPr>
      </w:pPr>
      <w:r>
        <w:rPr>
          <w:rFonts w:ascii="Arial" w:cs="Arial" w:eastAsia="Arial" w:hAnsi="Arial"/>
          <w:sz w:val="10"/>
          <w:szCs w:val="10"/>
          <w:color w:val="auto"/>
        </w:rPr>
        <w:t>For each NEO, the amount includes the portion of the 2021 annual incentive that was paid above the level of actual achievement of the customary delivery in October 2021. For Mr. Rawlinson, the amount also includes a $2,000,000 bonus paid in connection with the closing the Merger (approved by the Atieva Board in March 2021) and $6,385.82 of vacation cashout. For Mr. Bach, the amount includes $4,998 of vacation cashout.</w:t>
      </w:r>
    </w:p>
    <w:p>
      <w:pPr>
        <w:spacing w:after="0" w:line="100" w:lineRule="exact"/>
        <w:rPr>
          <w:rFonts w:ascii="Arial" w:cs="Arial" w:eastAsia="Arial" w:hAnsi="Arial"/>
          <w:sz w:val="15"/>
          <w:szCs w:val="15"/>
          <w:color w:val="auto"/>
          <w:vertAlign w:val="superscript"/>
        </w:rPr>
      </w:pPr>
    </w:p>
    <w:p>
      <w:pPr>
        <w:ind w:left="780" w:right="20" w:hanging="126"/>
        <w:spacing w:after="0" w:line="222" w:lineRule="auto"/>
        <w:tabs>
          <w:tab w:leader="none" w:pos="780" w:val="left"/>
        </w:tabs>
        <w:numPr>
          <w:ilvl w:val="0"/>
          <w:numId w:val="39"/>
        </w:numPr>
        <w:rPr>
          <w:rFonts w:ascii="Arial" w:cs="Arial" w:eastAsia="Arial" w:hAnsi="Arial"/>
          <w:sz w:val="15"/>
          <w:szCs w:val="15"/>
          <w:color w:val="auto"/>
          <w:vertAlign w:val="superscript"/>
        </w:rPr>
      </w:pPr>
      <w:r>
        <w:rPr>
          <w:rFonts w:ascii="Arial" w:cs="Arial" w:eastAsia="Arial" w:hAnsi="Arial"/>
          <w:sz w:val="10"/>
          <w:szCs w:val="10"/>
          <w:color w:val="auto"/>
        </w:rPr>
        <w:t>This column reflects the aggregate grant date fair value computed in accordance with FASB ASC Topic 718 for the CEO Time-Based RSUs and the CEO Performance RSUs. The grant date fair value of the CEO Performance RSUs was calculated based on the expected value of the possible outcomes of the performance conditions related to these awards in accordance with FASB ASC Topic 718 (excluding the effects of estimated forfeitures) and assumes that all CEO Performance RSUs will be earned during the term of the CEO Grant.</w:t>
      </w:r>
    </w:p>
    <w:p>
      <w:pPr>
        <w:spacing w:after="0" w:line="43" w:lineRule="exact"/>
        <w:rPr>
          <w:rFonts w:ascii="Arial" w:cs="Arial" w:eastAsia="Arial" w:hAnsi="Arial"/>
          <w:sz w:val="15"/>
          <w:szCs w:val="15"/>
          <w:color w:val="auto"/>
          <w:vertAlign w:val="superscript"/>
        </w:rPr>
      </w:pPr>
    </w:p>
    <w:p>
      <w:pPr>
        <w:ind w:left="780" w:hanging="126"/>
        <w:spacing w:after="0"/>
        <w:tabs>
          <w:tab w:leader="none" w:pos="780" w:val="left"/>
        </w:tabs>
        <w:numPr>
          <w:ilvl w:val="0"/>
          <w:numId w:val="39"/>
        </w:numPr>
        <w:rPr>
          <w:rFonts w:ascii="Arial" w:cs="Arial" w:eastAsia="Arial" w:hAnsi="Arial"/>
          <w:sz w:val="15"/>
          <w:szCs w:val="15"/>
          <w:color w:val="auto"/>
          <w:vertAlign w:val="superscript"/>
        </w:rPr>
      </w:pPr>
      <w:r>
        <w:rPr>
          <w:rFonts w:ascii="Arial" w:cs="Arial" w:eastAsia="Arial" w:hAnsi="Arial"/>
          <w:sz w:val="10"/>
          <w:szCs w:val="10"/>
          <w:color w:val="auto"/>
        </w:rPr>
        <w:t>This column represents the aggregate grant date fair value computed in accordance with FASB ASC Topic 718 for the options granted to NEOs in 2020.</w:t>
      </w:r>
    </w:p>
    <w:p>
      <w:pPr>
        <w:spacing w:after="0" w:line="47" w:lineRule="exact"/>
        <w:rPr>
          <w:rFonts w:ascii="Arial" w:cs="Arial" w:eastAsia="Arial" w:hAnsi="Arial"/>
          <w:sz w:val="15"/>
          <w:szCs w:val="15"/>
          <w:color w:val="auto"/>
          <w:vertAlign w:val="superscript"/>
        </w:rPr>
      </w:pPr>
    </w:p>
    <w:p>
      <w:pPr>
        <w:ind w:left="780" w:hanging="126"/>
        <w:spacing w:after="0" w:line="233" w:lineRule="auto"/>
        <w:tabs>
          <w:tab w:leader="none" w:pos="780" w:val="left"/>
        </w:tabs>
        <w:numPr>
          <w:ilvl w:val="0"/>
          <w:numId w:val="39"/>
        </w:numPr>
        <w:rPr>
          <w:rFonts w:ascii="Arial" w:cs="Arial" w:eastAsia="Arial" w:hAnsi="Arial"/>
          <w:sz w:val="15"/>
          <w:szCs w:val="15"/>
          <w:color w:val="auto"/>
          <w:vertAlign w:val="superscript"/>
        </w:rPr>
      </w:pPr>
      <w:r>
        <w:rPr>
          <w:rFonts w:ascii="Arial" w:cs="Arial" w:eastAsia="Arial" w:hAnsi="Arial"/>
          <w:sz w:val="10"/>
          <w:szCs w:val="10"/>
          <w:color w:val="auto"/>
        </w:rPr>
        <w:t>Amount includes the customer delivery component of the annual incentive plan earned based on achieving customer delivery in October 2021.</w:t>
      </w:r>
    </w:p>
    <w:p>
      <w:pPr>
        <w:spacing w:after="0" w:line="100" w:lineRule="exact"/>
        <w:rPr>
          <w:rFonts w:ascii="Arial" w:cs="Arial" w:eastAsia="Arial" w:hAnsi="Arial"/>
          <w:sz w:val="15"/>
          <w:szCs w:val="15"/>
          <w:color w:val="auto"/>
          <w:vertAlign w:val="superscript"/>
        </w:rPr>
      </w:pPr>
    </w:p>
    <w:p>
      <w:pPr>
        <w:ind w:left="780" w:right="100" w:hanging="126"/>
        <w:spacing w:after="0"/>
        <w:tabs>
          <w:tab w:leader="none" w:pos="780" w:val="left"/>
        </w:tabs>
        <w:numPr>
          <w:ilvl w:val="0"/>
          <w:numId w:val="39"/>
        </w:numPr>
        <w:rPr>
          <w:rFonts w:ascii="Arial" w:cs="Arial" w:eastAsia="Arial" w:hAnsi="Arial"/>
          <w:sz w:val="15"/>
          <w:szCs w:val="15"/>
          <w:color w:val="auto"/>
          <w:vertAlign w:val="superscript"/>
        </w:rPr>
      </w:pPr>
      <w:r>
        <w:rPr>
          <w:rFonts w:ascii="Arial" w:cs="Arial" w:eastAsia="Arial" w:hAnsi="Arial"/>
          <w:sz w:val="10"/>
          <w:szCs w:val="10"/>
          <w:color w:val="auto"/>
        </w:rPr>
        <w:t>For Mr. Rawlinson, the amount includes: (i) $6,567,824, representing the difference in price paid in April 2021 for Series E convertible preferred shares in the fourth series E closing at $7.90 per share and the amount subsequently determined to be the fair market value of such shares on the date or purchase (the “Series E Difference Amount”), (ii) $780 of workplace communication reimbursement and (iii) $713 of executive disability insurance premiums. For Ms. House, the amount includes: (i) $510 of workplace communication reimbursement and (ii) $650 of executive disability insurance premiums. For Mr. Bach, amount includes, (i) $7,183,545, representing Mr. Bach’s Series E Difference Amount, (ii) $780 in workplace communication reimbursement and (iii) $608 of executive disability insurance premiums. For Mr. Bell, amount includes: (i) $1,231,466 representing Mr. Bell’s Series E Difference Amount, (ii) $780 in workplace communication reimbursement and (iii) $650 of executive disability insurance premiums.</w:t>
      </w:r>
    </w:p>
    <w:p>
      <w:pPr>
        <w:spacing w:after="0" w:line="148" w:lineRule="exact"/>
        <w:rPr>
          <w:rFonts w:ascii="Arial" w:cs="Arial" w:eastAsia="Arial" w:hAnsi="Arial"/>
          <w:sz w:val="15"/>
          <w:szCs w:val="15"/>
          <w:color w:val="auto"/>
          <w:vertAlign w:val="superscript"/>
        </w:rPr>
      </w:pPr>
    </w:p>
    <w:p>
      <w:pPr>
        <w:ind w:left="780" w:hanging="126"/>
        <w:spacing w:after="0"/>
        <w:tabs>
          <w:tab w:leader="none" w:pos="780" w:val="left"/>
        </w:tabs>
        <w:numPr>
          <w:ilvl w:val="0"/>
          <w:numId w:val="39"/>
        </w:numPr>
        <w:rPr>
          <w:rFonts w:ascii="Arial" w:cs="Arial" w:eastAsia="Arial" w:hAnsi="Arial"/>
          <w:sz w:val="15"/>
          <w:szCs w:val="15"/>
          <w:color w:val="auto"/>
          <w:vertAlign w:val="superscript"/>
        </w:rPr>
      </w:pPr>
      <w:r>
        <w:rPr>
          <w:rFonts w:ascii="Arial" w:cs="Arial" w:eastAsia="Arial" w:hAnsi="Arial"/>
          <w:sz w:val="10"/>
          <w:szCs w:val="10"/>
          <w:color w:val="auto"/>
        </w:rPr>
        <w:t>Ms. House became our Chief Financial Officer upon the commencement of her employment on May 3, 2021.</w:t>
      </w:r>
    </w:p>
    <w:p>
      <w:pPr>
        <w:spacing w:after="0" w:line="86" w:lineRule="exact"/>
        <w:rPr>
          <w:rFonts w:ascii="Arial" w:cs="Arial" w:eastAsia="Arial" w:hAnsi="Arial"/>
          <w:sz w:val="15"/>
          <w:szCs w:val="15"/>
          <w:color w:val="auto"/>
          <w:vertAlign w:val="superscript"/>
        </w:rPr>
      </w:pPr>
    </w:p>
    <w:p>
      <w:pPr>
        <w:ind w:left="780" w:right="260" w:hanging="126"/>
        <w:spacing w:after="0" w:line="209" w:lineRule="auto"/>
        <w:tabs>
          <w:tab w:leader="none" w:pos="780" w:val="left"/>
        </w:tabs>
        <w:numPr>
          <w:ilvl w:val="0"/>
          <w:numId w:val="39"/>
        </w:numPr>
        <w:rPr>
          <w:rFonts w:ascii="Arial" w:cs="Arial" w:eastAsia="Arial" w:hAnsi="Arial"/>
          <w:sz w:val="15"/>
          <w:szCs w:val="15"/>
          <w:color w:val="auto"/>
          <w:vertAlign w:val="superscript"/>
        </w:rPr>
      </w:pPr>
      <w:r>
        <w:rPr>
          <w:rFonts w:ascii="Arial" w:cs="Arial" w:eastAsia="Arial" w:hAnsi="Arial"/>
          <w:sz w:val="10"/>
          <w:szCs w:val="10"/>
          <w:color w:val="auto"/>
        </w:rPr>
        <w:t>Mr. Bell became employed by us in February 2021. In 2021, prior to Mr. Bell becoming an employee in February, Mr. Bell provided services to us through a workforce management company. Mr. Bell received $87,500 from such workforce management company for such services, which amount is included in the Salary column.</w:t>
      </w:r>
    </w:p>
    <w:p>
      <w:pPr>
        <w:sectPr>
          <w:pgSz w:w="11900" w:h="16838" w:orient="portrait"/>
          <w:cols w:equalWidth="0" w:num="1">
            <w:col w:w="10040"/>
          </w:cols>
          <w:pgMar w:left="580" w:top="132"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2"/>
          <w:szCs w:val="12"/>
          <w:b w:val="1"/>
          <w:bCs w:val="1"/>
          <w:color w:val="auto"/>
        </w:rPr>
        <w:t>58</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110490</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type w:val="continuous"/>
        </w:sectPr>
      </w:pPr>
    </w:p>
    <w:bookmarkStart w:id="67" w:name="page68"/>
    <w:bookmarkEnd w:id="67"/>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36"/>
          <w:szCs w:val="36"/>
          <w:b w:val="1"/>
          <w:bCs w:val="1"/>
          <w:color w:val="auto"/>
        </w:rPr>
        <w:t>Grants of Plan-based Awards</w:t>
      </w:r>
    </w:p>
    <w:p>
      <w:pPr>
        <w:spacing w:after="0" w:line="200" w:lineRule="exact"/>
        <w:rPr>
          <w:sz w:val="20"/>
          <w:szCs w:val="20"/>
          <w:color w:val="auto"/>
        </w:rPr>
      </w:pP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48"/>
        </w:trPr>
        <w:tc>
          <w:tcPr>
            <w:tcW w:w="1620" w:type="dxa"/>
            <w:vAlign w:val="bottom"/>
            <w:shd w:val="clear" w:color="auto" w:fill="000000"/>
          </w:tcPr>
          <w:p>
            <w:pPr>
              <w:ind w:left="160"/>
              <w:spacing w:after="0"/>
              <w:rPr>
                <w:sz w:val="20"/>
                <w:szCs w:val="20"/>
                <w:color w:val="auto"/>
              </w:rPr>
            </w:pPr>
            <w:r>
              <w:rPr>
                <w:rFonts w:ascii="Arial" w:cs="Arial" w:eastAsia="Arial" w:hAnsi="Arial"/>
                <w:sz w:val="13"/>
                <w:szCs w:val="13"/>
                <w:b w:val="1"/>
                <w:bCs w:val="1"/>
                <w:color w:val="FEFEFE"/>
              </w:rPr>
              <w:t>Name</w:t>
            </w:r>
          </w:p>
        </w:tc>
        <w:tc>
          <w:tcPr>
            <w:tcW w:w="860" w:type="dxa"/>
            <w:vAlign w:val="bottom"/>
            <w:shd w:val="clear" w:color="auto" w:fill="000000"/>
          </w:tcPr>
          <w:p>
            <w:pPr>
              <w:ind w:left="120"/>
              <w:spacing w:after="0"/>
              <w:rPr>
                <w:sz w:val="20"/>
                <w:szCs w:val="20"/>
                <w:color w:val="auto"/>
              </w:rPr>
            </w:pPr>
            <w:r>
              <w:rPr>
                <w:rFonts w:ascii="Arial" w:cs="Arial" w:eastAsia="Arial" w:hAnsi="Arial"/>
                <w:sz w:val="13"/>
                <w:szCs w:val="13"/>
                <w:b w:val="1"/>
                <w:bCs w:val="1"/>
                <w:color w:val="FEFEFE"/>
              </w:rPr>
              <w:t>Grant Date</w:t>
            </w:r>
          </w:p>
        </w:tc>
        <w:tc>
          <w:tcPr>
            <w:tcW w:w="2380" w:type="dxa"/>
            <w:vAlign w:val="bottom"/>
            <w:gridSpan w:val="3"/>
            <w:shd w:val="clear" w:color="auto" w:fill="000000"/>
          </w:tcPr>
          <w:p>
            <w:pPr>
              <w:jc w:val="center"/>
              <w:spacing w:after="0"/>
              <w:rPr>
                <w:sz w:val="20"/>
                <w:szCs w:val="20"/>
                <w:color w:val="auto"/>
              </w:rPr>
            </w:pPr>
            <w:r>
              <w:rPr>
                <w:rFonts w:ascii="Arial" w:cs="Arial" w:eastAsia="Arial" w:hAnsi="Arial"/>
                <w:sz w:val="13"/>
                <w:szCs w:val="13"/>
                <w:b w:val="1"/>
                <w:bCs w:val="1"/>
                <w:color w:val="FEFEFE"/>
                <w:w w:val="96"/>
              </w:rPr>
              <w:t>Estimated Possible Payouts Under</w:t>
            </w:r>
          </w:p>
        </w:tc>
        <w:tc>
          <w:tcPr>
            <w:tcW w:w="2460" w:type="dxa"/>
            <w:vAlign w:val="bottom"/>
            <w:gridSpan w:val="3"/>
            <w:shd w:val="clear" w:color="auto" w:fill="000000"/>
          </w:tcPr>
          <w:p>
            <w:pPr>
              <w:jc w:val="center"/>
              <w:spacing w:after="0"/>
              <w:rPr>
                <w:sz w:val="20"/>
                <w:szCs w:val="20"/>
                <w:color w:val="auto"/>
              </w:rPr>
            </w:pPr>
            <w:r>
              <w:rPr>
                <w:rFonts w:ascii="Arial" w:cs="Arial" w:eastAsia="Arial" w:hAnsi="Arial"/>
                <w:sz w:val="13"/>
                <w:szCs w:val="13"/>
                <w:b w:val="1"/>
                <w:bCs w:val="1"/>
                <w:color w:val="FEFEFE"/>
                <w:w w:val="97"/>
              </w:rPr>
              <w:t>Estimated Future Payouts Under</w:t>
            </w:r>
          </w:p>
        </w:tc>
        <w:tc>
          <w:tcPr>
            <w:tcW w:w="98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w w:val="94"/>
              </w:rPr>
              <w:t>All Other</w:t>
            </w:r>
          </w:p>
        </w:tc>
        <w:tc>
          <w:tcPr>
            <w:tcW w:w="1080" w:type="dxa"/>
            <w:vAlign w:val="bottom"/>
            <w:shd w:val="clear" w:color="auto" w:fill="000000"/>
          </w:tcPr>
          <w:p>
            <w:pPr>
              <w:jc w:val="center"/>
              <w:ind w:right="136"/>
              <w:spacing w:after="0"/>
              <w:rPr>
                <w:sz w:val="20"/>
                <w:szCs w:val="20"/>
                <w:color w:val="auto"/>
              </w:rPr>
            </w:pPr>
            <w:r>
              <w:rPr>
                <w:rFonts w:ascii="Arial" w:cs="Arial" w:eastAsia="Arial" w:hAnsi="Arial"/>
                <w:sz w:val="13"/>
                <w:szCs w:val="13"/>
                <w:b w:val="1"/>
                <w:bCs w:val="1"/>
                <w:color w:val="FEFEFE"/>
                <w:w w:val="96"/>
              </w:rPr>
              <w:t>Grant Date</w:t>
            </w:r>
          </w:p>
        </w:tc>
        <w:tc>
          <w:tcPr>
            <w:tcW w:w="0" w:type="dxa"/>
            <w:vAlign w:val="bottom"/>
          </w:tcPr>
          <w:p>
            <w:pPr>
              <w:spacing w:after="0"/>
              <w:rPr>
                <w:sz w:val="1"/>
                <w:szCs w:val="1"/>
                <w:color w:val="auto"/>
              </w:rPr>
            </w:pPr>
          </w:p>
        </w:tc>
      </w:tr>
      <w:tr>
        <w:trPr>
          <w:trHeight w:val="135"/>
        </w:trPr>
        <w:tc>
          <w:tcPr>
            <w:tcW w:w="1620" w:type="dxa"/>
            <w:vAlign w:val="bottom"/>
            <w:shd w:val="clear" w:color="auto" w:fill="000000"/>
          </w:tcPr>
          <w:p>
            <w:pPr>
              <w:spacing w:after="0"/>
              <w:rPr>
                <w:sz w:val="11"/>
                <w:szCs w:val="11"/>
                <w:color w:val="auto"/>
              </w:rPr>
            </w:pPr>
          </w:p>
        </w:tc>
        <w:tc>
          <w:tcPr>
            <w:tcW w:w="860" w:type="dxa"/>
            <w:vAlign w:val="bottom"/>
            <w:shd w:val="clear" w:color="auto" w:fill="000000"/>
          </w:tcPr>
          <w:p>
            <w:pPr>
              <w:spacing w:after="0"/>
              <w:rPr>
                <w:sz w:val="11"/>
                <w:szCs w:val="11"/>
                <w:color w:val="auto"/>
              </w:rPr>
            </w:pPr>
          </w:p>
        </w:tc>
        <w:tc>
          <w:tcPr>
            <w:tcW w:w="2380" w:type="dxa"/>
            <w:vAlign w:val="bottom"/>
            <w:gridSpan w:val="3"/>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6"/>
              </w:rPr>
              <w:t>Non-Equity Incentive Plan Awards</w:t>
            </w:r>
          </w:p>
        </w:tc>
        <w:tc>
          <w:tcPr>
            <w:tcW w:w="2460" w:type="dxa"/>
            <w:vAlign w:val="bottom"/>
            <w:gridSpan w:val="3"/>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7"/>
              </w:rPr>
              <w:t>Equity Incentive Plan Awards</w:t>
            </w:r>
          </w:p>
        </w:tc>
        <w:tc>
          <w:tcPr>
            <w:tcW w:w="980" w:type="dxa"/>
            <w:vAlign w:val="bottom"/>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5"/>
              </w:rPr>
              <w:t>Stock</w:t>
            </w:r>
          </w:p>
        </w:tc>
        <w:tc>
          <w:tcPr>
            <w:tcW w:w="1080" w:type="dxa"/>
            <w:vAlign w:val="bottom"/>
            <w:shd w:val="clear" w:color="auto" w:fill="000000"/>
          </w:tcPr>
          <w:p>
            <w:pPr>
              <w:jc w:val="center"/>
              <w:ind w:right="136"/>
              <w:spacing w:after="0" w:line="135" w:lineRule="exact"/>
              <w:rPr>
                <w:sz w:val="20"/>
                <w:szCs w:val="20"/>
                <w:color w:val="auto"/>
              </w:rPr>
            </w:pPr>
            <w:r>
              <w:rPr>
                <w:rFonts w:ascii="Arial" w:cs="Arial" w:eastAsia="Arial" w:hAnsi="Arial"/>
                <w:sz w:val="13"/>
                <w:szCs w:val="13"/>
                <w:b w:val="1"/>
                <w:bCs w:val="1"/>
                <w:color w:val="FEFEFE"/>
                <w:w w:val="97"/>
              </w:rPr>
              <w:t>Fair Value of</w:t>
            </w:r>
          </w:p>
        </w:tc>
        <w:tc>
          <w:tcPr>
            <w:tcW w:w="0" w:type="dxa"/>
            <w:vAlign w:val="bottom"/>
          </w:tcPr>
          <w:p>
            <w:pPr>
              <w:spacing w:after="0"/>
              <w:rPr>
                <w:sz w:val="1"/>
                <w:szCs w:val="1"/>
                <w:color w:val="auto"/>
              </w:rPr>
            </w:pPr>
          </w:p>
        </w:tc>
      </w:tr>
      <w:tr>
        <w:trPr>
          <w:trHeight w:val="135"/>
        </w:trPr>
        <w:tc>
          <w:tcPr>
            <w:tcW w:w="1620" w:type="dxa"/>
            <w:vAlign w:val="bottom"/>
            <w:shd w:val="clear" w:color="auto" w:fill="000000"/>
          </w:tcPr>
          <w:p>
            <w:pPr>
              <w:spacing w:after="0"/>
              <w:rPr>
                <w:sz w:val="11"/>
                <w:szCs w:val="11"/>
                <w:color w:val="auto"/>
              </w:rPr>
            </w:pPr>
          </w:p>
        </w:tc>
        <w:tc>
          <w:tcPr>
            <w:tcW w:w="860" w:type="dxa"/>
            <w:vAlign w:val="bottom"/>
            <w:shd w:val="clear" w:color="auto" w:fill="000000"/>
          </w:tcPr>
          <w:p>
            <w:pPr>
              <w:spacing w:after="0"/>
              <w:rPr>
                <w:sz w:val="11"/>
                <w:szCs w:val="11"/>
                <w:color w:val="auto"/>
              </w:rPr>
            </w:pPr>
          </w:p>
        </w:tc>
        <w:tc>
          <w:tcPr>
            <w:tcW w:w="860" w:type="dxa"/>
            <w:vAlign w:val="bottom"/>
            <w:shd w:val="clear" w:color="auto" w:fill="000000"/>
          </w:tcPr>
          <w:p>
            <w:pPr>
              <w:spacing w:after="0"/>
              <w:rPr>
                <w:sz w:val="11"/>
                <w:szCs w:val="11"/>
                <w:color w:val="auto"/>
              </w:rPr>
            </w:pPr>
          </w:p>
        </w:tc>
        <w:tc>
          <w:tcPr>
            <w:tcW w:w="640" w:type="dxa"/>
            <w:vAlign w:val="bottom"/>
            <w:shd w:val="clear" w:color="auto" w:fill="000000"/>
          </w:tcPr>
          <w:p>
            <w:pPr>
              <w:spacing w:after="0"/>
              <w:rPr>
                <w:sz w:val="11"/>
                <w:szCs w:val="11"/>
                <w:color w:val="auto"/>
              </w:rPr>
            </w:pPr>
          </w:p>
        </w:tc>
        <w:tc>
          <w:tcPr>
            <w:tcW w:w="880" w:type="dxa"/>
            <w:vAlign w:val="bottom"/>
            <w:shd w:val="clear" w:color="auto" w:fill="000000"/>
          </w:tcPr>
          <w:p>
            <w:pPr>
              <w:spacing w:after="0"/>
              <w:rPr>
                <w:sz w:val="11"/>
                <w:szCs w:val="11"/>
                <w:color w:val="auto"/>
              </w:rPr>
            </w:pPr>
          </w:p>
        </w:tc>
        <w:tc>
          <w:tcPr>
            <w:tcW w:w="880" w:type="dxa"/>
            <w:vAlign w:val="bottom"/>
            <w:shd w:val="clear" w:color="auto" w:fill="000000"/>
          </w:tcPr>
          <w:p>
            <w:pPr>
              <w:spacing w:after="0"/>
              <w:rPr>
                <w:sz w:val="11"/>
                <w:szCs w:val="11"/>
                <w:color w:val="auto"/>
              </w:rPr>
            </w:pPr>
          </w:p>
        </w:tc>
        <w:tc>
          <w:tcPr>
            <w:tcW w:w="740" w:type="dxa"/>
            <w:vAlign w:val="bottom"/>
            <w:shd w:val="clear" w:color="auto" w:fill="000000"/>
          </w:tcPr>
          <w:p>
            <w:pPr>
              <w:spacing w:after="0"/>
              <w:rPr>
                <w:sz w:val="11"/>
                <w:szCs w:val="11"/>
                <w:color w:val="auto"/>
              </w:rPr>
            </w:pPr>
          </w:p>
        </w:tc>
        <w:tc>
          <w:tcPr>
            <w:tcW w:w="840" w:type="dxa"/>
            <w:vAlign w:val="bottom"/>
            <w:shd w:val="clear" w:color="auto" w:fill="000000"/>
          </w:tcPr>
          <w:p>
            <w:pPr>
              <w:spacing w:after="0"/>
              <w:rPr>
                <w:sz w:val="11"/>
                <w:szCs w:val="11"/>
                <w:color w:val="auto"/>
              </w:rPr>
            </w:pPr>
          </w:p>
        </w:tc>
        <w:tc>
          <w:tcPr>
            <w:tcW w:w="980" w:type="dxa"/>
            <w:vAlign w:val="bottom"/>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3"/>
              </w:rPr>
              <w:t>Awards:</w:t>
            </w:r>
          </w:p>
        </w:tc>
        <w:tc>
          <w:tcPr>
            <w:tcW w:w="1080" w:type="dxa"/>
            <w:vAlign w:val="bottom"/>
            <w:shd w:val="clear" w:color="auto" w:fill="000000"/>
          </w:tcPr>
          <w:p>
            <w:pPr>
              <w:jc w:val="center"/>
              <w:ind w:right="136"/>
              <w:spacing w:after="0" w:line="135" w:lineRule="exact"/>
              <w:rPr>
                <w:sz w:val="20"/>
                <w:szCs w:val="20"/>
                <w:color w:val="auto"/>
              </w:rPr>
            </w:pPr>
            <w:r>
              <w:rPr>
                <w:rFonts w:ascii="Arial" w:cs="Arial" w:eastAsia="Arial" w:hAnsi="Arial"/>
                <w:sz w:val="13"/>
                <w:szCs w:val="13"/>
                <w:b w:val="1"/>
                <w:bCs w:val="1"/>
                <w:color w:val="FEFEFE"/>
                <w:w w:val="96"/>
              </w:rPr>
              <w:t>Stock and</w:t>
            </w:r>
          </w:p>
        </w:tc>
        <w:tc>
          <w:tcPr>
            <w:tcW w:w="0" w:type="dxa"/>
            <w:vAlign w:val="bottom"/>
          </w:tcPr>
          <w:p>
            <w:pPr>
              <w:spacing w:after="0"/>
              <w:rPr>
                <w:sz w:val="1"/>
                <w:szCs w:val="1"/>
                <w:color w:val="auto"/>
              </w:rPr>
            </w:pPr>
          </w:p>
        </w:tc>
      </w:tr>
      <w:tr>
        <w:trPr>
          <w:trHeight w:val="35"/>
        </w:trPr>
        <w:tc>
          <w:tcPr>
            <w:tcW w:w="162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980" w:type="dxa"/>
            <w:vAlign w:val="bottom"/>
            <w:vMerge w:val="restart"/>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8"/>
              </w:rPr>
              <w:t>Number of</w:t>
            </w:r>
          </w:p>
        </w:tc>
        <w:tc>
          <w:tcPr>
            <w:tcW w:w="1080" w:type="dxa"/>
            <w:vAlign w:val="bottom"/>
            <w:vMerge w:val="restart"/>
            <w:shd w:val="clear" w:color="auto" w:fill="000000"/>
          </w:tcPr>
          <w:p>
            <w:pPr>
              <w:jc w:val="center"/>
              <w:ind w:right="136"/>
              <w:spacing w:after="0" w:line="135" w:lineRule="exact"/>
              <w:rPr>
                <w:sz w:val="20"/>
                <w:szCs w:val="20"/>
                <w:color w:val="auto"/>
              </w:rPr>
            </w:pPr>
            <w:r>
              <w:rPr>
                <w:rFonts w:ascii="Arial" w:cs="Arial" w:eastAsia="Arial" w:hAnsi="Arial"/>
                <w:sz w:val="13"/>
                <w:szCs w:val="13"/>
                <w:b w:val="1"/>
                <w:bCs w:val="1"/>
                <w:color w:val="FEFEFE"/>
                <w:w w:val="95"/>
              </w:rPr>
              <w:t>Option</w:t>
            </w:r>
          </w:p>
        </w:tc>
        <w:tc>
          <w:tcPr>
            <w:tcW w:w="0" w:type="dxa"/>
            <w:vAlign w:val="bottom"/>
          </w:tcPr>
          <w:p>
            <w:pPr>
              <w:spacing w:after="0" w:line="20" w:lineRule="exact"/>
              <w:rPr>
                <w:sz w:val="1"/>
                <w:szCs w:val="1"/>
                <w:color w:val="auto"/>
              </w:rPr>
            </w:pPr>
          </w:p>
        </w:tc>
      </w:tr>
      <w:tr>
        <w:trPr>
          <w:trHeight w:val="100"/>
        </w:trPr>
        <w:tc>
          <w:tcPr>
            <w:tcW w:w="1620" w:type="dxa"/>
            <w:vAlign w:val="bottom"/>
            <w:shd w:val="clear" w:color="auto" w:fill="000000"/>
          </w:tcPr>
          <w:p>
            <w:pPr>
              <w:spacing w:after="0"/>
              <w:rPr>
                <w:sz w:val="8"/>
                <w:szCs w:val="8"/>
                <w:color w:val="auto"/>
              </w:rPr>
            </w:pPr>
          </w:p>
        </w:tc>
        <w:tc>
          <w:tcPr>
            <w:tcW w:w="860" w:type="dxa"/>
            <w:vAlign w:val="bottom"/>
            <w:shd w:val="clear" w:color="auto" w:fill="000000"/>
          </w:tcPr>
          <w:p>
            <w:pPr>
              <w:spacing w:after="0"/>
              <w:rPr>
                <w:sz w:val="8"/>
                <w:szCs w:val="8"/>
                <w:color w:val="auto"/>
              </w:rPr>
            </w:pPr>
          </w:p>
        </w:tc>
        <w:tc>
          <w:tcPr>
            <w:tcW w:w="860" w:type="dxa"/>
            <w:vAlign w:val="bottom"/>
            <w:shd w:val="clear" w:color="auto" w:fill="000000"/>
          </w:tcPr>
          <w:p>
            <w:pPr>
              <w:spacing w:after="0"/>
              <w:rPr>
                <w:sz w:val="8"/>
                <w:szCs w:val="8"/>
                <w:color w:val="auto"/>
              </w:rPr>
            </w:pPr>
          </w:p>
        </w:tc>
        <w:tc>
          <w:tcPr>
            <w:tcW w:w="640" w:type="dxa"/>
            <w:vAlign w:val="bottom"/>
            <w:shd w:val="clear" w:color="auto" w:fill="000000"/>
          </w:tcPr>
          <w:p>
            <w:pPr>
              <w:spacing w:after="0"/>
              <w:rPr>
                <w:sz w:val="8"/>
                <w:szCs w:val="8"/>
                <w:color w:val="auto"/>
              </w:rPr>
            </w:pPr>
          </w:p>
        </w:tc>
        <w:tc>
          <w:tcPr>
            <w:tcW w:w="880" w:type="dxa"/>
            <w:vAlign w:val="bottom"/>
            <w:shd w:val="clear" w:color="auto" w:fill="000000"/>
          </w:tcPr>
          <w:p>
            <w:pPr>
              <w:spacing w:after="0"/>
              <w:rPr>
                <w:sz w:val="8"/>
                <w:szCs w:val="8"/>
                <w:color w:val="auto"/>
              </w:rPr>
            </w:pPr>
          </w:p>
        </w:tc>
        <w:tc>
          <w:tcPr>
            <w:tcW w:w="880" w:type="dxa"/>
            <w:vAlign w:val="bottom"/>
            <w:shd w:val="clear" w:color="auto" w:fill="000000"/>
          </w:tcPr>
          <w:p>
            <w:pPr>
              <w:spacing w:after="0"/>
              <w:rPr>
                <w:sz w:val="8"/>
                <w:szCs w:val="8"/>
                <w:color w:val="auto"/>
              </w:rPr>
            </w:pPr>
          </w:p>
        </w:tc>
        <w:tc>
          <w:tcPr>
            <w:tcW w:w="740" w:type="dxa"/>
            <w:vAlign w:val="bottom"/>
            <w:shd w:val="clear" w:color="auto" w:fill="000000"/>
          </w:tcPr>
          <w:p>
            <w:pPr>
              <w:spacing w:after="0"/>
              <w:rPr>
                <w:sz w:val="8"/>
                <w:szCs w:val="8"/>
                <w:color w:val="auto"/>
              </w:rPr>
            </w:pPr>
          </w:p>
        </w:tc>
        <w:tc>
          <w:tcPr>
            <w:tcW w:w="840" w:type="dxa"/>
            <w:vAlign w:val="bottom"/>
            <w:shd w:val="clear" w:color="auto" w:fill="000000"/>
          </w:tcPr>
          <w:p>
            <w:pPr>
              <w:spacing w:after="0"/>
              <w:rPr>
                <w:sz w:val="8"/>
                <w:szCs w:val="8"/>
                <w:color w:val="auto"/>
              </w:rPr>
            </w:pPr>
          </w:p>
        </w:tc>
        <w:tc>
          <w:tcPr>
            <w:tcW w:w="980" w:type="dxa"/>
            <w:vAlign w:val="bottom"/>
            <w:vMerge w:val="continue"/>
            <w:shd w:val="clear" w:color="auto" w:fill="000000"/>
          </w:tcPr>
          <w:p>
            <w:pPr>
              <w:spacing w:after="0"/>
              <w:rPr>
                <w:sz w:val="8"/>
                <w:szCs w:val="8"/>
                <w:color w:val="auto"/>
              </w:rPr>
            </w:pPr>
          </w:p>
        </w:tc>
        <w:tc>
          <w:tcPr>
            <w:tcW w:w="1080" w:type="dxa"/>
            <w:vAlign w:val="bottom"/>
            <w:vMerge w:val="continue"/>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1620" w:type="dxa"/>
            <w:vAlign w:val="bottom"/>
            <w:shd w:val="clear" w:color="auto" w:fill="000000"/>
          </w:tcPr>
          <w:p>
            <w:pPr>
              <w:spacing w:after="0"/>
              <w:rPr>
                <w:sz w:val="12"/>
                <w:szCs w:val="12"/>
                <w:color w:val="auto"/>
              </w:rPr>
            </w:pPr>
          </w:p>
        </w:tc>
        <w:tc>
          <w:tcPr>
            <w:tcW w:w="860" w:type="dxa"/>
            <w:vAlign w:val="bottom"/>
            <w:shd w:val="clear" w:color="auto" w:fill="000000"/>
          </w:tcPr>
          <w:p>
            <w:pPr>
              <w:spacing w:after="0"/>
              <w:rPr>
                <w:sz w:val="12"/>
                <w:szCs w:val="12"/>
                <w:color w:val="auto"/>
              </w:rPr>
            </w:pPr>
          </w:p>
        </w:tc>
        <w:tc>
          <w:tcPr>
            <w:tcW w:w="860" w:type="dxa"/>
            <w:vAlign w:val="bottom"/>
            <w:shd w:val="clear" w:color="auto" w:fill="000000"/>
          </w:tcPr>
          <w:p>
            <w:pPr>
              <w:jc w:val="right"/>
              <w:spacing w:after="0" w:line="144" w:lineRule="exact"/>
              <w:rPr>
                <w:sz w:val="20"/>
                <w:szCs w:val="20"/>
                <w:color w:val="auto"/>
              </w:rPr>
            </w:pPr>
            <w:r>
              <w:rPr>
                <w:rFonts w:ascii="Arial" w:cs="Arial" w:eastAsia="Arial" w:hAnsi="Arial"/>
                <w:sz w:val="13"/>
                <w:szCs w:val="13"/>
                <w:b w:val="1"/>
                <w:bCs w:val="1"/>
                <w:color w:val="FEFEFE"/>
                <w:w w:val="97"/>
              </w:rPr>
              <w:t>Threshold ($)</w:t>
            </w:r>
          </w:p>
        </w:tc>
        <w:tc>
          <w:tcPr>
            <w:tcW w:w="640" w:type="dxa"/>
            <w:vAlign w:val="bottom"/>
            <w:shd w:val="clear" w:color="auto" w:fill="000000"/>
          </w:tcPr>
          <w:p>
            <w:pPr>
              <w:jc w:val="center"/>
              <w:spacing w:after="0" w:line="144" w:lineRule="exact"/>
              <w:rPr>
                <w:sz w:val="20"/>
                <w:szCs w:val="20"/>
                <w:color w:val="auto"/>
              </w:rPr>
            </w:pPr>
            <w:r>
              <w:rPr>
                <w:rFonts w:ascii="Arial" w:cs="Arial" w:eastAsia="Arial" w:hAnsi="Arial"/>
                <w:sz w:val="13"/>
                <w:szCs w:val="13"/>
                <w:b w:val="1"/>
                <w:bCs w:val="1"/>
                <w:color w:val="FEFEFE"/>
                <w:w w:val="94"/>
              </w:rPr>
              <w:t>Target ($)</w:t>
            </w:r>
          </w:p>
        </w:tc>
        <w:tc>
          <w:tcPr>
            <w:tcW w:w="880" w:type="dxa"/>
            <w:vAlign w:val="bottom"/>
            <w:shd w:val="clear" w:color="auto" w:fill="000000"/>
          </w:tcPr>
          <w:p>
            <w:pPr>
              <w:jc w:val="center"/>
              <w:spacing w:after="0" w:line="144" w:lineRule="exact"/>
              <w:rPr>
                <w:sz w:val="20"/>
                <w:szCs w:val="20"/>
                <w:color w:val="auto"/>
              </w:rPr>
            </w:pPr>
            <w:r>
              <w:rPr>
                <w:rFonts w:ascii="Arial" w:cs="Arial" w:eastAsia="Arial" w:hAnsi="Arial"/>
                <w:sz w:val="13"/>
                <w:szCs w:val="13"/>
                <w:b w:val="1"/>
                <w:bCs w:val="1"/>
                <w:color w:val="FEFEFE"/>
                <w:w w:val="95"/>
              </w:rPr>
              <w:t>Maximum ($)</w:t>
            </w:r>
          </w:p>
        </w:tc>
        <w:tc>
          <w:tcPr>
            <w:tcW w:w="880" w:type="dxa"/>
            <w:vAlign w:val="bottom"/>
            <w:shd w:val="clear" w:color="auto" w:fill="000000"/>
          </w:tcPr>
          <w:p>
            <w:pPr>
              <w:jc w:val="center"/>
              <w:spacing w:after="0" w:line="144" w:lineRule="exact"/>
              <w:rPr>
                <w:sz w:val="20"/>
                <w:szCs w:val="20"/>
                <w:color w:val="auto"/>
              </w:rPr>
            </w:pPr>
            <w:r>
              <w:rPr>
                <w:rFonts w:ascii="Arial" w:cs="Arial" w:eastAsia="Arial" w:hAnsi="Arial"/>
                <w:sz w:val="13"/>
                <w:szCs w:val="13"/>
                <w:b w:val="1"/>
                <w:bCs w:val="1"/>
                <w:color w:val="FEFEFE"/>
                <w:w w:val="97"/>
              </w:rPr>
              <w:t>Threshold (#)</w:t>
            </w:r>
          </w:p>
        </w:tc>
        <w:tc>
          <w:tcPr>
            <w:tcW w:w="740" w:type="dxa"/>
            <w:vAlign w:val="bottom"/>
            <w:shd w:val="clear" w:color="auto" w:fill="000000"/>
          </w:tcPr>
          <w:p>
            <w:pPr>
              <w:jc w:val="center"/>
              <w:spacing w:after="0" w:line="144" w:lineRule="exact"/>
              <w:rPr>
                <w:sz w:val="20"/>
                <w:szCs w:val="20"/>
                <w:color w:val="auto"/>
              </w:rPr>
            </w:pPr>
            <w:r>
              <w:rPr>
                <w:rFonts w:ascii="Arial" w:cs="Arial" w:eastAsia="Arial" w:hAnsi="Arial"/>
                <w:sz w:val="13"/>
                <w:szCs w:val="13"/>
                <w:b w:val="1"/>
                <w:bCs w:val="1"/>
                <w:color w:val="FEFEFE"/>
                <w:w w:val="97"/>
              </w:rPr>
              <w:t>Target (#)</w:t>
            </w:r>
          </w:p>
        </w:tc>
        <w:tc>
          <w:tcPr>
            <w:tcW w:w="840" w:type="dxa"/>
            <w:vAlign w:val="bottom"/>
            <w:shd w:val="clear" w:color="auto" w:fill="000000"/>
          </w:tcPr>
          <w:p>
            <w:pPr>
              <w:jc w:val="center"/>
              <w:spacing w:after="0" w:line="144" w:lineRule="exact"/>
              <w:rPr>
                <w:sz w:val="20"/>
                <w:szCs w:val="20"/>
                <w:color w:val="auto"/>
              </w:rPr>
            </w:pPr>
            <w:r>
              <w:rPr>
                <w:rFonts w:ascii="Arial" w:cs="Arial" w:eastAsia="Arial" w:hAnsi="Arial"/>
                <w:sz w:val="13"/>
                <w:szCs w:val="13"/>
                <w:b w:val="1"/>
                <w:bCs w:val="1"/>
                <w:color w:val="FEFEFE"/>
                <w:w w:val="98"/>
              </w:rPr>
              <w:t>Maximum (#)</w:t>
            </w:r>
          </w:p>
        </w:tc>
        <w:tc>
          <w:tcPr>
            <w:tcW w:w="980" w:type="dxa"/>
            <w:vAlign w:val="bottom"/>
            <w:shd w:val="clear" w:color="auto" w:fill="000000"/>
          </w:tcPr>
          <w:p>
            <w:pPr>
              <w:jc w:val="center"/>
              <w:spacing w:after="0" w:line="144" w:lineRule="exact"/>
              <w:rPr>
                <w:sz w:val="20"/>
                <w:szCs w:val="20"/>
                <w:color w:val="auto"/>
              </w:rPr>
            </w:pPr>
            <w:r>
              <w:rPr>
                <w:rFonts w:ascii="Arial" w:cs="Arial" w:eastAsia="Arial" w:hAnsi="Arial"/>
                <w:sz w:val="13"/>
                <w:szCs w:val="13"/>
                <w:b w:val="1"/>
                <w:bCs w:val="1"/>
                <w:color w:val="FEFEFE"/>
                <w:w w:val="94"/>
              </w:rPr>
              <w:t>Shares of</w:t>
            </w:r>
          </w:p>
        </w:tc>
        <w:tc>
          <w:tcPr>
            <w:tcW w:w="1080" w:type="dxa"/>
            <w:vAlign w:val="bottom"/>
            <w:shd w:val="clear" w:color="auto" w:fill="000000"/>
          </w:tcPr>
          <w:p>
            <w:pPr>
              <w:jc w:val="center"/>
              <w:ind w:right="156"/>
              <w:spacing w:after="0" w:line="144" w:lineRule="exact"/>
              <w:rPr>
                <w:sz w:val="20"/>
                <w:szCs w:val="20"/>
                <w:color w:val="auto"/>
              </w:rPr>
            </w:pPr>
            <w:r>
              <w:rPr>
                <w:rFonts w:ascii="Arial" w:cs="Arial" w:eastAsia="Arial" w:hAnsi="Arial"/>
                <w:sz w:val="13"/>
                <w:szCs w:val="13"/>
                <w:b w:val="1"/>
                <w:bCs w:val="1"/>
                <w:color w:val="FEFEFE"/>
                <w:w w:val="97"/>
              </w:rPr>
              <w:t>Awards</w:t>
            </w:r>
          </w:p>
        </w:tc>
        <w:tc>
          <w:tcPr>
            <w:tcW w:w="0" w:type="dxa"/>
            <w:vAlign w:val="bottom"/>
          </w:tcPr>
          <w:p>
            <w:pPr>
              <w:spacing w:after="0"/>
              <w:rPr>
                <w:sz w:val="1"/>
                <w:szCs w:val="1"/>
                <w:color w:val="auto"/>
              </w:rPr>
            </w:pPr>
          </w:p>
        </w:tc>
      </w:tr>
      <w:tr>
        <w:trPr>
          <w:trHeight w:val="127"/>
        </w:trPr>
        <w:tc>
          <w:tcPr>
            <w:tcW w:w="1620" w:type="dxa"/>
            <w:vAlign w:val="bottom"/>
            <w:shd w:val="clear" w:color="auto" w:fill="000000"/>
          </w:tcPr>
          <w:p>
            <w:pPr>
              <w:spacing w:after="0"/>
              <w:rPr>
                <w:sz w:val="11"/>
                <w:szCs w:val="11"/>
                <w:color w:val="auto"/>
              </w:rPr>
            </w:pPr>
          </w:p>
        </w:tc>
        <w:tc>
          <w:tcPr>
            <w:tcW w:w="860" w:type="dxa"/>
            <w:vAlign w:val="bottom"/>
            <w:shd w:val="clear" w:color="auto" w:fill="000000"/>
          </w:tcPr>
          <w:p>
            <w:pPr>
              <w:spacing w:after="0"/>
              <w:rPr>
                <w:sz w:val="11"/>
                <w:szCs w:val="11"/>
                <w:color w:val="auto"/>
              </w:rPr>
            </w:pPr>
          </w:p>
        </w:tc>
        <w:tc>
          <w:tcPr>
            <w:tcW w:w="860" w:type="dxa"/>
            <w:vAlign w:val="bottom"/>
            <w:shd w:val="clear" w:color="auto" w:fill="000000"/>
          </w:tcPr>
          <w:p>
            <w:pPr>
              <w:spacing w:after="0"/>
              <w:rPr>
                <w:sz w:val="11"/>
                <w:szCs w:val="11"/>
                <w:color w:val="auto"/>
              </w:rPr>
            </w:pPr>
          </w:p>
        </w:tc>
        <w:tc>
          <w:tcPr>
            <w:tcW w:w="640" w:type="dxa"/>
            <w:vAlign w:val="bottom"/>
            <w:shd w:val="clear" w:color="auto" w:fill="000000"/>
          </w:tcPr>
          <w:p>
            <w:pPr>
              <w:spacing w:after="0"/>
              <w:rPr>
                <w:sz w:val="11"/>
                <w:szCs w:val="11"/>
                <w:color w:val="auto"/>
              </w:rPr>
            </w:pPr>
          </w:p>
        </w:tc>
        <w:tc>
          <w:tcPr>
            <w:tcW w:w="880" w:type="dxa"/>
            <w:vAlign w:val="bottom"/>
            <w:shd w:val="clear" w:color="auto" w:fill="000000"/>
          </w:tcPr>
          <w:p>
            <w:pPr>
              <w:spacing w:after="0"/>
              <w:rPr>
                <w:sz w:val="11"/>
                <w:szCs w:val="11"/>
                <w:color w:val="auto"/>
              </w:rPr>
            </w:pPr>
          </w:p>
        </w:tc>
        <w:tc>
          <w:tcPr>
            <w:tcW w:w="880" w:type="dxa"/>
            <w:vAlign w:val="bottom"/>
            <w:shd w:val="clear" w:color="auto" w:fill="000000"/>
          </w:tcPr>
          <w:p>
            <w:pPr>
              <w:spacing w:after="0"/>
              <w:rPr>
                <w:sz w:val="11"/>
                <w:szCs w:val="11"/>
                <w:color w:val="auto"/>
              </w:rPr>
            </w:pPr>
          </w:p>
        </w:tc>
        <w:tc>
          <w:tcPr>
            <w:tcW w:w="740" w:type="dxa"/>
            <w:vAlign w:val="bottom"/>
            <w:shd w:val="clear" w:color="auto" w:fill="000000"/>
          </w:tcPr>
          <w:p>
            <w:pPr>
              <w:spacing w:after="0"/>
              <w:rPr>
                <w:sz w:val="11"/>
                <w:szCs w:val="11"/>
                <w:color w:val="auto"/>
              </w:rPr>
            </w:pPr>
          </w:p>
        </w:tc>
        <w:tc>
          <w:tcPr>
            <w:tcW w:w="840" w:type="dxa"/>
            <w:vAlign w:val="bottom"/>
            <w:shd w:val="clear" w:color="auto" w:fill="000000"/>
          </w:tcPr>
          <w:p>
            <w:pPr>
              <w:spacing w:after="0"/>
              <w:rPr>
                <w:sz w:val="11"/>
                <w:szCs w:val="11"/>
                <w:color w:val="auto"/>
              </w:rPr>
            </w:pPr>
          </w:p>
        </w:tc>
        <w:tc>
          <w:tcPr>
            <w:tcW w:w="980" w:type="dxa"/>
            <w:vAlign w:val="bottom"/>
            <w:shd w:val="clear" w:color="auto" w:fill="000000"/>
          </w:tcPr>
          <w:p>
            <w:pPr>
              <w:jc w:val="center"/>
              <w:spacing w:after="0" w:line="127" w:lineRule="exact"/>
              <w:rPr>
                <w:sz w:val="20"/>
                <w:szCs w:val="20"/>
                <w:color w:val="auto"/>
              </w:rPr>
            </w:pPr>
            <w:r>
              <w:rPr>
                <w:rFonts w:ascii="Arial" w:cs="Arial" w:eastAsia="Arial" w:hAnsi="Arial"/>
                <w:sz w:val="13"/>
                <w:szCs w:val="13"/>
                <w:b w:val="1"/>
                <w:bCs w:val="1"/>
                <w:color w:val="FEFEFE"/>
                <w:w w:val="95"/>
              </w:rPr>
              <w:t>Stock or Units</w:t>
            </w:r>
          </w:p>
        </w:tc>
        <w:tc>
          <w:tcPr>
            <w:tcW w:w="1080" w:type="dxa"/>
            <w:vAlign w:val="bottom"/>
            <w:shd w:val="clear" w:color="auto" w:fill="000000"/>
          </w:tcPr>
          <w:p>
            <w:pPr>
              <w:jc w:val="center"/>
              <w:ind w:right="156"/>
              <w:spacing w:after="0" w:line="127" w:lineRule="exact"/>
              <w:rPr>
                <w:sz w:val="20"/>
                <w:szCs w:val="20"/>
                <w:color w:val="auto"/>
              </w:rPr>
            </w:pPr>
            <w:r>
              <w:rPr>
                <w:rFonts w:ascii="Arial" w:cs="Arial" w:eastAsia="Arial" w:hAnsi="Arial"/>
                <w:sz w:val="14"/>
                <w:szCs w:val="14"/>
                <w:b w:val="1"/>
                <w:bCs w:val="1"/>
                <w:color w:val="FEFEFE"/>
                <w:vertAlign w:val="subscript"/>
              </w:rPr>
              <w:t>($)</w:t>
            </w:r>
            <w:r>
              <w:rPr>
                <w:rFonts w:ascii="Arial" w:cs="Arial" w:eastAsia="Arial" w:hAnsi="Arial"/>
                <w:sz w:val="6"/>
                <w:szCs w:val="6"/>
                <w:b w:val="1"/>
                <w:bCs w:val="1"/>
                <w:color w:val="FEFEFE"/>
              </w:rPr>
              <w:t>(2)</w:t>
            </w:r>
          </w:p>
        </w:tc>
        <w:tc>
          <w:tcPr>
            <w:tcW w:w="0" w:type="dxa"/>
            <w:vAlign w:val="bottom"/>
          </w:tcPr>
          <w:p>
            <w:pPr>
              <w:spacing w:after="0"/>
              <w:rPr>
                <w:sz w:val="1"/>
                <w:szCs w:val="1"/>
                <w:color w:val="auto"/>
              </w:rPr>
            </w:pPr>
          </w:p>
        </w:tc>
      </w:tr>
      <w:tr>
        <w:trPr>
          <w:trHeight w:val="168"/>
        </w:trPr>
        <w:tc>
          <w:tcPr>
            <w:tcW w:w="1620" w:type="dxa"/>
            <w:vAlign w:val="bottom"/>
            <w:shd w:val="clear" w:color="auto" w:fill="000000"/>
          </w:tcPr>
          <w:p>
            <w:pPr>
              <w:spacing w:after="0"/>
              <w:rPr>
                <w:sz w:val="14"/>
                <w:szCs w:val="14"/>
                <w:color w:val="auto"/>
              </w:rPr>
            </w:pPr>
          </w:p>
        </w:tc>
        <w:tc>
          <w:tcPr>
            <w:tcW w:w="860" w:type="dxa"/>
            <w:vAlign w:val="bottom"/>
            <w:shd w:val="clear" w:color="auto" w:fill="000000"/>
          </w:tcPr>
          <w:p>
            <w:pPr>
              <w:spacing w:after="0"/>
              <w:rPr>
                <w:sz w:val="14"/>
                <w:szCs w:val="14"/>
                <w:color w:val="auto"/>
              </w:rPr>
            </w:pPr>
          </w:p>
        </w:tc>
        <w:tc>
          <w:tcPr>
            <w:tcW w:w="860" w:type="dxa"/>
            <w:vAlign w:val="bottom"/>
            <w:shd w:val="clear" w:color="auto" w:fill="000000"/>
          </w:tcPr>
          <w:p>
            <w:pPr>
              <w:spacing w:after="0"/>
              <w:rPr>
                <w:sz w:val="14"/>
                <w:szCs w:val="14"/>
                <w:color w:val="auto"/>
              </w:rPr>
            </w:pPr>
          </w:p>
        </w:tc>
        <w:tc>
          <w:tcPr>
            <w:tcW w:w="640" w:type="dxa"/>
            <w:vAlign w:val="bottom"/>
            <w:shd w:val="clear" w:color="auto" w:fill="000000"/>
          </w:tcPr>
          <w:p>
            <w:pPr>
              <w:spacing w:after="0"/>
              <w:rPr>
                <w:sz w:val="14"/>
                <w:szCs w:val="14"/>
                <w:color w:val="auto"/>
              </w:rPr>
            </w:pPr>
          </w:p>
        </w:tc>
        <w:tc>
          <w:tcPr>
            <w:tcW w:w="880" w:type="dxa"/>
            <w:vAlign w:val="bottom"/>
            <w:shd w:val="clear" w:color="auto" w:fill="000000"/>
          </w:tcPr>
          <w:p>
            <w:pPr>
              <w:spacing w:after="0"/>
              <w:rPr>
                <w:sz w:val="14"/>
                <w:szCs w:val="14"/>
                <w:color w:val="auto"/>
              </w:rPr>
            </w:pPr>
          </w:p>
        </w:tc>
        <w:tc>
          <w:tcPr>
            <w:tcW w:w="880" w:type="dxa"/>
            <w:vAlign w:val="bottom"/>
            <w:shd w:val="clear" w:color="auto" w:fill="000000"/>
          </w:tcPr>
          <w:p>
            <w:pPr>
              <w:spacing w:after="0"/>
              <w:rPr>
                <w:sz w:val="14"/>
                <w:szCs w:val="14"/>
                <w:color w:val="auto"/>
              </w:rPr>
            </w:pPr>
          </w:p>
        </w:tc>
        <w:tc>
          <w:tcPr>
            <w:tcW w:w="740" w:type="dxa"/>
            <w:vAlign w:val="bottom"/>
            <w:shd w:val="clear" w:color="auto" w:fill="000000"/>
          </w:tcPr>
          <w:p>
            <w:pPr>
              <w:spacing w:after="0"/>
              <w:rPr>
                <w:sz w:val="14"/>
                <w:szCs w:val="14"/>
                <w:color w:val="auto"/>
              </w:rPr>
            </w:pPr>
          </w:p>
        </w:tc>
        <w:tc>
          <w:tcPr>
            <w:tcW w:w="840" w:type="dxa"/>
            <w:vAlign w:val="bottom"/>
            <w:shd w:val="clear" w:color="auto" w:fill="000000"/>
          </w:tcPr>
          <w:p>
            <w:pPr>
              <w:spacing w:after="0"/>
              <w:rPr>
                <w:sz w:val="14"/>
                <w:szCs w:val="14"/>
                <w:color w:val="auto"/>
              </w:rPr>
            </w:pPr>
          </w:p>
        </w:tc>
        <w:tc>
          <w:tcPr>
            <w:tcW w:w="98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rPr>
              <w:t>(#)</w:t>
            </w:r>
          </w:p>
        </w:tc>
        <w:tc>
          <w:tcPr>
            <w:tcW w:w="108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446"/>
        </w:trPr>
        <w:tc>
          <w:tcPr>
            <w:tcW w:w="1620" w:type="dxa"/>
            <w:vAlign w:val="bottom"/>
            <w:shd w:val="clear" w:color="auto" w:fill="000000"/>
          </w:tcPr>
          <w:p>
            <w:pPr>
              <w:ind w:left="160"/>
              <w:spacing w:after="0"/>
              <w:rPr>
                <w:sz w:val="20"/>
                <w:szCs w:val="20"/>
                <w:color w:val="auto"/>
              </w:rPr>
            </w:pPr>
            <w:r>
              <w:rPr>
                <w:rFonts w:ascii="Arial" w:cs="Arial" w:eastAsia="Arial" w:hAnsi="Arial"/>
                <w:sz w:val="13"/>
                <w:szCs w:val="13"/>
                <w:b w:val="1"/>
                <w:bCs w:val="1"/>
                <w:color w:val="FEFEFE"/>
              </w:rPr>
              <w:t>(a)</w:t>
            </w:r>
          </w:p>
        </w:tc>
        <w:tc>
          <w:tcPr>
            <w:tcW w:w="860" w:type="dxa"/>
            <w:vAlign w:val="bottom"/>
            <w:shd w:val="clear" w:color="auto" w:fill="000000"/>
          </w:tcPr>
          <w:p>
            <w:pPr>
              <w:ind w:left="360"/>
              <w:spacing w:after="0"/>
              <w:rPr>
                <w:sz w:val="20"/>
                <w:szCs w:val="20"/>
                <w:color w:val="auto"/>
              </w:rPr>
            </w:pPr>
            <w:r>
              <w:rPr>
                <w:rFonts w:ascii="Arial" w:cs="Arial" w:eastAsia="Arial" w:hAnsi="Arial"/>
                <w:sz w:val="13"/>
                <w:szCs w:val="13"/>
                <w:b w:val="1"/>
                <w:bCs w:val="1"/>
                <w:color w:val="FEFEFE"/>
              </w:rPr>
              <w:t>(b)</w:t>
            </w:r>
          </w:p>
        </w:tc>
        <w:tc>
          <w:tcPr>
            <w:tcW w:w="860" w:type="dxa"/>
            <w:vAlign w:val="bottom"/>
            <w:shd w:val="clear" w:color="auto" w:fill="000000"/>
          </w:tcPr>
          <w:p>
            <w:pPr>
              <w:jc w:val="right"/>
              <w:ind w:right="293"/>
              <w:spacing w:after="0"/>
              <w:rPr>
                <w:sz w:val="20"/>
                <w:szCs w:val="20"/>
                <w:color w:val="auto"/>
              </w:rPr>
            </w:pPr>
            <w:r>
              <w:rPr>
                <w:rFonts w:ascii="Arial" w:cs="Arial" w:eastAsia="Arial" w:hAnsi="Arial"/>
                <w:sz w:val="13"/>
                <w:szCs w:val="13"/>
                <w:b w:val="1"/>
                <w:bCs w:val="1"/>
                <w:color w:val="FEFEFE"/>
              </w:rPr>
              <w:t>(c)</w:t>
            </w:r>
          </w:p>
        </w:tc>
        <w:tc>
          <w:tcPr>
            <w:tcW w:w="64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w w:val="96"/>
              </w:rPr>
              <w:t>(d)</w:t>
            </w:r>
          </w:p>
        </w:tc>
        <w:tc>
          <w:tcPr>
            <w:tcW w:w="88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rPr>
              <w:t>(e)</w:t>
            </w:r>
          </w:p>
        </w:tc>
        <w:tc>
          <w:tcPr>
            <w:tcW w:w="88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w w:val="92"/>
              </w:rPr>
              <w:t>(f)</w:t>
            </w:r>
          </w:p>
        </w:tc>
        <w:tc>
          <w:tcPr>
            <w:tcW w:w="74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rPr>
              <w:t>(g)</w:t>
            </w:r>
          </w:p>
        </w:tc>
        <w:tc>
          <w:tcPr>
            <w:tcW w:w="84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w w:val="96"/>
              </w:rPr>
              <w:t>(h)</w:t>
            </w:r>
          </w:p>
        </w:tc>
        <w:tc>
          <w:tcPr>
            <w:tcW w:w="98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w w:val="97"/>
              </w:rPr>
              <w:t>(i)</w:t>
            </w:r>
          </w:p>
        </w:tc>
        <w:tc>
          <w:tcPr>
            <w:tcW w:w="1080" w:type="dxa"/>
            <w:vAlign w:val="bottom"/>
            <w:shd w:val="clear" w:color="auto" w:fill="000000"/>
          </w:tcPr>
          <w:p>
            <w:pPr>
              <w:jc w:val="center"/>
              <w:ind w:right="136"/>
              <w:spacing w:after="0"/>
              <w:rPr>
                <w:sz w:val="20"/>
                <w:szCs w:val="20"/>
                <w:color w:val="auto"/>
              </w:rPr>
            </w:pPr>
            <w:r>
              <w:rPr>
                <w:rFonts w:ascii="Arial" w:cs="Arial" w:eastAsia="Arial" w:hAnsi="Arial"/>
                <w:sz w:val="13"/>
                <w:szCs w:val="13"/>
                <w:b w:val="1"/>
                <w:bCs w:val="1"/>
                <w:color w:val="FEFEFE"/>
                <w:w w:val="97"/>
              </w:rPr>
              <w:t>(l)</w:t>
            </w:r>
          </w:p>
        </w:tc>
        <w:tc>
          <w:tcPr>
            <w:tcW w:w="0" w:type="dxa"/>
            <w:vAlign w:val="bottom"/>
          </w:tcPr>
          <w:p>
            <w:pPr>
              <w:spacing w:after="0"/>
              <w:rPr>
                <w:sz w:val="1"/>
                <w:szCs w:val="1"/>
                <w:color w:val="auto"/>
              </w:rPr>
            </w:pPr>
          </w:p>
        </w:tc>
      </w:tr>
      <w:tr>
        <w:trPr>
          <w:trHeight w:val="124"/>
        </w:trPr>
        <w:tc>
          <w:tcPr>
            <w:tcW w:w="1620" w:type="dxa"/>
            <w:vAlign w:val="bottom"/>
            <w:shd w:val="clear" w:color="auto" w:fill="000000"/>
          </w:tcPr>
          <w:p>
            <w:pPr>
              <w:spacing w:after="0"/>
              <w:rPr>
                <w:sz w:val="10"/>
                <w:szCs w:val="10"/>
                <w:color w:val="auto"/>
              </w:rPr>
            </w:pPr>
          </w:p>
        </w:tc>
        <w:tc>
          <w:tcPr>
            <w:tcW w:w="860" w:type="dxa"/>
            <w:vAlign w:val="bottom"/>
            <w:shd w:val="clear" w:color="auto" w:fill="000000"/>
          </w:tcPr>
          <w:p>
            <w:pPr>
              <w:spacing w:after="0"/>
              <w:rPr>
                <w:sz w:val="10"/>
                <w:szCs w:val="10"/>
                <w:color w:val="auto"/>
              </w:rPr>
            </w:pPr>
          </w:p>
        </w:tc>
        <w:tc>
          <w:tcPr>
            <w:tcW w:w="860" w:type="dxa"/>
            <w:vAlign w:val="bottom"/>
            <w:shd w:val="clear" w:color="auto" w:fill="000000"/>
          </w:tcPr>
          <w:p>
            <w:pPr>
              <w:spacing w:after="0"/>
              <w:rPr>
                <w:sz w:val="10"/>
                <w:szCs w:val="10"/>
                <w:color w:val="auto"/>
              </w:rPr>
            </w:pPr>
          </w:p>
        </w:tc>
        <w:tc>
          <w:tcPr>
            <w:tcW w:w="640" w:type="dxa"/>
            <w:vAlign w:val="bottom"/>
            <w:shd w:val="clear" w:color="auto" w:fill="000000"/>
          </w:tcPr>
          <w:p>
            <w:pPr>
              <w:spacing w:after="0"/>
              <w:rPr>
                <w:sz w:val="10"/>
                <w:szCs w:val="10"/>
                <w:color w:val="auto"/>
              </w:rPr>
            </w:pPr>
          </w:p>
        </w:tc>
        <w:tc>
          <w:tcPr>
            <w:tcW w:w="880" w:type="dxa"/>
            <w:vAlign w:val="bottom"/>
            <w:shd w:val="clear" w:color="auto" w:fill="000000"/>
          </w:tcPr>
          <w:p>
            <w:pPr>
              <w:spacing w:after="0"/>
              <w:rPr>
                <w:sz w:val="10"/>
                <w:szCs w:val="10"/>
                <w:color w:val="auto"/>
              </w:rPr>
            </w:pPr>
          </w:p>
        </w:tc>
        <w:tc>
          <w:tcPr>
            <w:tcW w:w="880" w:type="dxa"/>
            <w:vAlign w:val="bottom"/>
            <w:shd w:val="clear" w:color="auto" w:fill="000000"/>
          </w:tcPr>
          <w:p>
            <w:pPr>
              <w:spacing w:after="0"/>
              <w:rPr>
                <w:sz w:val="10"/>
                <w:szCs w:val="10"/>
                <w:color w:val="auto"/>
              </w:rPr>
            </w:pPr>
          </w:p>
        </w:tc>
        <w:tc>
          <w:tcPr>
            <w:tcW w:w="740" w:type="dxa"/>
            <w:vAlign w:val="bottom"/>
            <w:shd w:val="clear" w:color="auto" w:fill="000000"/>
          </w:tcPr>
          <w:p>
            <w:pPr>
              <w:spacing w:after="0"/>
              <w:rPr>
                <w:sz w:val="10"/>
                <w:szCs w:val="10"/>
                <w:color w:val="auto"/>
              </w:rPr>
            </w:pPr>
          </w:p>
        </w:tc>
        <w:tc>
          <w:tcPr>
            <w:tcW w:w="840" w:type="dxa"/>
            <w:vAlign w:val="bottom"/>
            <w:shd w:val="clear" w:color="auto" w:fill="000000"/>
          </w:tcPr>
          <w:p>
            <w:pPr>
              <w:spacing w:after="0"/>
              <w:rPr>
                <w:sz w:val="10"/>
                <w:szCs w:val="10"/>
                <w:color w:val="auto"/>
              </w:rPr>
            </w:pPr>
          </w:p>
        </w:tc>
        <w:tc>
          <w:tcPr>
            <w:tcW w:w="980" w:type="dxa"/>
            <w:vAlign w:val="bottom"/>
            <w:shd w:val="clear" w:color="auto" w:fill="000000"/>
          </w:tcPr>
          <w:p>
            <w:pPr>
              <w:spacing w:after="0"/>
              <w:rPr>
                <w:sz w:val="10"/>
                <w:szCs w:val="10"/>
                <w:color w:val="auto"/>
              </w:rPr>
            </w:pPr>
          </w:p>
        </w:tc>
        <w:tc>
          <w:tcPr>
            <w:tcW w:w="108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312"/>
        </w:trPr>
        <w:tc>
          <w:tcPr>
            <w:tcW w:w="1620" w:type="dxa"/>
            <w:vAlign w:val="bottom"/>
          </w:tcPr>
          <w:p>
            <w:pPr>
              <w:ind w:left="160"/>
              <w:spacing w:after="0"/>
              <w:rPr>
                <w:sz w:val="20"/>
                <w:szCs w:val="20"/>
                <w:color w:val="auto"/>
              </w:rPr>
            </w:pPr>
            <w:r>
              <w:rPr>
                <w:rFonts w:ascii="Arial" w:cs="Arial" w:eastAsia="Arial" w:hAnsi="Arial"/>
                <w:sz w:val="14"/>
                <w:szCs w:val="14"/>
                <w:b w:val="1"/>
                <w:bCs w:val="1"/>
                <w:color w:val="auto"/>
              </w:rPr>
              <w:t>Peter Rawlinson</w:t>
            </w: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16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44"/>
        </w:trPr>
        <w:tc>
          <w:tcPr>
            <w:tcW w:w="1620" w:type="dxa"/>
            <w:vAlign w:val="bottom"/>
          </w:tcPr>
          <w:p>
            <w:pPr>
              <w:ind w:left="160"/>
              <w:spacing w:after="0"/>
              <w:rPr>
                <w:sz w:val="20"/>
                <w:szCs w:val="20"/>
                <w:color w:val="auto"/>
              </w:rPr>
            </w:pPr>
            <w:r>
              <w:rPr>
                <w:rFonts w:ascii="Arial" w:cs="Arial" w:eastAsia="Arial" w:hAnsi="Arial"/>
                <w:sz w:val="14"/>
                <w:szCs w:val="14"/>
                <w:color w:val="auto"/>
              </w:rPr>
              <w:t>2021 Annual Bonus</w:t>
            </w:r>
            <w:r>
              <w:rPr>
                <w:rFonts w:ascii="Arial" w:cs="Arial" w:eastAsia="Arial" w:hAnsi="Arial"/>
                <w:sz w:val="17"/>
                <w:szCs w:val="17"/>
                <w:color w:val="auto"/>
                <w:vertAlign w:val="superscript"/>
              </w:rPr>
              <w:t>(1)</w:t>
            </w:r>
          </w:p>
        </w:tc>
        <w:tc>
          <w:tcPr>
            <w:tcW w:w="860" w:type="dxa"/>
            <w:vAlign w:val="bottom"/>
          </w:tcPr>
          <w:p>
            <w:pPr>
              <w:spacing w:after="0"/>
              <w:rPr>
                <w:sz w:val="24"/>
                <w:szCs w:val="24"/>
                <w:color w:val="auto"/>
              </w:rPr>
            </w:pPr>
          </w:p>
        </w:tc>
        <w:tc>
          <w:tcPr>
            <w:tcW w:w="860" w:type="dxa"/>
            <w:vAlign w:val="bottom"/>
          </w:tcPr>
          <w:p>
            <w:pPr>
              <w:jc w:val="right"/>
              <w:ind w:right="113"/>
              <w:spacing w:after="0"/>
              <w:rPr>
                <w:sz w:val="20"/>
                <w:szCs w:val="20"/>
                <w:color w:val="auto"/>
              </w:rPr>
            </w:pPr>
            <w:r>
              <w:rPr>
                <w:rFonts w:ascii="Arial" w:cs="Arial" w:eastAsia="Arial" w:hAnsi="Arial"/>
                <w:sz w:val="14"/>
                <w:szCs w:val="14"/>
                <w:color w:val="auto"/>
              </w:rPr>
              <w:t>71,875</w:t>
            </w:r>
          </w:p>
        </w:tc>
        <w:tc>
          <w:tcPr>
            <w:tcW w:w="640" w:type="dxa"/>
            <w:vAlign w:val="bottom"/>
          </w:tcPr>
          <w:p>
            <w:pPr>
              <w:jc w:val="right"/>
              <w:spacing w:after="0"/>
              <w:rPr>
                <w:sz w:val="20"/>
                <w:szCs w:val="20"/>
                <w:color w:val="auto"/>
              </w:rPr>
            </w:pPr>
            <w:r>
              <w:rPr>
                <w:rFonts w:ascii="Arial" w:cs="Arial" w:eastAsia="Arial" w:hAnsi="Arial"/>
                <w:sz w:val="14"/>
                <w:szCs w:val="14"/>
                <w:color w:val="auto"/>
              </w:rPr>
              <w:t>287,500</w:t>
            </w:r>
          </w:p>
        </w:tc>
        <w:tc>
          <w:tcPr>
            <w:tcW w:w="880" w:type="dxa"/>
            <w:vAlign w:val="bottom"/>
          </w:tcPr>
          <w:p>
            <w:pPr>
              <w:jc w:val="center"/>
              <w:spacing w:after="0"/>
              <w:rPr>
                <w:sz w:val="20"/>
                <w:szCs w:val="20"/>
                <w:color w:val="auto"/>
              </w:rPr>
            </w:pPr>
            <w:r>
              <w:rPr>
                <w:rFonts w:ascii="Arial" w:cs="Arial" w:eastAsia="Arial" w:hAnsi="Arial"/>
                <w:sz w:val="14"/>
                <w:szCs w:val="14"/>
                <w:color w:val="auto"/>
              </w:rPr>
              <w:t>503,125</w:t>
            </w: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6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2"/>
        </w:trPr>
        <w:tc>
          <w:tcPr>
            <w:tcW w:w="1620" w:type="dxa"/>
            <w:vAlign w:val="bottom"/>
          </w:tcPr>
          <w:p>
            <w:pPr>
              <w:ind w:left="160"/>
              <w:spacing w:after="0"/>
              <w:rPr>
                <w:sz w:val="20"/>
                <w:szCs w:val="20"/>
                <w:color w:val="auto"/>
              </w:rPr>
            </w:pPr>
            <w:r>
              <w:rPr>
                <w:rFonts w:ascii="Arial" w:cs="Arial" w:eastAsia="Arial" w:hAnsi="Arial"/>
                <w:sz w:val="14"/>
                <w:szCs w:val="14"/>
                <w:color w:val="auto"/>
              </w:rPr>
              <w:t>Time-Based RSU</w:t>
            </w:r>
          </w:p>
        </w:tc>
        <w:tc>
          <w:tcPr>
            <w:tcW w:w="860" w:type="dxa"/>
            <w:vAlign w:val="bottom"/>
          </w:tcPr>
          <w:p>
            <w:pPr>
              <w:ind w:left="100"/>
              <w:spacing w:after="0"/>
              <w:rPr>
                <w:sz w:val="20"/>
                <w:szCs w:val="20"/>
                <w:color w:val="auto"/>
              </w:rPr>
            </w:pPr>
            <w:r>
              <w:rPr>
                <w:rFonts w:ascii="Arial" w:cs="Arial" w:eastAsia="Arial" w:hAnsi="Arial"/>
                <w:sz w:val="14"/>
                <w:szCs w:val="14"/>
                <w:color w:val="auto"/>
              </w:rPr>
              <w:t>03/27/2021</w:t>
            </w: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jc w:val="right"/>
              <w:ind w:right="34"/>
              <w:spacing w:after="0"/>
              <w:rPr>
                <w:sz w:val="20"/>
                <w:szCs w:val="20"/>
                <w:color w:val="auto"/>
              </w:rPr>
            </w:pPr>
            <w:r>
              <w:rPr>
                <w:rFonts w:ascii="Arial" w:cs="Arial" w:eastAsia="Arial" w:hAnsi="Arial"/>
                <w:sz w:val="14"/>
                <w:szCs w:val="14"/>
                <w:color w:val="auto"/>
              </w:rPr>
              <w:t>13,834,748</w:t>
            </w:r>
          </w:p>
        </w:tc>
        <w:tc>
          <w:tcPr>
            <w:tcW w:w="1080" w:type="dxa"/>
            <w:vAlign w:val="bottom"/>
          </w:tcPr>
          <w:p>
            <w:pPr>
              <w:jc w:val="right"/>
              <w:ind w:right="136"/>
              <w:spacing w:after="0"/>
              <w:rPr>
                <w:sz w:val="20"/>
                <w:szCs w:val="20"/>
                <w:color w:val="auto"/>
              </w:rPr>
            </w:pPr>
            <w:r>
              <w:rPr>
                <w:rFonts w:ascii="Arial" w:cs="Arial" w:eastAsia="Arial" w:hAnsi="Arial"/>
                <w:sz w:val="14"/>
                <w:szCs w:val="14"/>
                <w:color w:val="auto"/>
              </w:rPr>
              <w:t>283,968,150</w:t>
            </w:r>
          </w:p>
        </w:tc>
        <w:tc>
          <w:tcPr>
            <w:tcW w:w="0" w:type="dxa"/>
            <w:vAlign w:val="bottom"/>
          </w:tcPr>
          <w:p>
            <w:pPr>
              <w:spacing w:after="0"/>
              <w:rPr>
                <w:sz w:val="1"/>
                <w:szCs w:val="1"/>
                <w:color w:val="auto"/>
              </w:rPr>
            </w:pPr>
          </w:p>
        </w:tc>
      </w:tr>
      <w:tr>
        <w:trPr>
          <w:trHeight w:val="93"/>
        </w:trPr>
        <w:tc>
          <w:tcPr>
            <w:tcW w:w="16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620" w:type="dxa"/>
            <w:vAlign w:val="bottom"/>
          </w:tcPr>
          <w:p>
            <w:pPr>
              <w:ind w:left="160"/>
              <w:spacing w:after="0"/>
              <w:rPr>
                <w:sz w:val="20"/>
                <w:szCs w:val="20"/>
                <w:color w:val="auto"/>
              </w:rPr>
            </w:pPr>
            <w:r>
              <w:rPr>
                <w:rFonts w:ascii="Arial" w:cs="Arial" w:eastAsia="Arial" w:hAnsi="Arial"/>
                <w:sz w:val="14"/>
                <w:szCs w:val="14"/>
                <w:color w:val="auto"/>
              </w:rPr>
              <w:t>Perf-Based RSU</w:t>
            </w:r>
          </w:p>
        </w:tc>
        <w:tc>
          <w:tcPr>
            <w:tcW w:w="860" w:type="dxa"/>
            <w:vAlign w:val="bottom"/>
          </w:tcPr>
          <w:p>
            <w:pPr>
              <w:ind w:left="100"/>
              <w:spacing w:after="0"/>
              <w:rPr>
                <w:sz w:val="20"/>
                <w:szCs w:val="20"/>
                <w:color w:val="auto"/>
              </w:rPr>
            </w:pPr>
            <w:r>
              <w:rPr>
                <w:rFonts w:ascii="Arial" w:cs="Arial" w:eastAsia="Arial" w:hAnsi="Arial"/>
                <w:sz w:val="14"/>
                <w:szCs w:val="14"/>
                <w:color w:val="auto"/>
              </w:rPr>
              <w:t>03/27/2021</w:t>
            </w: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jc w:val="right"/>
              <w:ind w:right="35"/>
              <w:spacing w:after="0"/>
              <w:rPr>
                <w:sz w:val="20"/>
                <w:szCs w:val="20"/>
                <w:color w:val="auto"/>
              </w:rPr>
            </w:pPr>
            <w:r>
              <w:rPr>
                <w:rFonts w:ascii="Arial" w:cs="Arial" w:eastAsia="Arial" w:hAnsi="Arial"/>
                <w:sz w:val="14"/>
                <w:szCs w:val="14"/>
                <w:color w:val="auto"/>
              </w:rPr>
              <w:t>3,483,568</w:t>
            </w:r>
          </w:p>
        </w:tc>
        <w:tc>
          <w:tcPr>
            <w:tcW w:w="740" w:type="dxa"/>
            <w:vAlign w:val="bottom"/>
          </w:tcPr>
          <w:p>
            <w:pPr>
              <w:jc w:val="right"/>
              <w:spacing w:after="0"/>
              <w:rPr>
                <w:sz w:val="20"/>
                <w:szCs w:val="20"/>
                <w:color w:val="auto"/>
              </w:rPr>
            </w:pPr>
            <w:r>
              <w:rPr>
                <w:rFonts w:ascii="Arial" w:cs="Arial" w:eastAsia="Arial" w:hAnsi="Arial"/>
                <w:sz w:val="14"/>
                <w:szCs w:val="14"/>
                <w:color w:val="auto"/>
              </w:rPr>
              <w:t>10,450,73</w:t>
            </w:r>
          </w:p>
        </w:tc>
        <w:tc>
          <w:tcPr>
            <w:tcW w:w="840" w:type="dxa"/>
            <w:vAlign w:val="bottom"/>
          </w:tcPr>
          <w:p>
            <w:pPr>
              <w:jc w:val="right"/>
              <w:spacing w:after="0"/>
              <w:rPr>
                <w:sz w:val="20"/>
                <w:szCs w:val="20"/>
                <w:color w:val="auto"/>
              </w:rPr>
            </w:pPr>
            <w:r>
              <w:rPr>
                <w:rFonts w:ascii="Arial" w:cs="Arial" w:eastAsia="Arial" w:hAnsi="Arial"/>
                <w:sz w:val="14"/>
                <w:szCs w:val="14"/>
                <w:color w:val="auto"/>
              </w:rPr>
              <w:t>16,024,411</w:t>
            </w:r>
          </w:p>
        </w:tc>
        <w:tc>
          <w:tcPr>
            <w:tcW w:w="980" w:type="dxa"/>
            <w:vAlign w:val="bottom"/>
          </w:tcPr>
          <w:p>
            <w:pPr>
              <w:spacing w:after="0"/>
              <w:rPr>
                <w:sz w:val="24"/>
                <w:szCs w:val="24"/>
                <w:color w:val="auto"/>
              </w:rPr>
            </w:pPr>
          </w:p>
        </w:tc>
        <w:tc>
          <w:tcPr>
            <w:tcW w:w="1080" w:type="dxa"/>
            <w:vAlign w:val="bottom"/>
          </w:tcPr>
          <w:p>
            <w:pPr>
              <w:jc w:val="right"/>
              <w:ind w:right="136"/>
              <w:spacing w:after="0"/>
              <w:rPr>
                <w:sz w:val="20"/>
                <w:szCs w:val="20"/>
                <w:color w:val="auto"/>
              </w:rPr>
            </w:pPr>
            <w:r>
              <w:rPr>
                <w:rFonts w:ascii="Arial" w:cs="Arial" w:eastAsia="Arial" w:hAnsi="Arial"/>
                <w:sz w:val="14"/>
                <w:szCs w:val="14"/>
                <w:color w:val="auto"/>
              </w:rPr>
              <w:t>272,118,813</w:t>
            </w:r>
          </w:p>
        </w:tc>
        <w:tc>
          <w:tcPr>
            <w:tcW w:w="0" w:type="dxa"/>
            <w:vAlign w:val="bottom"/>
          </w:tcPr>
          <w:p>
            <w:pPr>
              <w:spacing w:after="0"/>
              <w:rPr>
                <w:sz w:val="1"/>
                <w:szCs w:val="1"/>
                <w:color w:val="auto"/>
              </w:rPr>
            </w:pPr>
          </w:p>
        </w:tc>
      </w:tr>
      <w:tr>
        <w:trPr>
          <w:trHeight w:val="93"/>
        </w:trPr>
        <w:tc>
          <w:tcPr>
            <w:tcW w:w="16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620" w:type="dxa"/>
            <w:vAlign w:val="bottom"/>
            <w:shd w:val="clear" w:color="auto" w:fill="F7F7F7"/>
          </w:tcPr>
          <w:p>
            <w:pPr>
              <w:ind w:left="160"/>
              <w:spacing w:after="0"/>
              <w:rPr>
                <w:sz w:val="20"/>
                <w:szCs w:val="20"/>
                <w:color w:val="auto"/>
              </w:rPr>
            </w:pPr>
            <w:r>
              <w:rPr>
                <w:rFonts w:ascii="Arial" w:cs="Arial" w:eastAsia="Arial" w:hAnsi="Arial"/>
                <w:sz w:val="14"/>
                <w:szCs w:val="14"/>
                <w:b w:val="1"/>
                <w:bCs w:val="1"/>
                <w:color w:val="auto"/>
              </w:rPr>
              <w:t>Sherry House</w:t>
            </w:r>
          </w:p>
        </w:tc>
        <w:tc>
          <w:tcPr>
            <w:tcW w:w="860" w:type="dxa"/>
            <w:vAlign w:val="bottom"/>
            <w:shd w:val="clear" w:color="auto" w:fill="F7F7F7"/>
          </w:tcPr>
          <w:p>
            <w:pPr>
              <w:spacing w:after="0"/>
              <w:rPr>
                <w:sz w:val="24"/>
                <w:szCs w:val="24"/>
                <w:color w:val="auto"/>
              </w:rPr>
            </w:pPr>
          </w:p>
        </w:tc>
        <w:tc>
          <w:tcPr>
            <w:tcW w:w="860" w:type="dxa"/>
            <w:vAlign w:val="bottom"/>
            <w:shd w:val="clear" w:color="auto" w:fill="F7F7F7"/>
          </w:tcPr>
          <w:p>
            <w:pPr>
              <w:spacing w:after="0"/>
              <w:rPr>
                <w:sz w:val="24"/>
                <w:szCs w:val="24"/>
                <w:color w:val="auto"/>
              </w:rPr>
            </w:pPr>
          </w:p>
        </w:tc>
        <w:tc>
          <w:tcPr>
            <w:tcW w:w="640" w:type="dxa"/>
            <w:vAlign w:val="bottom"/>
            <w:shd w:val="clear" w:color="auto" w:fill="F7F7F7"/>
          </w:tcPr>
          <w:p>
            <w:pPr>
              <w:spacing w:after="0"/>
              <w:rPr>
                <w:sz w:val="24"/>
                <w:szCs w:val="24"/>
                <w:color w:val="auto"/>
              </w:rPr>
            </w:pPr>
          </w:p>
        </w:tc>
        <w:tc>
          <w:tcPr>
            <w:tcW w:w="880" w:type="dxa"/>
            <w:vAlign w:val="bottom"/>
            <w:shd w:val="clear" w:color="auto" w:fill="F7F7F7"/>
          </w:tcPr>
          <w:p>
            <w:pPr>
              <w:spacing w:after="0"/>
              <w:rPr>
                <w:sz w:val="24"/>
                <w:szCs w:val="24"/>
                <w:color w:val="auto"/>
              </w:rPr>
            </w:pPr>
          </w:p>
        </w:tc>
        <w:tc>
          <w:tcPr>
            <w:tcW w:w="880" w:type="dxa"/>
            <w:vAlign w:val="bottom"/>
            <w:shd w:val="clear" w:color="auto" w:fill="F7F7F7"/>
          </w:tcPr>
          <w:p>
            <w:pPr>
              <w:spacing w:after="0"/>
              <w:rPr>
                <w:sz w:val="24"/>
                <w:szCs w:val="24"/>
                <w:color w:val="auto"/>
              </w:rPr>
            </w:pPr>
          </w:p>
        </w:tc>
        <w:tc>
          <w:tcPr>
            <w:tcW w:w="740" w:type="dxa"/>
            <w:vAlign w:val="bottom"/>
            <w:shd w:val="clear" w:color="auto" w:fill="F7F7F7"/>
          </w:tcPr>
          <w:p>
            <w:pPr>
              <w:spacing w:after="0"/>
              <w:rPr>
                <w:sz w:val="24"/>
                <w:szCs w:val="24"/>
                <w:color w:val="auto"/>
              </w:rPr>
            </w:pPr>
          </w:p>
        </w:tc>
        <w:tc>
          <w:tcPr>
            <w:tcW w:w="840" w:type="dxa"/>
            <w:vAlign w:val="bottom"/>
            <w:shd w:val="clear" w:color="auto" w:fill="F7F7F7"/>
          </w:tcPr>
          <w:p>
            <w:pPr>
              <w:spacing w:after="0"/>
              <w:rPr>
                <w:sz w:val="24"/>
                <w:szCs w:val="24"/>
                <w:color w:val="auto"/>
              </w:rPr>
            </w:pPr>
          </w:p>
        </w:tc>
        <w:tc>
          <w:tcPr>
            <w:tcW w:w="980" w:type="dxa"/>
            <w:vAlign w:val="bottom"/>
            <w:shd w:val="clear" w:color="auto" w:fill="F7F7F7"/>
          </w:tcPr>
          <w:p>
            <w:pPr>
              <w:spacing w:after="0"/>
              <w:rPr>
                <w:sz w:val="24"/>
                <w:szCs w:val="24"/>
                <w:color w:val="auto"/>
              </w:rPr>
            </w:pPr>
          </w:p>
        </w:tc>
        <w:tc>
          <w:tcPr>
            <w:tcW w:w="1080" w:type="dxa"/>
            <w:vAlign w:val="bottom"/>
            <w:shd w:val="clear" w:color="auto" w:fill="F7F7F7"/>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1620" w:type="dxa"/>
            <w:vAlign w:val="bottom"/>
            <w:tcBorders>
              <w:bottom w:val="single" w:sz="8" w:color="auto"/>
            </w:tcBorders>
            <w:shd w:val="clear" w:color="auto" w:fill="F7F7F7"/>
          </w:tcPr>
          <w:p>
            <w:pPr>
              <w:spacing w:after="0"/>
              <w:rPr>
                <w:sz w:val="8"/>
                <w:szCs w:val="8"/>
                <w:color w:val="auto"/>
              </w:rPr>
            </w:pPr>
          </w:p>
        </w:tc>
        <w:tc>
          <w:tcPr>
            <w:tcW w:w="860" w:type="dxa"/>
            <w:vAlign w:val="bottom"/>
            <w:tcBorders>
              <w:bottom w:val="single" w:sz="8" w:color="auto"/>
            </w:tcBorders>
            <w:shd w:val="clear" w:color="auto" w:fill="F7F7F7"/>
          </w:tcPr>
          <w:p>
            <w:pPr>
              <w:spacing w:after="0"/>
              <w:rPr>
                <w:sz w:val="8"/>
                <w:szCs w:val="8"/>
                <w:color w:val="auto"/>
              </w:rPr>
            </w:pPr>
          </w:p>
        </w:tc>
        <w:tc>
          <w:tcPr>
            <w:tcW w:w="860" w:type="dxa"/>
            <w:vAlign w:val="bottom"/>
            <w:tcBorders>
              <w:bottom w:val="single" w:sz="8" w:color="auto"/>
            </w:tcBorders>
            <w:shd w:val="clear" w:color="auto" w:fill="F7F7F7"/>
          </w:tcPr>
          <w:p>
            <w:pPr>
              <w:spacing w:after="0"/>
              <w:rPr>
                <w:sz w:val="8"/>
                <w:szCs w:val="8"/>
                <w:color w:val="auto"/>
              </w:rPr>
            </w:pPr>
          </w:p>
        </w:tc>
        <w:tc>
          <w:tcPr>
            <w:tcW w:w="640" w:type="dxa"/>
            <w:vAlign w:val="bottom"/>
            <w:tcBorders>
              <w:bottom w:val="single" w:sz="8" w:color="auto"/>
            </w:tcBorders>
            <w:shd w:val="clear" w:color="auto" w:fill="F7F7F7"/>
          </w:tcPr>
          <w:p>
            <w:pPr>
              <w:spacing w:after="0"/>
              <w:rPr>
                <w:sz w:val="8"/>
                <w:szCs w:val="8"/>
                <w:color w:val="auto"/>
              </w:rPr>
            </w:pPr>
          </w:p>
        </w:tc>
        <w:tc>
          <w:tcPr>
            <w:tcW w:w="880" w:type="dxa"/>
            <w:vAlign w:val="bottom"/>
            <w:tcBorders>
              <w:bottom w:val="single" w:sz="8" w:color="auto"/>
            </w:tcBorders>
            <w:shd w:val="clear" w:color="auto" w:fill="F7F7F7"/>
          </w:tcPr>
          <w:p>
            <w:pPr>
              <w:spacing w:after="0"/>
              <w:rPr>
                <w:sz w:val="8"/>
                <w:szCs w:val="8"/>
                <w:color w:val="auto"/>
              </w:rPr>
            </w:pPr>
          </w:p>
        </w:tc>
        <w:tc>
          <w:tcPr>
            <w:tcW w:w="880" w:type="dxa"/>
            <w:vAlign w:val="bottom"/>
            <w:tcBorders>
              <w:bottom w:val="single" w:sz="8" w:color="auto"/>
            </w:tcBorders>
            <w:shd w:val="clear" w:color="auto" w:fill="F7F7F7"/>
          </w:tcPr>
          <w:p>
            <w:pPr>
              <w:spacing w:after="0"/>
              <w:rPr>
                <w:sz w:val="8"/>
                <w:szCs w:val="8"/>
                <w:color w:val="auto"/>
              </w:rPr>
            </w:pPr>
          </w:p>
        </w:tc>
        <w:tc>
          <w:tcPr>
            <w:tcW w:w="740" w:type="dxa"/>
            <w:vAlign w:val="bottom"/>
            <w:tcBorders>
              <w:bottom w:val="single" w:sz="8" w:color="auto"/>
            </w:tcBorders>
            <w:shd w:val="clear" w:color="auto" w:fill="F7F7F7"/>
          </w:tcPr>
          <w:p>
            <w:pPr>
              <w:spacing w:after="0"/>
              <w:rPr>
                <w:sz w:val="8"/>
                <w:szCs w:val="8"/>
                <w:color w:val="auto"/>
              </w:rPr>
            </w:pPr>
          </w:p>
        </w:tc>
        <w:tc>
          <w:tcPr>
            <w:tcW w:w="840" w:type="dxa"/>
            <w:vAlign w:val="bottom"/>
            <w:tcBorders>
              <w:bottom w:val="single" w:sz="8" w:color="auto"/>
            </w:tcBorders>
            <w:shd w:val="clear" w:color="auto" w:fill="F7F7F7"/>
          </w:tcPr>
          <w:p>
            <w:pPr>
              <w:spacing w:after="0"/>
              <w:rPr>
                <w:sz w:val="8"/>
                <w:szCs w:val="8"/>
                <w:color w:val="auto"/>
              </w:rPr>
            </w:pPr>
          </w:p>
        </w:tc>
        <w:tc>
          <w:tcPr>
            <w:tcW w:w="980" w:type="dxa"/>
            <w:vAlign w:val="bottom"/>
            <w:tcBorders>
              <w:bottom w:val="single" w:sz="8" w:color="auto"/>
            </w:tcBorders>
            <w:shd w:val="clear" w:color="auto" w:fill="F7F7F7"/>
          </w:tcPr>
          <w:p>
            <w:pPr>
              <w:spacing w:after="0"/>
              <w:rPr>
                <w:sz w:val="8"/>
                <w:szCs w:val="8"/>
                <w:color w:val="auto"/>
              </w:rPr>
            </w:pPr>
          </w:p>
        </w:tc>
        <w:tc>
          <w:tcPr>
            <w:tcW w:w="1080" w:type="dxa"/>
            <w:vAlign w:val="bottom"/>
            <w:tcBorders>
              <w:bottom w:val="single" w:sz="8" w:color="auto"/>
            </w:tcBorders>
            <w:shd w:val="clear" w:color="auto" w:fill="F7F7F7"/>
          </w:tcPr>
          <w:p>
            <w:pPr>
              <w:spacing w:after="0"/>
              <w:rPr>
                <w:sz w:val="8"/>
                <w:szCs w:val="8"/>
                <w:color w:val="auto"/>
              </w:rPr>
            </w:pPr>
          </w:p>
        </w:tc>
        <w:tc>
          <w:tcPr>
            <w:tcW w:w="0" w:type="dxa"/>
            <w:vAlign w:val="bottom"/>
          </w:tcPr>
          <w:p>
            <w:pPr>
              <w:spacing w:after="0"/>
              <w:rPr>
                <w:sz w:val="1"/>
                <w:szCs w:val="1"/>
                <w:color w:val="auto"/>
              </w:rPr>
            </w:pPr>
          </w:p>
        </w:tc>
      </w:tr>
      <w:tr>
        <w:trPr>
          <w:trHeight w:val="306"/>
        </w:trPr>
        <w:tc>
          <w:tcPr>
            <w:tcW w:w="1620" w:type="dxa"/>
            <w:vAlign w:val="bottom"/>
            <w:shd w:val="clear" w:color="auto" w:fill="F7F7F7"/>
          </w:tcPr>
          <w:p>
            <w:pPr>
              <w:ind w:left="160"/>
              <w:spacing w:after="0"/>
              <w:rPr>
                <w:sz w:val="20"/>
                <w:szCs w:val="20"/>
                <w:color w:val="auto"/>
              </w:rPr>
            </w:pPr>
            <w:r>
              <w:rPr>
                <w:rFonts w:ascii="Arial" w:cs="Arial" w:eastAsia="Arial" w:hAnsi="Arial"/>
                <w:sz w:val="14"/>
                <w:szCs w:val="14"/>
                <w:color w:val="auto"/>
              </w:rPr>
              <w:t>2021 Annual Bonus</w:t>
            </w:r>
          </w:p>
        </w:tc>
        <w:tc>
          <w:tcPr>
            <w:tcW w:w="860" w:type="dxa"/>
            <w:vAlign w:val="bottom"/>
            <w:shd w:val="clear" w:color="auto" w:fill="F7F7F7"/>
          </w:tcPr>
          <w:p>
            <w:pPr>
              <w:spacing w:after="0"/>
              <w:rPr>
                <w:sz w:val="24"/>
                <w:szCs w:val="24"/>
                <w:color w:val="auto"/>
              </w:rPr>
            </w:pPr>
          </w:p>
        </w:tc>
        <w:tc>
          <w:tcPr>
            <w:tcW w:w="860" w:type="dxa"/>
            <w:vAlign w:val="bottom"/>
            <w:shd w:val="clear" w:color="auto" w:fill="F7F7F7"/>
          </w:tcPr>
          <w:p>
            <w:pPr>
              <w:jc w:val="right"/>
              <w:ind w:right="113"/>
              <w:spacing w:after="0"/>
              <w:rPr>
                <w:sz w:val="20"/>
                <w:szCs w:val="20"/>
                <w:color w:val="auto"/>
              </w:rPr>
            </w:pPr>
            <w:r>
              <w:rPr>
                <w:rFonts w:ascii="Arial" w:cs="Arial" w:eastAsia="Arial" w:hAnsi="Arial"/>
                <w:sz w:val="14"/>
                <w:szCs w:val="14"/>
                <w:color w:val="auto"/>
              </w:rPr>
              <w:t>41,438</w:t>
            </w:r>
          </w:p>
        </w:tc>
        <w:tc>
          <w:tcPr>
            <w:tcW w:w="640" w:type="dxa"/>
            <w:vAlign w:val="bottom"/>
            <w:shd w:val="clear" w:color="auto" w:fill="F7F7F7"/>
          </w:tcPr>
          <w:p>
            <w:pPr>
              <w:jc w:val="right"/>
              <w:spacing w:after="0"/>
              <w:rPr>
                <w:sz w:val="20"/>
                <w:szCs w:val="20"/>
                <w:color w:val="auto"/>
              </w:rPr>
            </w:pPr>
            <w:r>
              <w:rPr>
                <w:rFonts w:ascii="Arial" w:cs="Arial" w:eastAsia="Arial" w:hAnsi="Arial"/>
                <w:sz w:val="14"/>
                <w:szCs w:val="14"/>
                <w:color w:val="auto"/>
              </w:rPr>
              <w:t>165,753</w:t>
            </w:r>
          </w:p>
        </w:tc>
        <w:tc>
          <w:tcPr>
            <w:tcW w:w="880" w:type="dxa"/>
            <w:vAlign w:val="bottom"/>
            <w:shd w:val="clear" w:color="auto" w:fill="F7F7F7"/>
          </w:tcPr>
          <w:p>
            <w:pPr>
              <w:jc w:val="center"/>
              <w:spacing w:after="0"/>
              <w:rPr>
                <w:sz w:val="20"/>
                <w:szCs w:val="20"/>
                <w:color w:val="auto"/>
              </w:rPr>
            </w:pPr>
            <w:r>
              <w:rPr>
                <w:rFonts w:ascii="Arial" w:cs="Arial" w:eastAsia="Arial" w:hAnsi="Arial"/>
                <w:sz w:val="14"/>
                <w:szCs w:val="14"/>
                <w:color w:val="auto"/>
              </w:rPr>
              <w:t>290,068</w:t>
            </w:r>
          </w:p>
        </w:tc>
        <w:tc>
          <w:tcPr>
            <w:tcW w:w="880" w:type="dxa"/>
            <w:vAlign w:val="bottom"/>
            <w:shd w:val="clear" w:color="auto" w:fill="F7F7F7"/>
          </w:tcPr>
          <w:p>
            <w:pPr>
              <w:spacing w:after="0"/>
              <w:rPr>
                <w:sz w:val="24"/>
                <w:szCs w:val="24"/>
                <w:color w:val="auto"/>
              </w:rPr>
            </w:pPr>
          </w:p>
        </w:tc>
        <w:tc>
          <w:tcPr>
            <w:tcW w:w="740" w:type="dxa"/>
            <w:vAlign w:val="bottom"/>
            <w:shd w:val="clear" w:color="auto" w:fill="F7F7F7"/>
          </w:tcPr>
          <w:p>
            <w:pPr>
              <w:spacing w:after="0"/>
              <w:rPr>
                <w:sz w:val="24"/>
                <w:szCs w:val="24"/>
                <w:color w:val="auto"/>
              </w:rPr>
            </w:pPr>
          </w:p>
        </w:tc>
        <w:tc>
          <w:tcPr>
            <w:tcW w:w="840" w:type="dxa"/>
            <w:vAlign w:val="bottom"/>
            <w:shd w:val="clear" w:color="auto" w:fill="F7F7F7"/>
          </w:tcPr>
          <w:p>
            <w:pPr>
              <w:spacing w:after="0"/>
              <w:rPr>
                <w:sz w:val="24"/>
                <w:szCs w:val="24"/>
                <w:color w:val="auto"/>
              </w:rPr>
            </w:pPr>
          </w:p>
        </w:tc>
        <w:tc>
          <w:tcPr>
            <w:tcW w:w="980" w:type="dxa"/>
            <w:vAlign w:val="bottom"/>
            <w:shd w:val="clear" w:color="auto" w:fill="F7F7F7"/>
          </w:tcPr>
          <w:p>
            <w:pPr>
              <w:spacing w:after="0"/>
              <w:rPr>
                <w:sz w:val="24"/>
                <w:szCs w:val="24"/>
                <w:color w:val="auto"/>
              </w:rPr>
            </w:pPr>
          </w:p>
        </w:tc>
        <w:tc>
          <w:tcPr>
            <w:tcW w:w="1080" w:type="dxa"/>
            <w:vAlign w:val="bottom"/>
            <w:shd w:val="clear" w:color="auto" w:fill="F7F7F7"/>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1620" w:type="dxa"/>
            <w:vAlign w:val="bottom"/>
            <w:tcBorders>
              <w:bottom w:val="single" w:sz="8" w:color="auto"/>
            </w:tcBorders>
            <w:shd w:val="clear" w:color="auto" w:fill="F7F7F7"/>
          </w:tcPr>
          <w:p>
            <w:pPr>
              <w:spacing w:after="0"/>
              <w:rPr>
                <w:sz w:val="8"/>
                <w:szCs w:val="8"/>
                <w:color w:val="auto"/>
              </w:rPr>
            </w:pPr>
          </w:p>
        </w:tc>
        <w:tc>
          <w:tcPr>
            <w:tcW w:w="860" w:type="dxa"/>
            <w:vAlign w:val="bottom"/>
            <w:tcBorders>
              <w:bottom w:val="single" w:sz="8" w:color="auto"/>
            </w:tcBorders>
            <w:shd w:val="clear" w:color="auto" w:fill="F7F7F7"/>
          </w:tcPr>
          <w:p>
            <w:pPr>
              <w:spacing w:after="0"/>
              <w:rPr>
                <w:sz w:val="8"/>
                <w:szCs w:val="8"/>
                <w:color w:val="auto"/>
              </w:rPr>
            </w:pPr>
          </w:p>
        </w:tc>
        <w:tc>
          <w:tcPr>
            <w:tcW w:w="860" w:type="dxa"/>
            <w:vAlign w:val="bottom"/>
            <w:tcBorders>
              <w:bottom w:val="single" w:sz="8" w:color="auto"/>
            </w:tcBorders>
            <w:shd w:val="clear" w:color="auto" w:fill="F7F7F7"/>
          </w:tcPr>
          <w:p>
            <w:pPr>
              <w:spacing w:after="0"/>
              <w:rPr>
                <w:sz w:val="8"/>
                <w:szCs w:val="8"/>
                <w:color w:val="auto"/>
              </w:rPr>
            </w:pPr>
          </w:p>
        </w:tc>
        <w:tc>
          <w:tcPr>
            <w:tcW w:w="640" w:type="dxa"/>
            <w:vAlign w:val="bottom"/>
            <w:tcBorders>
              <w:bottom w:val="single" w:sz="8" w:color="auto"/>
            </w:tcBorders>
            <w:shd w:val="clear" w:color="auto" w:fill="F7F7F7"/>
          </w:tcPr>
          <w:p>
            <w:pPr>
              <w:spacing w:after="0"/>
              <w:rPr>
                <w:sz w:val="8"/>
                <w:szCs w:val="8"/>
                <w:color w:val="auto"/>
              </w:rPr>
            </w:pPr>
          </w:p>
        </w:tc>
        <w:tc>
          <w:tcPr>
            <w:tcW w:w="880" w:type="dxa"/>
            <w:vAlign w:val="bottom"/>
            <w:tcBorders>
              <w:bottom w:val="single" w:sz="8" w:color="auto"/>
            </w:tcBorders>
            <w:shd w:val="clear" w:color="auto" w:fill="F7F7F7"/>
          </w:tcPr>
          <w:p>
            <w:pPr>
              <w:spacing w:after="0"/>
              <w:rPr>
                <w:sz w:val="8"/>
                <w:szCs w:val="8"/>
                <w:color w:val="auto"/>
              </w:rPr>
            </w:pPr>
          </w:p>
        </w:tc>
        <w:tc>
          <w:tcPr>
            <w:tcW w:w="880" w:type="dxa"/>
            <w:vAlign w:val="bottom"/>
            <w:tcBorders>
              <w:bottom w:val="single" w:sz="8" w:color="auto"/>
            </w:tcBorders>
            <w:shd w:val="clear" w:color="auto" w:fill="F7F7F7"/>
          </w:tcPr>
          <w:p>
            <w:pPr>
              <w:spacing w:after="0"/>
              <w:rPr>
                <w:sz w:val="8"/>
                <w:szCs w:val="8"/>
                <w:color w:val="auto"/>
              </w:rPr>
            </w:pPr>
          </w:p>
        </w:tc>
        <w:tc>
          <w:tcPr>
            <w:tcW w:w="740" w:type="dxa"/>
            <w:vAlign w:val="bottom"/>
            <w:tcBorders>
              <w:bottom w:val="single" w:sz="8" w:color="auto"/>
            </w:tcBorders>
            <w:shd w:val="clear" w:color="auto" w:fill="F7F7F7"/>
          </w:tcPr>
          <w:p>
            <w:pPr>
              <w:spacing w:after="0"/>
              <w:rPr>
                <w:sz w:val="8"/>
                <w:szCs w:val="8"/>
                <w:color w:val="auto"/>
              </w:rPr>
            </w:pPr>
          </w:p>
        </w:tc>
        <w:tc>
          <w:tcPr>
            <w:tcW w:w="840" w:type="dxa"/>
            <w:vAlign w:val="bottom"/>
            <w:tcBorders>
              <w:bottom w:val="single" w:sz="8" w:color="auto"/>
            </w:tcBorders>
            <w:shd w:val="clear" w:color="auto" w:fill="F7F7F7"/>
          </w:tcPr>
          <w:p>
            <w:pPr>
              <w:spacing w:after="0"/>
              <w:rPr>
                <w:sz w:val="8"/>
                <w:szCs w:val="8"/>
                <w:color w:val="auto"/>
              </w:rPr>
            </w:pPr>
          </w:p>
        </w:tc>
        <w:tc>
          <w:tcPr>
            <w:tcW w:w="980" w:type="dxa"/>
            <w:vAlign w:val="bottom"/>
            <w:tcBorders>
              <w:bottom w:val="single" w:sz="8" w:color="auto"/>
            </w:tcBorders>
            <w:shd w:val="clear" w:color="auto" w:fill="F7F7F7"/>
          </w:tcPr>
          <w:p>
            <w:pPr>
              <w:spacing w:after="0"/>
              <w:rPr>
                <w:sz w:val="8"/>
                <w:szCs w:val="8"/>
                <w:color w:val="auto"/>
              </w:rPr>
            </w:pPr>
          </w:p>
        </w:tc>
        <w:tc>
          <w:tcPr>
            <w:tcW w:w="1080" w:type="dxa"/>
            <w:vAlign w:val="bottom"/>
            <w:tcBorders>
              <w:bottom w:val="single" w:sz="8" w:color="auto"/>
            </w:tcBorders>
            <w:shd w:val="clear" w:color="auto" w:fill="F7F7F7"/>
          </w:tcPr>
          <w:p>
            <w:pPr>
              <w:spacing w:after="0"/>
              <w:rPr>
                <w:sz w:val="8"/>
                <w:szCs w:val="8"/>
                <w:color w:val="auto"/>
              </w:rPr>
            </w:pPr>
          </w:p>
        </w:tc>
        <w:tc>
          <w:tcPr>
            <w:tcW w:w="0" w:type="dxa"/>
            <w:vAlign w:val="bottom"/>
          </w:tcPr>
          <w:p>
            <w:pPr>
              <w:spacing w:after="0"/>
              <w:rPr>
                <w:sz w:val="1"/>
                <w:szCs w:val="1"/>
                <w:color w:val="auto"/>
              </w:rPr>
            </w:pPr>
          </w:p>
        </w:tc>
      </w:tr>
      <w:tr>
        <w:trPr>
          <w:trHeight w:val="305"/>
        </w:trPr>
        <w:tc>
          <w:tcPr>
            <w:tcW w:w="1620" w:type="dxa"/>
            <w:vAlign w:val="bottom"/>
            <w:shd w:val="clear" w:color="auto" w:fill="F7F7F7"/>
          </w:tcPr>
          <w:p>
            <w:pPr>
              <w:ind w:left="160"/>
              <w:spacing w:after="0"/>
              <w:rPr>
                <w:sz w:val="20"/>
                <w:szCs w:val="20"/>
                <w:color w:val="auto"/>
              </w:rPr>
            </w:pPr>
            <w:r>
              <w:rPr>
                <w:rFonts w:ascii="Arial" w:cs="Arial" w:eastAsia="Arial" w:hAnsi="Arial"/>
                <w:sz w:val="14"/>
                <w:szCs w:val="14"/>
                <w:color w:val="auto"/>
              </w:rPr>
              <w:t>RSU</w:t>
            </w:r>
          </w:p>
        </w:tc>
        <w:tc>
          <w:tcPr>
            <w:tcW w:w="860" w:type="dxa"/>
            <w:vAlign w:val="bottom"/>
            <w:shd w:val="clear" w:color="auto" w:fill="F7F7F7"/>
          </w:tcPr>
          <w:p>
            <w:pPr>
              <w:ind w:left="100"/>
              <w:spacing w:after="0"/>
              <w:rPr>
                <w:sz w:val="20"/>
                <w:szCs w:val="20"/>
                <w:color w:val="auto"/>
              </w:rPr>
            </w:pPr>
            <w:r>
              <w:rPr>
                <w:rFonts w:ascii="Arial" w:cs="Arial" w:eastAsia="Arial" w:hAnsi="Arial"/>
                <w:sz w:val="14"/>
                <w:szCs w:val="14"/>
                <w:color w:val="auto"/>
              </w:rPr>
              <w:t>06/29/2021</w:t>
            </w:r>
          </w:p>
        </w:tc>
        <w:tc>
          <w:tcPr>
            <w:tcW w:w="860" w:type="dxa"/>
            <w:vAlign w:val="bottom"/>
            <w:shd w:val="clear" w:color="auto" w:fill="F7F7F7"/>
          </w:tcPr>
          <w:p>
            <w:pPr>
              <w:spacing w:after="0"/>
              <w:rPr>
                <w:sz w:val="24"/>
                <w:szCs w:val="24"/>
                <w:color w:val="auto"/>
              </w:rPr>
            </w:pPr>
          </w:p>
        </w:tc>
        <w:tc>
          <w:tcPr>
            <w:tcW w:w="640" w:type="dxa"/>
            <w:vAlign w:val="bottom"/>
            <w:shd w:val="clear" w:color="auto" w:fill="F7F7F7"/>
          </w:tcPr>
          <w:p>
            <w:pPr>
              <w:spacing w:after="0"/>
              <w:rPr>
                <w:sz w:val="24"/>
                <w:szCs w:val="24"/>
                <w:color w:val="auto"/>
              </w:rPr>
            </w:pPr>
          </w:p>
        </w:tc>
        <w:tc>
          <w:tcPr>
            <w:tcW w:w="880" w:type="dxa"/>
            <w:vAlign w:val="bottom"/>
            <w:shd w:val="clear" w:color="auto" w:fill="F7F7F7"/>
          </w:tcPr>
          <w:p>
            <w:pPr>
              <w:spacing w:after="0"/>
              <w:rPr>
                <w:sz w:val="24"/>
                <w:szCs w:val="24"/>
                <w:color w:val="auto"/>
              </w:rPr>
            </w:pPr>
          </w:p>
        </w:tc>
        <w:tc>
          <w:tcPr>
            <w:tcW w:w="880" w:type="dxa"/>
            <w:vAlign w:val="bottom"/>
            <w:shd w:val="clear" w:color="auto" w:fill="F7F7F7"/>
          </w:tcPr>
          <w:p>
            <w:pPr>
              <w:spacing w:after="0"/>
              <w:rPr>
                <w:sz w:val="24"/>
                <w:szCs w:val="24"/>
                <w:color w:val="auto"/>
              </w:rPr>
            </w:pPr>
          </w:p>
        </w:tc>
        <w:tc>
          <w:tcPr>
            <w:tcW w:w="740" w:type="dxa"/>
            <w:vAlign w:val="bottom"/>
            <w:shd w:val="clear" w:color="auto" w:fill="F7F7F7"/>
          </w:tcPr>
          <w:p>
            <w:pPr>
              <w:spacing w:after="0"/>
              <w:rPr>
                <w:sz w:val="24"/>
                <w:szCs w:val="24"/>
                <w:color w:val="auto"/>
              </w:rPr>
            </w:pPr>
          </w:p>
        </w:tc>
        <w:tc>
          <w:tcPr>
            <w:tcW w:w="840" w:type="dxa"/>
            <w:vAlign w:val="bottom"/>
            <w:shd w:val="clear" w:color="auto" w:fill="F7F7F7"/>
          </w:tcPr>
          <w:p>
            <w:pPr>
              <w:spacing w:after="0"/>
              <w:rPr>
                <w:sz w:val="24"/>
                <w:szCs w:val="24"/>
                <w:color w:val="auto"/>
              </w:rPr>
            </w:pPr>
          </w:p>
        </w:tc>
        <w:tc>
          <w:tcPr>
            <w:tcW w:w="980" w:type="dxa"/>
            <w:vAlign w:val="bottom"/>
            <w:shd w:val="clear" w:color="auto" w:fill="F7F7F7"/>
          </w:tcPr>
          <w:p>
            <w:pPr>
              <w:jc w:val="right"/>
              <w:ind w:right="34"/>
              <w:spacing w:after="0"/>
              <w:rPr>
                <w:sz w:val="20"/>
                <w:szCs w:val="20"/>
                <w:color w:val="auto"/>
              </w:rPr>
            </w:pPr>
            <w:r>
              <w:rPr>
                <w:rFonts w:ascii="Arial" w:cs="Arial" w:eastAsia="Arial" w:hAnsi="Arial"/>
                <w:sz w:val="14"/>
                <w:szCs w:val="14"/>
                <w:color w:val="auto"/>
              </w:rPr>
              <w:t>661,000</w:t>
            </w:r>
          </w:p>
        </w:tc>
        <w:tc>
          <w:tcPr>
            <w:tcW w:w="1080" w:type="dxa"/>
            <w:vAlign w:val="bottom"/>
            <w:shd w:val="clear" w:color="auto" w:fill="F7F7F7"/>
          </w:tcPr>
          <w:p>
            <w:pPr>
              <w:jc w:val="right"/>
              <w:ind w:right="136"/>
              <w:spacing w:after="0"/>
              <w:rPr>
                <w:sz w:val="20"/>
                <w:szCs w:val="20"/>
                <w:color w:val="auto"/>
              </w:rPr>
            </w:pPr>
            <w:r>
              <w:rPr>
                <w:rFonts w:ascii="Arial" w:cs="Arial" w:eastAsia="Arial" w:hAnsi="Arial"/>
                <w:sz w:val="14"/>
                <w:szCs w:val="14"/>
                <w:color w:val="auto"/>
              </w:rPr>
              <w:t>16,181,280</w:t>
            </w:r>
          </w:p>
        </w:tc>
        <w:tc>
          <w:tcPr>
            <w:tcW w:w="0" w:type="dxa"/>
            <w:vAlign w:val="bottom"/>
          </w:tcPr>
          <w:p>
            <w:pPr>
              <w:spacing w:after="0"/>
              <w:rPr>
                <w:sz w:val="1"/>
                <w:szCs w:val="1"/>
                <w:color w:val="auto"/>
              </w:rPr>
            </w:pPr>
          </w:p>
        </w:tc>
      </w:tr>
      <w:tr>
        <w:trPr>
          <w:trHeight w:val="93"/>
        </w:trPr>
        <w:tc>
          <w:tcPr>
            <w:tcW w:w="1620" w:type="dxa"/>
            <w:vAlign w:val="bottom"/>
            <w:tcBorders>
              <w:bottom w:val="single" w:sz="8" w:color="auto"/>
            </w:tcBorders>
            <w:shd w:val="clear" w:color="auto" w:fill="F7F7F7"/>
          </w:tcPr>
          <w:p>
            <w:pPr>
              <w:spacing w:after="0"/>
              <w:rPr>
                <w:sz w:val="8"/>
                <w:szCs w:val="8"/>
                <w:color w:val="auto"/>
              </w:rPr>
            </w:pPr>
          </w:p>
        </w:tc>
        <w:tc>
          <w:tcPr>
            <w:tcW w:w="860" w:type="dxa"/>
            <w:vAlign w:val="bottom"/>
            <w:tcBorders>
              <w:bottom w:val="single" w:sz="8" w:color="auto"/>
            </w:tcBorders>
            <w:shd w:val="clear" w:color="auto" w:fill="F7F7F7"/>
          </w:tcPr>
          <w:p>
            <w:pPr>
              <w:spacing w:after="0"/>
              <w:rPr>
                <w:sz w:val="8"/>
                <w:szCs w:val="8"/>
                <w:color w:val="auto"/>
              </w:rPr>
            </w:pPr>
          </w:p>
        </w:tc>
        <w:tc>
          <w:tcPr>
            <w:tcW w:w="860" w:type="dxa"/>
            <w:vAlign w:val="bottom"/>
            <w:tcBorders>
              <w:bottom w:val="single" w:sz="8" w:color="auto"/>
            </w:tcBorders>
            <w:shd w:val="clear" w:color="auto" w:fill="F7F7F7"/>
          </w:tcPr>
          <w:p>
            <w:pPr>
              <w:spacing w:after="0"/>
              <w:rPr>
                <w:sz w:val="8"/>
                <w:szCs w:val="8"/>
                <w:color w:val="auto"/>
              </w:rPr>
            </w:pPr>
          </w:p>
        </w:tc>
        <w:tc>
          <w:tcPr>
            <w:tcW w:w="640" w:type="dxa"/>
            <w:vAlign w:val="bottom"/>
            <w:tcBorders>
              <w:bottom w:val="single" w:sz="8" w:color="auto"/>
            </w:tcBorders>
            <w:shd w:val="clear" w:color="auto" w:fill="F7F7F7"/>
          </w:tcPr>
          <w:p>
            <w:pPr>
              <w:spacing w:after="0"/>
              <w:rPr>
                <w:sz w:val="8"/>
                <w:szCs w:val="8"/>
                <w:color w:val="auto"/>
              </w:rPr>
            </w:pPr>
          </w:p>
        </w:tc>
        <w:tc>
          <w:tcPr>
            <w:tcW w:w="880" w:type="dxa"/>
            <w:vAlign w:val="bottom"/>
            <w:tcBorders>
              <w:bottom w:val="single" w:sz="8" w:color="auto"/>
            </w:tcBorders>
            <w:shd w:val="clear" w:color="auto" w:fill="F7F7F7"/>
          </w:tcPr>
          <w:p>
            <w:pPr>
              <w:spacing w:after="0"/>
              <w:rPr>
                <w:sz w:val="8"/>
                <w:szCs w:val="8"/>
                <w:color w:val="auto"/>
              </w:rPr>
            </w:pPr>
          </w:p>
        </w:tc>
        <w:tc>
          <w:tcPr>
            <w:tcW w:w="880" w:type="dxa"/>
            <w:vAlign w:val="bottom"/>
            <w:tcBorders>
              <w:bottom w:val="single" w:sz="8" w:color="auto"/>
            </w:tcBorders>
            <w:shd w:val="clear" w:color="auto" w:fill="F7F7F7"/>
          </w:tcPr>
          <w:p>
            <w:pPr>
              <w:spacing w:after="0"/>
              <w:rPr>
                <w:sz w:val="8"/>
                <w:szCs w:val="8"/>
                <w:color w:val="auto"/>
              </w:rPr>
            </w:pPr>
          </w:p>
        </w:tc>
        <w:tc>
          <w:tcPr>
            <w:tcW w:w="740" w:type="dxa"/>
            <w:vAlign w:val="bottom"/>
            <w:tcBorders>
              <w:bottom w:val="single" w:sz="8" w:color="auto"/>
            </w:tcBorders>
            <w:shd w:val="clear" w:color="auto" w:fill="F7F7F7"/>
          </w:tcPr>
          <w:p>
            <w:pPr>
              <w:spacing w:after="0"/>
              <w:rPr>
                <w:sz w:val="8"/>
                <w:szCs w:val="8"/>
                <w:color w:val="auto"/>
              </w:rPr>
            </w:pPr>
          </w:p>
        </w:tc>
        <w:tc>
          <w:tcPr>
            <w:tcW w:w="840" w:type="dxa"/>
            <w:vAlign w:val="bottom"/>
            <w:tcBorders>
              <w:bottom w:val="single" w:sz="8" w:color="auto"/>
            </w:tcBorders>
            <w:shd w:val="clear" w:color="auto" w:fill="F7F7F7"/>
          </w:tcPr>
          <w:p>
            <w:pPr>
              <w:spacing w:after="0"/>
              <w:rPr>
                <w:sz w:val="8"/>
                <w:szCs w:val="8"/>
                <w:color w:val="auto"/>
              </w:rPr>
            </w:pPr>
          </w:p>
        </w:tc>
        <w:tc>
          <w:tcPr>
            <w:tcW w:w="980" w:type="dxa"/>
            <w:vAlign w:val="bottom"/>
            <w:tcBorders>
              <w:bottom w:val="single" w:sz="8" w:color="auto"/>
            </w:tcBorders>
            <w:shd w:val="clear" w:color="auto" w:fill="F7F7F7"/>
          </w:tcPr>
          <w:p>
            <w:pPr>
              <w:spacing w:after="0"/>
              <w:rPr>
                <w:sz w:val="8"/>
                <w:szCs w:val="8"/>
                <w:color w:val="auto"/>
              </w:rPr>
            </w:pPr>
          </w:p>
        </w:tc>
        <w:tc>
          <w:tcPr>
            <w:tcW w:w="1080" w:type="dxa"/>
            <w:vAlign w:val="bottom"/>
            <w:tcBorders>
              <w:bottom w:val="single" w:sz="8" w:color="auto"/>
            </w:tcBorders>
            <w:shd w:val="clear" w:color="auto" w:fill="F7F7F7"/>
          </w:tcPr>
          <w:p>
            <w:pPr>
              <w:spacing w:after="0"/>
              <w:rPr>
                <w:sz w:val="8"/>
                <w:szCs w:val="8"/>
                <w:color w:val="auto"/>
              </w:rPr>
            </w:pPr>
          </w:p>
        </w:tc>
        <w:tc>
          <w:tcPr>
            <w:tcW w:w="0" w:type="dxa"/>
            <w:vAlign w:val="bottom"/>
          </w:tcPr>
          <w:p>
            <w:pPr>
              <w:spacing w:after="0"/>
              <w:rPr>
                <w:sz w:val="1"/>
                <w:szCs w:val="1"/>
                <w:color w:val="auto"/>
              </w:rPr>
            </w:pPr>
          </w:p>
        </w:tc>
      </w:tr>
      <w:tr>
        <w:trPr>
          <w:trHeight w:val="305"/>
        </w:trPr>
        <w:tc>
          <w:tcPr>
            <w:tcW w:w="1620" w:type="dxa"/>
            <w:vAlign w:val="bottom"/>
          </w:tcPr>
          <w:p>
            <w:pPr>
              <w:ind w:left="160"/>
              <w:spacing w:after="0"/>
              <w:rPr>
                <w:sz w:val="20"/>
                <w:szCs w:val="20"/>
                <w:color w:val="auto"/>
              </w:rPr>
            </w:pPr>
            <w:r>
              <w:rPr>
                <w:rFonts w:ascii="Arial" w:cs="Arial" w:eastAsia="Arial" w:hAnsi="Arial"/>
                <w:sz w:val="14"/>
                <w:szCs w:val="14"/>
                <w:b w:val="1"/>
                <w:bCs w:val="1"/>
                <w:color w:val="auto"/>
              </w:rPr>
              <w:t>Eric Bach</w:t>
            </w: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16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58"/>
        </w:trPr>
        <w:tc>
          <w:tcPr>
            <w:tcW w:w="1620" w:type="dxa"/>
            <w:vAlign w:val="bottom"/>
          </w:tcPr>
          <w:p>
            <w:pPr>
              <w:ind w:left="160"/>
              <w:spacing w:after="0"/>
              <w:rPr>
                <w:sz w:val="20"/>
                <w:szCs w:val="20"/>
                <w:color w:val="auto"/>
              </w:rPr>
            </w:pPr>
            <w:r>
              <w:rPr>
                <w:rFonts w:ascii="Arial" w:cs="Arial" w:eastAsia="Arial" w:hAnsi="Arial"/>
                <w:sz w:val="14"/>
                <w:szCs w:val="14"/>
                <w:color w:val="auto"/>
              </w:rPr>
              <w:t>2021 Annual Bonus</w:t>
            </w:r>
            <w:r>
              <w:rPr>
                <w:rFonts w:ascii="Arial" w:cs="Arial" w:eastAsia="Arial" w:hAnsi="Arial"/>
                <w:sz w:val="17"/>
                <w:szCs w:val="17"/>
                <w:color w:val="auto"/>
                <w:vertAlign w:val="superscript"/>
              </w:rPr>
              <w:t>(1)</w:t>
            </w:r>
          </w:p>
        </w:tc>
        <w:tc>
          <w:tcPr>
            <w:tcW w:w="860" w:type="dxa"/>
            <w:vAlign w:val="bottom"/>
          </w:tcPr>
          <w:p>
            <w:pPr>
              <w:spacing w:after="0"/>
              <w:rPr>
                <w:sz w:val="24"/>
                <w:szCs w:val="24"/>
                <w:color w:val="auto"/>
              </w:rPr>
            </w:pPr>
          </w:p>
        </w:tc>
        <w:tc>
          <w:tcPr>
            <w:tcW w:w="860" w:type="dxa"/>
            <w:vAlign w:val="bottom"/>
          </w:tcPr>
          <w:p>
            <w:pPr>
              <w:jc w:val="right"/>
              <w:ind w:right="113"/>
              <w:spacing w:after="0"/>
              <w:rPr>
                <w:sz w:val="20"/>
                <w:szCs w:val="20"/>
                <w:color w:val="auto"/>
              </w:rPr>
            </w:pPr>
            <w:r>
              <w:rPr>
                <w:rFonts w:ascii="Arial" w:cs="Arial" w:eastAsia="Arial" w:hAnsi="Arial"/>
                <w:sz w:val="14"/>
                <w:szCs w:val="14"/>
                <w:color w:val="auto"/>
              </w:rPr>
              <w:t>56,250</w:t>
            </w:r>
          </w:p>
        </w:tc>
        <w:tc>
          <w:tcPr>
            <w:tcW w:w="640" w:type="dxa"/>
            <w:vAlign w:val="bottom"/>
          </w:tcPr>
          <w:p>
            <w:pPr>
              <w:jc w:val="right"/>
              <w:spacing w:after="0"/>
              <w:rPr>
                <w:sz w:val="20"/>
                <w:szCs w:val="20"/>
                <w:color w:val="auto"/>
              </w:rPr>
            </w:pPr>
            <w:r>
              <w:rPr>
                <w:rFonts w:ascii="Arial" w:cs="Arial" w:eastAsia="Arial" w:hAnsi="Arial"/>
                <w:sz w:val="14"/>
                <w:szCs w:val="14"/>
                <w:color w:val="auto"/>
              </w:rPr>
              <w:t>225,000</w:t>
            </w:r>
          </w:p>
        </w:tc>
        <w:tc>
          <w:tcPr>
            <w:tcW w:w="880" w:type="dxa"/>
            <w:vAlign w:val="bottom"/>
          </w:tcPr>
          <w:p>
            <w:pPr>
              <w:jc w:val="center"/>
              <w:spacing w:after="0"/>
              <w:rPr>
                <w:sz w:val="20"/>
                <w:szCs w:val="20"/>
                <w:color w:val="auto"/>
              </w:rPr>
            </w:pPr>
            <w:r>
              <w:rPr>
                <w:rFonts w:ascii="Arial" w:cs="Arial" w:eastAsia="Arial" w:hAnsi="Arial"/>
                <w:sz w:val="14"/>
                <w:szCs w:val="14"/>
                <w:color w:val="auto"/>
              </w:rPr>
              <w:t>393,750</w:t>
            </w: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6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1620" w:type="dxa"/>
            <w:vAlign w:val="bottom"/>
          </w:tcPr>
          <w:p>
            <w:pPr>
              <w:ind w:left="160"/>
              <w:spacing w:after="0"/>
              <w:rPr>
                <w:sz w:val="20"/>
                <w:szCs w:val="20"/>
                <w:color w:val="auto"/>
              </w:rPr>
            </w:pPr>
            <w:r>
              <w:rPr>
                <w:rFonts w:ascii="Arial" w:cs="Arial" w:eastAsia="Arial" w:hAnsi="Arial"/>
                <w:sz w:val="14"/>
                <w:szCs w:val="14"/>
                <w:color w:val="auto"/>
              </w:rPr>
              <w:t>RSU</w:t>
            </w:r>
          </w:p>
        </w:tc>
        <w:tc>
          <w:tcPr>
            <w:tcW w:w="860" w:type="dxa"/>
            <w:vAlign w:val="bottom"/>
          </w:tcPr>
          <w:p>
            <w:pPr>
              <w:ind w:left="100"/>
              <w:spacing w:after="0"/>
              <w:rPr>
                <w:sz w:val="20"/>
                <w:szCs w:val="20"/>
                <w:color w:val="auto"/>
              </w:rPr>
            </w:pPr>
            <w:r>
              <w:rPr>
                <w:rFonts w:ascii="Arial" w:cs="Arial" w:eastAsia="Arial" w:hAnsi="Arial"/>
                <w:sz w:val="14"/>
                <w:szCs w:val="14"/>
                <w:color w:val="auto"/>
              </w:rPr>
              <w:t>02/22/2021</w:t>
            </w: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jc w:val="right"/>
              <w:ind w:right="34"/>
              <w:spacing w:after="0"/>
              <w:rPr>
                <w:sz w:val="20"/>
                <w:szCs w:val="20"/>
                <w:color w:val="auto"/>
              </w:rPr>
            </w:pPr>
            <w:r>
              <w:rPr>
                <w:rFonts w:ascii="Arial" w:cs="Arial" w:eastAsia="Arial" w:hAnsi="Arial"/>
                <w:sz w:val="14"/>
                <w:szCs w:val="14"/>
                <w:color w:val="auto"/>
              </w:rPr>
              <w:t>661,000</w:t>
            </w:r>
          </w:p>
        </w:tc>
        <w:tc>
          <w:tcPr>
            <w:tcW w:w="1080" w:type="dxa"/>
            <w:vAlign w:val="bottom"/>
          </w:tcPr>
          <w:p>
            <w:pPr>
              <w:jc w:val="right"/>
              <w:ind w:right="136"/>
              <w:spacing w:after="0"/>
              <w:rPr>
                <w:sz w:val="20"/>
                <w:szCs w:val="20"/>
                <w:color w:val="auto"/>
              </w:rPr>
            </w:pPr>
            <w:r>
              <w:rPr>
                <w:rFonts w:ascii="Arial" w:cs="Arial" w:eastAsia="Arial" w:hAnsi="Arial"/>
                <w:sz w:val="14"/>
                <w:szCs w:val="14"/>
                <w:color w:val="auto"/>
              </w:rPr>
              <w:t>10,000,930</w:t>
            </w:r>
          </w:p>
        </w:tc>
        <w:tc>
          <w:tcPr>
            <w:tcW w:w="0" w:type="dxa"/>
            <w:vAlign w:val="bottom"/>
          </w:tcPr>
          <w:p>
            <w:pPr>
              <w:spacing w:after="0"/>
              <w:rPr>
                <w:sz w:val="1"/>
                <w:szCs w:val="1"/>
                <w:color w:val="auto"/>
              </w:rPr>
            </w:pPr>
          </w:p>
        </w:tc>
      </w:tr>
      <w:tr>
        <w:trPr>
          <w:trHeight w:val="93"/>
        </w:trPr>
        <w:tc>
          <w:tcPr>
            <w:tcW w:w="16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6"/>
        </w:trPr>
        <w:tc>
          <w:tcPr>
            <w:tcW w:w="1620" w:type="dxa"/>
            <w:vAlign w:val="bottom"/>
            <w:shd w:val="clear" w:color="auto" w:fill="F7F7F7"/>
          </w:tcPr>
          <w:p>
            <w:pPr>
              <w:ind w:left="160"/>
              <w:spacing w:after="0"/>
              <w:rPr>
                <w:sz w:val="20"/>
                <w:szCs w:val="20"/>
                <w:color w:val="auto"/>
              </w:rPr>
            </w:pPr>
            <w:r>
              <w:rPr>
                <w:rFonts w:ascii="Arial" w:cs="Arial" w:eastAsia="Arial" w:hAnsi="Arial"/>
                <w:sz w:val="14"/>
                <w:szCs w:val="14"/>
                <w:b w:val="1"/>
                <w:bCs w:val="1"/>
                <w:color w:val="auto"/>
              </w:rPr>
              <w:t>Michael Bell</w:t>
            </w:r>
          </w:p>
        </w:tc>
        <w:tc>
          <w:tcPr>
            <w:tcW w:w="860" w:type="dxa"/>
            <w:vAlign w:val="bottom"/>
            <w:shd w:val="clear" w:color="auto" w:fill="F7F7F7"/>
          </w:tcPr>
          <w:p>
            <w:pPr>
              <w:spacing w:after="0"/>
              <w:rPr>
                <w:sz w:val="24"/>
                <w:szCs w:val="24"/>
                <w:color w:val="auto"/>
              </w:rPr>
            </w:pPr>
          </w:p>
        </w:tc>
        <w:tc>
          <w:tcPr>
            <w:tcW w:w="860" w:type="dxa"/>
            <w:vAlign w:val="bottom"/>
            <w:shd w:val="clear" w:color="auto" w:fill="F7F7F7"/>
          </w:tcPr>
          <w:p>
            <w:pPr>
              <w:spacing w:after="0"/>
              <w:rPr>
                <w:sz w:val="24"/>
                <w:szCs w:val="24"/>
                <w:color w:val="auto"/>
              </w:rPr>
            </w:pPr>
          </w:p>
        </w:tc>
        <w:tc>
          <w:tcPr>
            <w:tcW w:w="640" w:type="dxa"/>
            <w:vAlign w:val="bottom"/>
            <w:shd w:val="clear" w:color="auto" w:fill="F7F7F7"/>
          </w:tcPr>
          <w:p>
            <w:pPr>
              <w:spacing w:after="0"/>
              <w:rPr>
                <w:sz w:val="24"/>
                <w:szCs w:val="24"/>
                <w:color w:val="auto"/>
              </w:rPr>
            </w:pPr>
          </w:p>
        </w:tc>
        <w:tc>
          <w:tcPr>
            <w:tcW w:w="880" w:type="dxa"/>
            <w:vAlign w:val="bottom"/>
            <w:shd w:val="clear" w:color="auto" w:fill="F7F7F7"/>
          </w:tcPr>
          <w:p>
            <w:pPr>
              <w:spacing w:after="0"/>
              <w:rPr>
                <w:sz w:val="24"/>
                <w:szCs w:val="24"/>
                <w:color w:val="auto"/>
              </w:rPr>
            </w:pPr>
          </w:p>
        </w:tc>
        <w:tc>
          <w:tcPr>
            <w:tcW w:w="880" w:type="dxa"/>
            <w:vAlign w:val="bottom"/>
            <w:shd w:val="clear" w:color="auto" w:fill="F7F7F7"/>
          </w:tcPr>
          <w:p>
            <w:pPr>
              <w:spacing w:after="0"/>
              <w:rPr>
                <w:sz w:val="24"/>
                <w:szCs w:val="24"/>
                <w:color w:val="auto"/>
              </w:rPr>
            </w:pPr>
          </w:p>
        </w:tc>
        <w:tc>
          <w:tcPr>
            <w:tcW w:w="740" w:type="dxa"/>
            <w:vAlign w:val="bottom"/>
            <w:shd w:val="clear" w:color="auto" w:fill="F7F7F7"/>
          </w:tcPr>
          <w:p>
            <w:pPr>
              <w:spacing w:after="0"/>
              <w:rPr>
                <w:sz w:val="24"/>
                <w:szCs w:val="24"/>
                <w:color w:val="auto"/>
              </w:rPr>
            </w:pPr>
          </w:p>
        </w:tc>
        <w:tc>
          <w:tcPr>
            <w:tcW w:w="840" w:type="dxa"/>
            <w:vAlign w:val="bottom"/>
            <w:shd w:val="clear" w:color="auto" w:fill="F7F7F7"/>
          </w:tcPr>
          <w:p>
            <w:pPr>
              <w:spacing w:after="0"/>
              <w:rPr>
                <w:sz w:val="24"/>
                <w:szCs w:val="24"/>
                <w:color w:val="auto"/>
              </w:rPr>
            </w:pPr>
          </w:p>
        </w:tc>
        <w:tc>
          <w:tcPr>
            <w:tcW w:w="980" w:type="dxa"/>
            <w:vAlign w:val="bottom"/>
            <w:shd w:val="clear" w:color="auto" w:fill="F7F7F7"/>
          </w:tcPr>
          <w:p>
            <w:pPr>
              <w:spacing w:after="0"/>
              <w:rPr>
                <w:sz w:val="24"/>
                <w:szCs w:val="24"/>
                <w:color w:val="auto"/>
              </w:rPr>
            </w:pPr>
          </w:p>
        </w:tc>
        <w:tc>
          <w:tcPr>
            <w:tcW w:w="1080" w:type="dxa"/>
            <w:vAlign w:val="bottom"/>
            <w:shd w:val="clear" w:color="auto" w:fill="F7F7F7"/>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1620" w:type="dxa"/>
            <w:vAlign w:val="bottom"/>
            <w:tcBorders>
              <w:bottom w:val="single" w:sz="8" w:color="auto"/>
            </w:tcBorders>
            <w:shd w:val="clear" w:color="auto" w:fill="F7F7F7"/>
          </w:tcPr>
          <w:p>
            <w:pPr>
              <w:spacing w:after="0"/>
              <w:rPr>
                <w:sz w:val="8"/>
                <w:szCs w:val="8"/>
                <w:color w:val="auto"/>
              </w:rPr>
            </w:pPr>
          </w:p>
        </w:tc>
        <w:tc>
          <w:tcPr>
            <w:tcW w:w="860" w:type="dxa"/>
            <w:vAlign w:val="bottom"/>
            <w:tcBorders>
              <w:bottom w:val="single" w:sz="8" w:color="auto"/>
            </w:tcBorders>
            <w:shd w:val="clear" w:color="auto" w:fill="F7F7F7"/>
          </w:tcPr>
          <w:p>
            <w:pPr>
              <w:spacing w:after="0"/>
              <w:rPr>
                <w:sz w:val="8"/>
                <w:szCs w:val="8"/>
                <w:color w:val="auto"/>
              </w:rPr>
            </w:pPr>
          </w:p>
        </w:tc>
        <w:tc>
          <w:tcPr>
            <w:tcW w:w="860" w:type="dxa"/>
            <w:vAlign w:val="bottom"/>
            <w:tcBorders>
              <w:bottom w:val="single" w:sz="8" w:color="auto"/>
            </w:tcBorders>
            <w:shd w:val="clear" w:color="auto" w:fill="F7F7F7"/>
          </w:tcPr>
          <w:p>
            <w:pPr>
              <w:spacing w:after="0"/>
              <w:rPr>
                <w:sz w:val="8"/>
                <w:szCs w:val="8"/>
                <w:color w:val="auto"/>
              </w:rPr>
            </w:pPr>
          </w:p>
        </w:tc>
        <w:tc>
          <w:tcPr>
            <w:tcW w:w="640" w:type="dxa"/>
            <w:vAlign w:val="bottom"/>
            <w:tcBorders>
              <w:bottom w:val="single" w:sz="8" w:color="auto"/>
            </w:tcBorders>
            <w:shd w:val="clear" w:color="auto" w:fill="F7F7F7"/>
          </w:tcPr>
          <w:p>
            <w:pPr>
              <w:spacing w:after="0"/>
              <w:rPr>
                <w:sz w:val="8"/>
                <w:szCs w:val="8"/>
                <w:color w:val="auto"/>
              </w:rPr>
            </w:pPr>
          </w:p>
        </w:tc>
        <w:tc>
          <w:tcPr>
            <w:tcW w:w="880" w:type="dxa"/>
            <w:vAlign w:val="bottom"/>
            <w:tcBorders>
              <w:bottom w:val="single" w:sz="8" w:color="auto"/>
            </w:tcBorders>
            <w:shd w:val="clear" w:color="auto" w:fill="F7F7F7"/>
          </w:tcPr>
          <w:p>
            <w:pPr>
              <w:spacing w:after="0"/>
              <w:rPr>
                <w:sz w:val="8"/>
                <w:szCs w:val="8"/>
                <w:color w:val="auto"/>
              </w:rPr>
            </w:pPr>
          </w:p>
        </w:tc>
        <w:tc>
          <w:tcPr>
            <w:tcW w:w="880" w:type="dxa"/>
            <w:vAlign w:val="bottom"/>
            <w:tcBorders>
              <w:bottom w:val="single" w:sz="8" w:color="auto"/>
            </w:tcBorders>
            <w:shd w:val="clear" w:color="auto" w:fill="F7F7F7"/>
          </w:tcPr>
          <w:p>
            <w:pPr>
              <w:spacing w:after="0"/>
              <w:rPr>
                <w:sz w:val="8"/>
                <w:szCs w:val="8"/>
                <w:color w:val="auto"/>
              </w:rPr>
            </w:pPr>
          </w:p>
        </w:tc>
        <w:tc>
          <w:tcPr>
            <w:tcW w:w="740" w:type="dxa"/>
            <w:vAlign w:val="bottom"/>
            <w:tcBorders>
              <w:bottom w:val="single" w:sz="8" w:color="auto"/>
            </w:tcBorders>
            <w:shd w:val="clear" w:color="auto" w:fill="F7F7F7"/>
          </w:tcPr>
          <w:p>
            <w:pPr>
              <w:spacing w:after="0"/>
              <w:rPr>
                <w:sz w:val="8"/>
                <w:szCs w:val="8"/>
                <w:color w:val="auto"/>
              </w:rPr>
            </w:pPr>
          </w:p>
        </w:tc>
        <w:tc>
          <w:tcPr>
            <w:tcW w:w="840" w:type="dxa"/>
            <w:vAlign w:val="bottom"/>
            <w:tcBorders>
              <w:bottom w:val="single" w:sz="8" w:color="auto"/>
            </w:tcBorders>
            <w:shd w:val="clear" w:color="auto" w:fill="F7F7F7"/>
          </w:tcPr>
          <w:p>
            <w:pPr>
              <w:spacing w:after="0"/>
              <w:rPr>
                <w:sz w:val="8"/>
                <w:szCs w:val="8"/>
                <w:color w:val="auto"/>
              </w:rPr>
            </w:pPr>
          </w:p>
        </w:tc>
        <w:tc>
          <w:tcPr>
            <w:tcW w:w="980" w:type="dxa"/>
            <w:vAlign w:val="bottom"/>
            <w:tcBorders>
              <w:bottom w:val="single" w:sz="8" w:color="auto"/>
            </w:tcBorders>
            <w:shd w:val="clear" w:color="auto" w:fill="F7F7F7"/>
          </w:tcPr>
          <w:p>
            <w:pPr>
              <w:spacing w:after="0"/>
              <w:rPr>
                <w:sz w:val="8"/>
                <w:szCs w:val="8"/>
                <w:color w:val="auto"/>
              </w:rPr>
            </w:pPr>
          </w:p>
        </w:tc>
        <w:tc>
          <w:tcPr>
            <w:tcW w:w="1080" w:type="dxa"/>
            <w:vAlign w:val="bottom"/>
            <w:tcBorders>
              <w:bottom w:val="single" w:sz="8" w:color="auto"/>
            </w:tcBorders>
            <w:shd w:val="clear" w:color="auto" w:fill="F7F7F7"/>
          </w:tcPr>
          <w:p>
            <w:pPr>
              <w:spacing w:after="0"/>
              <w:rPr>
                <w:sz w:val="8"/>
                <w:szCs w:val="8"/>
                <w:color w:val="auto"/>
              </w:rPr>
            </w:pPr>
          </w:p>
        </w:tc>
        <w:tc>
          <w:tcPr>
            <w:tcW w:w="0" w:type="dxa"/>
            <w:vAlign w:val="bottom"/>
          </w:tcPr>
          <w:p>
            <w:pPr>
              <w:spacing w:after="0"/>
              <w:rPr>
                <w:sz w:val="1"/>
                <w:szCs w:val="1"/>
                <w:color w:val="auto"/>
              </w:rPr>
            </w:pPr>
          </w:p>
        </w:tc>
      </w:tr>
      <w:tr>
        <w:trPr>
          <w:trHeight w:val="305"/>
        </w:trPr>
        <w:tc>
          <w:tcPr>
            <w:tcW w:w="1620" w:type="dxa"/>
            <w:vAlign w:val="bottom"/>
            <w:shd w:val="clear" w:color="auto" w:fill="F7F7F7"/>
          </w:tcPr>
          <w:p>
            <w:pPr>
              <w:ind w:left="160"/>
              <w:spacing w:after="0"/>
              <w:rPr>
                <w:sz w:val="20"/>
                <w:szCs w:val="20"/>
                <w:color w:val="auto"/>
              </w:rPr>
            </w:pPr>
            <w:r>
              <w:rPr>
                <w:rFonts w:ascii="Arial" w:cs="Arial" w:eastAsia="Arial" w:hAnsi="Arial"/>
                <w:sz w:val="14"/>
                <w:szCs w:val="14"/>
                <w:color w:val="auto"/>
              </w:rPr>
              <w:t>2021 Annual Bonus</w:t>
            </w:r>
          </w:p>
        </w:tc>
        <w:tc>
          <w:tcPr>
            <w:tcW w:w="860" w:type="dxa"/>
            <w:vAlign w:val="bottom"/>
            <w:shd w:val="clear" w:color="auto" w:fill="F7F7F7"/>
          </w:tcPr>
          <w:p>
            <w:pPr>
              <w:spacing w:after="0"/>
              <w:rPr>
                <w:sz w:val="24"/>
                <w:szCs w:val="24"/>
                <w:color w:val="auto"/>
              </w:rPr>
            </w:pPr>
          </w:p>
        </w:tc>
        <w:tc>
          <w:tcPr>
            <w:tcW w:w="860" w:type="dxa"/>
            <w:vAlign w:val="bottom"/>
            <w:shd w:val="clear" w:color="auto" w:fill="F7F7F7"/>
          </w:tcPr>
          <w:p>
            <w:pPr>
              <w:jc w:val="right"/>
              <w:ind w:right="113"/>
              <w:spacing w:after="0"/>
              <w:rPr>
                <w:sz w:val="20"/>
                <w:szCs w:val="20"/>
                <w:color w:val="auto"/>
              </w:rPr>
            </w:pPr>
            <w:r>
              <w:rPr>
                <w:rFonts w:ascii="Arial" w:cs="Arial" w:eastAsia="Arial" w:hAnsi="Arial"/>
                <w:sz w:val="14"/>
                <w:szCs w:val="14"/>
                <w:color w:val="auto"/>
              </w:rPr>
              <w:t>53,563</w:t>
            </w:r>
          </w:p>
        </w:tc>
        <w:tc>
          <w:tcPr>
            <w:tcW w:w="640" w:type="dxa"/>
            <w:vAlign w:val="bottom"/>
            <w:shd w:val="clear" w:color="auto" w:fill="F7F7F7"/>
          </w:tcPr>
          <w:p>
            <w:pPr>
              <w:jc w:val="right"/>
              <w:spacing w:after="0"/>
              <w:rPr>
                <w:sz w:val="20"/>
                <w:szCs w:val="20"/>
                <w:color w:val="auto"/>
              </w:rPr>
            </w:pPr>
            <w:r>
              <w:rPr>
                <w:rFonts w:ascii="Arial" w:cs="Arial" w:eastAsia="Arial" w:hAnsi="Arial"/>
                <w:sz w:val="14"/>
                <w:szCs w:val="14"/>
                <w:color w:val="auto"/>
              </w:rPr>
              <w:t>214,250</w:t>
            </w:r>
          </w:p>
        </w:tc>
        <w:tc>
          <w:tcPr>
            <w:tcW w:w="880" w:type="dxa"/>
            <w:vAlign w:val="bottom"/>
            <w:shd w:val="clear" w:color="auto" w:fill="F7F7F7"/>
          </w:tcPr>
          <w:p>
            <w:pPr>
              <w:jc w:val="center"/>
              <w:spacing w:after="0"/>
              <w:rPr>
                <w:sz w:val="20"/>
                <w:szCs w:val="20"/>
                <w:color w:val="auto"/>
              </w:rPr>
            </w:pPr>
            <w:r>
              <w:rPr>
                <w:rFonts w:ascii="Arial" w:cs="Arial" w:eastAsia="Arial" w:hAnsi="Arial"/>
                <w:sz w:val="14"/>
                <w:szCs w:val="14"/>
                <w:color w:val="auto"/>
              </w:rPr>
              <w:t>374,938</w:t>
            </w:r>
          </w:p>
        </w:tc>
        <w:tc>
          <w:tcPr>
            <w:tcW w:w="880" w:type="dxa"/>
            <w:vAlign w:val="bottom"/>
            <w:shd w:val="clear" w:color="auto" w:fill="F7F7F7"/>
          </w:tcPr>
          <w:p>
            <w:pPr>
              <w:spacing w:after="0"/>
              <w:rPr>
                <w:sz w:val="24"/>
                <w:szCs w:val="24"/>
                <w:color w:val="auto"/>
              </w:rPr>
            </w:pPr>
          </w:p>
        </w:tc>
        <w:tc>
          <w:tcPr>
            <w:tcW w:w="740" w:type="dxa"/>
            <w:vAlign w:val="bottom"/>
            <w:shd w:val="clear" w:color="auto" w:fill="F7F7F7"/>
          </w:tcPr>
          <w:p>
            <w:pPr>
              <w:spacing w:after="0"/>
              <w:rPr>
                <w:sz w:val="24"/>
                <w:szCs w:val="24"/>
                <w:color w:val="auto"/>
              </w:rPr>
            </w:pPr>
          </w:p>
        </w:tc>
        <w:tc>
          <w:tcPr>
            <w:tcW w:w="840" w:type="dxa"/>
            <w:vAlign w:val="bottom"/>
            <w:shd w:val="clear" w:color="auto" w:fill="F7F7F7"/>
          </w:tcPr>
          <w:p>
            <w:pPr>
              <w:spacing w:after="0"/>
              <w:rPr>
                <w:sz w:val="24"/>
                <w:szCs w:val="24"/>
                <w:color w:val="auto"/>
              </w:rPr>
            </w:pPr>
          </w:p>
        </w:tc>
        <w:tc>
          <w:tcPr>
            <w:tcW w:w="980" w:type="dxa"/>
            <w:vAlign w:val="bottom"/>
            <w:shd w:val="clear" w:color="auto" w:fill="F7F7F7"/>
          </w:tcPr>
          <w:p>
            <w:pPr>
              <w:spacing w:after="0"/>
              <w:rPr>
                <w:sz w:val="24"/>
                <w:szCs w:val="24"/>
                <w:color w:val="auto"/>
              </w:rPr>
            </w:pPr>
          </w:p>
        </w:tc>
        <w:tc>
          <w:tcPr>
            <w:tcW w:w="1080" w:type="dxa"/>
            <w:vAlign w:val="bottom"/>
            <w:shd w:val="clear" w:color="auto" w:fill="F7F7F7"/>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1620" w:type="dxa"/>
            <w:vAlign w:val="bottom"/>
            <w:tcBorders>
              <w:bottom w:val="single" w:sz="8" w:color="auto"/>
            </w:tcBorders>
            <w:shd w:val="clear" w:color="auto" w:fill="F7F7F7"/>
          </w:tcPr>
          <w:p>
            <w:pPr>
              <w:spacing w:after="0"/>
              <w:rPr>
                <w:sz w:val="8"/>
                <w:szCs w:val="8"/>
                <w:color w:val="auto"/>
              </w:rPr>
            </w:pPr>
          </w:p>
        </w:tc>
        <w:tc>
          <w:tcPr>
            <w:tcW w:w="860" w:type="dxa"/>
            <w:vAlign w:val="bottom"/>
            <w:tcBorders>
              <w:bottom w:val="single" w:sz="8" w:color="auto"/>
            </w:tcBorders>
            <w:shd w:val="clear" w:color="auto" w:fill="F7F7F7"/>
          </w:tcPr>
          <w:p>
            <w:pPr>
              <w:spacing w:after="0"/>
              <w:rPr>
                <w:sz w:val="8"/>
                <w:szCs w:val="8"/>
                <w:color w:val="auto"/>
              </w:rPr>
            </w:pPr>
          </w:p>
        </w:tc>
        <w:tc>
          <w:tcPr>
            <w:tcW w:w="860" w:type="dxa"/>
            <w:vAlign w:val="bottom"/>
            <w:tcBorders>
              <w:bottom w:val="single" w:sz="8" w:color="auto"/>
            </w:tcBorders>
            <w:shd w:val="clear" w:color="auto" w:fill="F7F7F7"/>
          </w:tcPr>
          <w:p>
            <w:pPr>
              <w:spacing w:after="0"/>
              <w:rPr>
                <w:sz w:val="8"/>
                <w:szCs w:val="8"/>
                <w:color w:val="auto"/>
              </w:rPr>
            </w:pPr>
          </w:p>
        </w:tc>
        <w:tc>
          <w:tcPr>
            <w:tcW w:w="640" w:type="dxa"/>
            <w:vAlign w:val="bottom"/>
            <w:tcBorders>
              <w:bottom w:val="single" w:sz="8" w:color="auto"/>
            </w:tcBorders>
            <w:shd w:val="clear" w:color="auto" w:fill="F7F7F7"/>
          </w:tcPr>
          <w:p>
            <w:pPr>
              <w:spacing w:after="0"/>
              <w:rPr>
                <w:sz w:val="8"/>
                <w:szCs w:val="8"/>
                <w:color w:val="auto"/>
              </w:rPr>
            </w:pPr>
          </w:p>
        </w:tc>
        <w:tc>
          <w:tcPr>
            <w:tcW w:w="880" w:type="dxa"/>
            <w:vAlign w:val="bottom"/>
            <w:tcBorders>
              <w:bottom w:val="single" w:sz="8" w:color="auto"/>
            </w:tcBorders>
            <w:shd w:val="clear" w:color="auto" w:fill="F7F7F7"/>
          </w:tcPr>
          <w:p>
            <w:pPr>
              <w:spacing w:after="0"/>
              <w:rPr>
                <w:sz w:val="8"/>
                <w:szCs w:val="8"/>
                <w:color w:val="auto"/>
              </w:rPr>
            </w:pPr>
          </w:p>
        </w:tc>
        <w:tc>
          <w:tcPr>
            <w:tcW w:w="880" w:type="dxa"/>
            <w:vAlign w:val="bottom"/>
            <w:tcBorders>
              <w:bottom w:val="single" w:sz="8" w:color="auto"/>
            </w:tcBorders>
            <w:shd w:val="clear" w:color="auto" w:fill="F7F7F7"/>
          </w:tcPr>
          <w:p>
            <w:pPr>
              <w:spacing w:after="0"/>
              <w:rPr>
                <w:sz w:val="8"/>
                <w:szCs w:val="8"/>
                <w:color w:val="auto"/>
              </w:rPr>
            </w:pPr>
          </w:p>
        </w:tc>
        <w:tc>
          <w:tcPr>
            <w:tcW w:w="740" w:type="dxa"/>
            <w:vAlign w:val="bottom"/>
            <w:tcBorders>
              <w:bottom w:val="single" w:sz="8" w:color="auto"/>
            </w:tcBorders>
            <w:shd w:val="clear" w:color="auto" w:fill="F7F7F7"/>
          </w:tcPr>
          <w:p>
            <w:pPr>
              <w:spacing w:after="0"/>
              <w:rPr>
                <w:sz w:val="8"/>
                <w:szCs w:val="8"/>
                <w:color w:val="auto"/>
              </w:rPr>
            </w:pPr>
          </w:p>
        </w:tc>
        <w:tc>
          <w:tcPr>
            <w:tcW w:w="840" w:type="dxa"/>
            <w:vAlign w:val="bottom"/>
            <w:tcBorders>
              <w:bottom w:val="single" w:sz="8" w:color="auto"/>
            </w:tcBorders>
            <w:shd w:val="clear" w:color="auto" w:fill="F7F7F7"/>
          </w:tcPr>
          <w:p>
            <w:pPr>
              <w:spacing w:after="0"/>
              <w:rPr>
                <w:sz w:val="8"/>
                <w:szCs w:val="8"/>
                <w:color w:val="auto"/>
              </w:rPr>
            </w:pPr>
          </w:p>
        </w:tc>
        <w:tc>
          <w:tcPr>
            <w:tcW w:w="980" w:type="dxa"/>
            <w:vAlign w:val="bottom"/>
            <w:tcBorders>
              <w:bottom w:val="single" w:sz="8" w:color="auto"/>
            </w:tcBorders>
            <w:shd w:val="clear" w:color="auto" w:fill="F7F7F7"/>
          </w:tcPr>
          <w:p>
            <w:pPr>
              <w:spacing w:after="0"/>
              <w:rPr>
                <w:sz w:val="8"/>
                <w:szCs w:val="8"/>
                <w:color w:val="auto"/>
              </w:rPr>
            </w:pPr>
          </w:p>
        </w:tc>
        <w:tc>
          <w:tcPr>
            <w:tcW w:w="1080" w:type="dxa"/>
            <w:vAlign w:val="bottom"/>
            <w:tcBorders>
              <w:bottom w:val="single" w:sz="8" w:color="auto"/>
            </w:tcBorders>
            <w:shd w:val="clear" w:color="auto" w:fill="F7F7F7"/>
          </w:tcPr>
          <w:p>
            <w:pPr>
              <w:spacing w:after="0"/>
              <w:rPr>
                <w:sz w:val="8"/>
                <w:szCs w:val="8"/>
                <w:color w:val="auto"/>
              </w:rPr>
            </w:pPr>
          </w:p>
        </w:tc>
        <w:tc>
          <w:tcPr>
            <w:tcW w:w="0" w:type="dxa"/>
            <w:vAlign w:val="bottom"/>
          </w:tcPr>
          <w:p>
            <w:pPr>
              <w:spacing w:after="0"/>
              <w:rPr>
                <w:sz w:val="1"/>
                <w:szCs w:val="1"/>
                <w:color w:val="auto"/>
              </w:rPr>
            </w:pPr>
          </w:p>
        </w:tc>
      </w:tr>
      <w:tr>
        <w:trPr>
          <w:trHeight w:val="305"/>
        </w:trPr>
        <w:tc>
          <w:tcPr>
            <w:tcW w:w="1620" w:type="dxa"/>
            <w:vAlign w:val="bottom"/>
            <w:shd w:val="clear" w:color="auto" w:fill="F7F7F7"/>
          </w:tcPr>
          <w:p>
            <w:pPr>
              <w:ind w:left="160"/>
              <w:spacing w:after="0"/>
              <w:rPr>
                <w:sz w:val="20"/>
                <w:szCs w:val="20"/>
                <w:color w:val="auto"/>
              </w:rPr>
            </w:pPr>
            <w:r>
              <w:rPr>
                <w:rFonts w:ascii="Arial" w:cs="Arial" w:eastAsia="Arial" w:hAnsi="Arial"/>
                <w:sz w:val="14"/>
                <w:szCs w:val="14"/>
                <w:color w:val="auto"/>
              </w:rPr>
              <w:t>RSU</w:t>
            </w:r>
          </w:p>
        </w:tc>
        <w:tc>
          <w:tcPr>
            <w:tcW w:w="860" w:type="dxa"/>
            <w:vAlign w:val="bottom"/>
            <w:shd w:val="clear" w:color="auto" w:fill="F7F7F7"/>
          </w:tcPr>
          <w:p>
            <w:pPr>
              <w:ind w:left="100"/>
              <w:spacing w:after="0"/>
              <w:rPr>
                <w:sz w:val="20"/>
                <w:szCs w:val="20"/>
                <w:color w:val="auto"/>
              </w:rPr>
            </w:pPr>
            <w:r>
              <w:rPr>
                <w:rFonts w:ascii="Arial" w:cs="Arial" w:eastAsia="Arial" w:hAnsi="Arial"/>
                <w:sz w:val="14"/>
                <w:szCs w:val="14"/>
                <w:color w:val="auto"/>
              </w:rPr>
              <w:t>02/22/2021</w:t>
            </w:r>
          </w:p>
        </w:tc>
        <w:tc>
          <w:tcPr>
            <w:tcW w:w="860" w:type="dxa"/>
            <w:vAlign w:val="bottom"/>
            <w:shd w:val="clear" w:color="auto" w:fill="F7F7F7"/>
          </w:tcPr>
          <w:p>
            <w:pPr>
              <w:spacing w:after="0"/>
              <w:rPr>
                <w:sz w:val="24"/>
                <w:szCs w:val="24"/>
                <w:color w:val="auto"/>
              </w:rPr>
            </w:pPr>
          </w:p>
        </w:tc>
        <w:tc>
          <w:tcPr>
            <w:tcW w:w="640" w:type="dxa"/>
            <w:vAlign w:val="bottom"/>
            <w:shd w:val="clear" w:color="auto" w:fill="F7F7F7"/>
          </w:tcPr>
          <w:p>
            <w:pPr>
              <w:spacing w:after="0"/>
              <w:rPr>
                <w:sz w:val="24"/>
                <w:szCs w:val="24"/>
                <w:color w:val="auto"/>
              </w:rPr>
            </w:pPr>
          </w:p>
        </w:tc>
        <w:tc>
          <w:tcPr>
            <w:tcW w:w="880" w:type="dxa"/>
            <w:vAlign w:val="bottom"/>
            <w:shd w:val="clear" w:color="auto" w:fill="F7F7F7"/>
          </w:tcPr>
          <w:p>
            <w:pPr>
              <w:spacing w:after="0"/>
              <w:rPr>
                <w:sz w:val="24"/>
                <w:szCs w:val="24"/>
                <w:color w:val="auto"/>
              </w:rPr>
            </w:pPr>
          </w:p>
        </w:tc>
        <w:tc>
          <w:tcPr>
            <w:tcW w:w="880" w:type="dxa"/>
            <w:vAlign w:val="bottom"/>
            <w:shd w:val="clear" w:color="auto" w:fill="F7F7F7"/>
          </w:tcPr>
          <w:p>
            <w:pPr>
              <w:spacing w:after="0"/>
              <w:rPr>
                <w:sz w:val="24"/>
                <w:szCs w:val="24"/>
                <w:color w:val="auto"/>
              </w:rPr>
            </w:pPr>
          </w:p>
        </w:tc>
        <w:tc>
          <w:tcPr>
            <w:tcW w:w="740" w:type="dxa"/>
            <w:vAlign w:val="bottom"/>
            <w:shd w:val="clear" w:color="auto" w:fill="F7F7F7"/>
          </w:tcPr>
          <w:p>
            <w:pPr>
              <w:spacing w:after="0"/>
              <w:rPr>
                <w:sz w:val="24"/>
                <w:szCs w:val="24"/>
                <w:color w:val="auto"/>
              </w:rPr>
            </w:pPr>
          </w:p>
        </w:tc>
        <w:tc>
          <w:tcPr>
            <w:tcW w:w="840" w:type="dxa"/>
            <w:vAlign w:val="bottom"/>
            <w:shd w:val="clear" w:color="auto" w:fill="F7F7F7"/>
          </w:tcPr>
          <w:p>
            <w:pPr>
              <w:spacing w:after="0"/>
              <w:rPr>
                <w:sz w:val="24"/>
                <w:szCs w:val="24"/>
                <w:color w:val="auto"/>
              </w:rPr>
            </w:pPr>
          </w:p>
        </w:tc>
        <w:tc>
          <w:tcPr>
            <w:tcW w:w="980" w:type="dxa"/>
            <w:vAlign w:val="bottom"/>
            <w:shd w:val="clear" w:color="auto" w:fill="F7F7F7"/>
          </w:tcPr>
          <w:p>
            <w:pPr>
              <w:jc w:val="right"/>
              <w:ind w:right="34"/>
              <w:spacing w:after="0"/>
              <w:rPr>
                <w:sz w:val="20"/>
                <w:szCs w:val="20"/>
                <w:color w:val="auto"/>
              </w:rPr>
            </w:pPr>
            <w:r>
              <w:rPr>
                <w:rFonts w:ascii="Arial" w:cs="Arial" w:eastAsia="Arial" w:hAnsi="Arial"/>
                <w:sz w:val="14"/>
                <w:szCs w:val="14"/>
                <w:color w:val="auto"/>
              </w:rPr>
              <w:t>1,322,000</w:t>
            </w:r>
          </w:p>
        </w:tc>
        <w:tc>
          <w:tcPr>
            <w:tcW w:w="1080" w:type="dxa"/>
            <w:vAlign w:val="bottom"/>
            <w:shd w:val="clear" w:color="auto" w:fill="F7F7F7"/>
          </w:tcPr>
          <w:p>
            <w:pPr>
              <w:jc w:val="right"/>
              <w:ind w:right="136"/>
              <w:spacing w:after="0"/>
              <w:rPr>
                <w:sz w:val="20"/>
                <w:szCs w:val="20"/>
                <w:color w:val="auto"/>
              </w:rPr>
            </w:pPr>
            <w:r>
              <w:rPr>
                <w:rFonts w:ascii="Arial" w:cs="Arial" w:eastAsia="Arial" w:hAnsi="Arial"/>
                <w:sz w:val="14"/>
                <w:szCs w:val="14"/>
                <w:color w:val="auto"/>
              </w:rPr>
              <w:t>26,783,720</w:t>
            </w:r>
          </w:p>
        </w:tc>
        <w:tc>
          <w:tcPr>
            <w:tcW w:w="0" w:type="dxa"/>
            <w:vAlign w:val="bottom"/>
          </w:tcPr>
          <w:p>
            <w:pPr>
              <w:spacing w:after="0"/>
              <w:rPr>
                <w:sz w:val="1"/>
                <w:szCs w:val="1"/>
                <w:color w:val="auto"/>
              </w:rPr>
            </w:pPr>
          </w:p>
        </w:tc>
      </w:tr>
      <w:tr>
        <w:trPr>
          <w:trHeight w:val="93"/>
        </w:trPr>
        <w:tc>
          <w:tcPr>
            <w:tcW w:w="1620" w:type="dxa"/>
            <w:vAlign w:val="bottom"/>
            <w:tcBorders>
              <w:bottom w:val="single" w:sz="8" w:color="auto"/>
            </w:tcBorders>
            <w:shd w:val="clear" w:color="auto" w:fill="F7F7F7"/>
          </w:tcPr>
          <w:p>
            <w:pPr>
              <w:spacing w:after="0"/>
              <w:rPr>
                <w:sz w:val="8"/>
                <w:szCs w:val="8"/>
                <w:color w:val="auto"/>
              </w:rPr>
            </w:pPr>
          </w:p>
        </w:tc>
        <w:tc>
          <w:tcPr>
            <w:tcW w:w="860" w:type="dxa"/>
            <w:vAlign w:val="bottom"/>
            <w:tcBorders>
              <w:bottom w:val="single" w:sz="8" w:color="auto"/>
            </w:tcBorders>
            <w:shd w:val="clear" w:color="auto" w:fill="F7F7F7"/>
          </w:tcPr>
          <w:p>
            <w:pPr>
              <w:spacing w:after="0"/>
              <w:rPr>
                <w:sz w:val="8"/>
                <w:szCs w:val="8"/>
                <w:color w:val="auto"/>
              </w:rPr>
            </w:pPr>
          </w:p>
        </w:tc>
        <w:tc>
          <w:tcPr>
            <w:tcW w:w="860" w:type="dxa"/>
            <w:vAlign w:val="bottom"/>
            <w:tcBorders>
              <w:bottom w:val="single" w:sz="8" w:color="auto"/>
            </w:tcBorders>
            <w:shd w:val="clear" w:color="auto" w:fill="F7F7F7"/>
          </w:tcPr>
          <w:p>
            <w:pPr>
              <w:spacing w:after="0"/>
              <w:rPr>
                <w:sz w:val="8"/>
                <w:szCs w:val="8"/>
                <w:color w:val="auto"/>
              </w:rPr>
            </w:pPr>
          </w:p>
        </w:tc>
        <w:tc>
          <w:tcPr>
            <w:tcW w:w="640" w:type="dxa"/>
            <w:vAlign w:val="bottom"/>
            <w:tcBorders>
              <w:bottom w:val="single" w:sz="8" w:color="auto"/>
            </w:tcBorders>
            <w:shd w:val="clear" w:color="auto" w:fill="F7F7F7"/>
          </w:tcPr>
          <w:p>
            <w:pPr>
              <w:spacing w:after="0"/>
              <w:rPr>
                <w:sz w:val="8"/>
                <w:szCs w:val="8"/>
                <w:color w:val="auto"/>
              </w:rPr>
            </w:pPr>
          </w:p>
        </w:tc>
        <w:tc>
          <w:tcPr>
            <w:tcW w:w="880" w:type="dxa"/>
            <w:vAlign w:val="bottom"/>
            <w:tcBorders>
              <w:bottom w:val="single" w:sz="8" w:color="auto"/>
            </w:tcBorders>
            <w:shd w:val="clear" w:color="auto" w:fill="F7F7F7"/>
          </w:tcPr>
          <w:p>
            <w:pPr>
              <w:spacing w:after="0"/>
              <w:rPr>
                <w:sz w:val="8"/>
                <w:szCs w:val="8"/>
                <w:color w:val="auto"/>
              </w:rPr>
            </w:pPr>
          </w:p>
        </w:tc>
        <w:tc>
          <w:tcPr>
            <w:tcW w:w="880" w:type="dxa"/>
            <w:vAlign w:val="bottom"/>
            <w:tcBorders>
              <w:bottom w:val="single" w:sz="8" w:color="auto"/>
            </w:tcBorders>
            <w:shd w:val="clear" w:color="auto" w:fill="F7F7F7"/>
          </w:tcPr>
          <w:p>
            <w:pPr>
              <w:spacing w:after="0"/>
              <w:rPr>
                <w:sz w:val="8"/>
                <w:szCs w:val="8"/>
                <w:color w:val="auto"/>
              </w:rPr>
            </w:pPr>
          </w:p>
        </w:tc>
        <w:tc>
          <w:tcPr>
            <w:tcW w:w="740" w:type="dxa"/>
            <w:vAlign w:val="bottom"/>
            <w:tcBorders>
              <w:bottom w:val="single" w:sz="8" w:color="auto"/>
            </w:tcBorders>
            <w:shd w:val="clear" w:color="auto" w:fill="F7F7F7"/>
          </w:tcPr>
          <w:p>
            <w:pPr>
              <w:spacing w:after="0"/>
              <w:rPr>
                <w:sz w:val="8"/>
                <w:szCs w:val="8"/>
                <w:color w:val="auto"/>
              </w:rPr>
            </w:pPr>
          </w:p>
        </w:tc>
        <w:tc>
          <w:tcPr>
            <w:tcW w:w="840" w:type="dxa"/>
            <w:vAlign w:val="bottom"/>
            <w:tcBorders>
              <w:bottom w:val="single" w:sz="8" w:color="auto"/>
            </w:tcBorders>
            <w:shd w:val="clear" w:color="auto" w:fill="F7F7F7"/>
          </w:tcPr>
          <w:p>
            <w:pPr>
              <w:spacing w:after="0"/>
              <w:rPr>
                <w:sz w:val="8"/>
                <w:szCs w:val="8"/>
                <w:color w:val="auto"/>
              </w:rPr>
            </w:pPr>
          </w:p>
        </w:tc>
        <w:tc>
          <w:tcPr>
            <w:tcW w:w="980" w:type="dxa"/>
            <w:vAlign w:val="bottom"/>
            <w:tcBorders>
              <w:bottom w:val="single" w:sz="8" w:color="auto"/>
            </w:tcBorders>
            <w:shd w:val="clear" w:color="auto" w:fill="F7F7F7"/>
          </w:tcPr>
          <w:p>
            <w:pPr>
              <w:spacing w:after="0"/>
              <w:rPr>
                <w:sz w:val="8"/>
                <w:szCs w:val="8"/>
                <w:color w:val="auto"/>
              </w:rPr>
            </w:pPr>
          </w:p>
        </w:tc>
        <w:tc>
          <w:tcPr>
            <w:tcW w:w="1080" w:type="dxa"/>
            <w:vAlign w:val="bottom"/>
            <w:tcBorders>
              <w:bottom w:val="single" w:sz="8" w:color="auto"/>
            </w:tcBorders>
            <w:shd w:val="clear" w:color="auto" w:fill="F7F7F7"/>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5052060</wp:posOffset>
            </wp:positionH>
            <wp:positionV relativeFrom="paragraph">
              <wp:posOffset>-4165600</wp:posOffset>
            </wp:positionV>
            <wp:extent cx="1714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-4165600</wp:posOffset>
            </wp:positionV>
            <wp:extent cx="342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45" w:lineRule="exact"/>
        <w:rPr>
          <w:sz w:val="20"/>
          <w:szCs w:val="20"/>
          <w:color w:val="auto"/>
        </w:rPr>
      </w:pPr>
    </w:p>
    <w:p>
      <w:pPr>
        <w:ind w:left="780" w:hanging="126"/>
        <w:spacing w:after="0"/>
        <w:tabs>
          <w:tab w:leader="none" w:pos="780" w:val="left"/>
        </w:tabs>
        <w:numPr>
          <w:ilvl w:val="0"/>
          <w:numId w:val="40"/>
        </w:numPr>
        <w:rPr>
          <w:rFonts w:ascii="Arial" w:cs="Arial" w:eastAsia="Arial" w:hAnsi="Arial"/>
          <w:sz w:val="15"/>
          <w:szCs w:val="15"/>
          <w:color w:val="auto"/>
          <w:vertAlign w:val="superscript"/>
        </w:rPr>
      </w:pPr>
      <w:r>
        <w:rPr>
          <w:rFonts w:ascii="Arial" w:cs="Arial" w:eastAsia="Arial" w:hAnsi="Arial"/>
          <w:sz w:val="10"/>
          <w:szCs w:val="10"/>
          <w:color w:val="auto"/>
        </w:rPr>
        <w:t>For Messrs. Rawlinson and Bach, amounts adjusted to reflect base salary increases as of August 2021.</w:t>
      </w:r>
    </w:p>
    <w:p>
      <w:pPr>
        <w:spacing w:after="0" w:line="70" w:lineRule="exact"/>
        <w:rPr>
          <w:rFonts w:ascii="Arial" w:cs="Arial" w:eastAsia="Arial" w:hAnsi="Arial"/>
          <w:sz w:val="15"/>
          <w:szCs w:val="15"/>
          <w:color w:val="auto"/>
          <w:vertAlign w:val="superscript"/>
        </w:rPr>
      </w:pPr>
    </w:p>
    <w:p>
      <w:pPr>
        <w:ind w:left="780" w:hanging="126"/>
        <w:spacing w:after="0"/>
        <w:tabs>
          <w:tab w:leader="none" w:pos="780" w:val="left"/>
        </w:tabs>
        <w:numPr>
          <w:ilvl w:val="0"/>
          <w:numId w:val="40"/>
        </w:numPr>
        <w:rPr>
          <w:rFonts w:ascii="Arial" w:cs="Arial" w:eastAsia="Arial" w:hAnsi="Arial"/>
          <w:sz w:val="15"/>
          <w:szCs w:val="15"/>
          <w:color w:val="auto"/>
          <w:vertAlign w:val="superscript"/>
        </w:rPr>
      </w:pPr>
      <w:r>
        <w:rPr>
          <w:rFonts w:ascii="Arial" w:cs="Arial" w:eastAsia="Arial" w:hAnsi="Arial"/>
          <w:sz w:val="10"/>
          <w:szCs w:val="10"/>
          <w:color w:val="auto"/>
        </w:rPr>
        <w:t>Represents the grant date fair value of RSUs granted during 2021, calculated in accordance with FASB ASC Topic 718.</w:t>
      </w:r>
    </w:p>
    <w:p>
      <w:pPr>
        <w:sectPr>
          <w:pgSz w:w="11900" w:h="16838" w:orient="portrait"/>
          <w:cols w:equalWidth="0" w:num="1">
            <w:col w:w="10040"/>
          </w:cols>
          <w:pgMar w:left="580" w:top="132"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spacing w:after="0"/>
        <w:tabs>
          <w:tab w:leader="none" w:pos="9880" w:val="left"/>
        </w:tabs>
        <w:rPr>
          <w:sz w:val="20"/>
          <w:szCs w:val="20"/>
          <w:color w:val="auto"/>
        </w:rPr>
      </w:pPr>
      <w:r>
        <w:rPr>
          <w:rFonts w:ascii="Arial" w:cs="Arial" w:eastAsia="Arial" w:hAnsi="Arial"/>
          <w:sz w:val="13"/>
          <w:szCs w:val="13"/>
          <w:color w:val="auto"/>
        </w:rPr>
        <w:t>2022 Proxy Statement</w:t>
      </w:r>
      <w:r>
        <w:rPr>
          <w:sz w:val="20"/>
          <w:szCs w:val="20"/>
          <w:color w:val="auto"/>
        </w:rPr>
        <w:tab/>
      </w:r>
      <w:r>
        <w:rPr>
          <w:rFonts w:ascii="Arial" w:cs="Arial" w:eastAsia="Arial" w:hAnsi="Arial"/>
          <w:sz w:val="12"/>
          <w:szCs w:val="12"/>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type w:val="continuous"/>
        </w:sectPr>
      </w:pPr>
    </w:p>
    <w:bookmarkStart w:id="68" w:name="page69"/>
    <w:bookmarkEnd w:id="68"/>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36"/>
          <w:szCs w:val="36"/>
          <w:b w:val="1"/>
          <w:bCs w:val="1"/>
          <w:color w:val="auto"/>
        </w:rPr>
        <w:t>Outstanding Equity Awards at Fiscal Year-End</w:t>
      </w:r>
    </w:p>
    <w:p>
      <w:pPr>
        <w:spacing w:after="0" w:line="200" w:lineRule="exact"/>
        <w:rPr>
          <w:sz w:val="20"/>
          <w:szCs w:val="20"/>
          <w:color w:val="auto"/>
        </w:rPr>
      </w:pP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81"/>
        </w:trPr>
        <w:tc>
          <w:tcPr>
            <w:tcW w:w="1360" w:type="dxa"/>
            <w:vAlign w:val="bottom"/>
            <w:shd w:val="clear" w:color="auto" w:fill="000000"/>
          </w:tcPr>
          <w:p>
            <w:pPr>
              <w:spacing w:after="0"/>
              <w:rPr>
                <w:sz w:val="24"/>
                <w:szCs w:val="24"/>
                <w:color w:val="auto"/>
              </w:rPr>
            </w:pPr>
          </w:p>
        </w:tc>
        <w:tc>
          <w:tcPr>
            <w:tcW w:w="980" w:type="dxa"/>
            <w:vAlign w:val="bottom"/>
            <w:shd w:val="clear" w:color="auto" w:fill="000000"/>
          </w:tcPr>
          <w:p>
            <w:pPr>
              <w:spacing w:after="0"/>
              <w:rPr>
                <w:sz w:val="24"/>
                <w:szCs w:val="24"/>
                <w:color w:val="auto"/>
              </w:rPr>
            </w:pPr>
          </w:p>
        </w:tc>
        <w:tc>
          <w:tcPr>
            <w:tcW w:w="1860" w:type="dxa"/>
            <w:vAlign w:val="bottom"/>
            <w:gridSpan w:val="2"/>
            <w:shd w:val="clear" w:color="auto" w:fill="000000"/>
          </w:tcPr>
          <w:p>
            <w:pPr>
              <w:ind w:left="460"/>
              <w:spacing w:after="0"/>
              <w:rPr>
                <w:sz w:val="20"/>
                <w:szCs w:val="20"/>
                <w:color w:val="auto"/>
              </w:rPr>
            </w:pPr>
            <w:r>
              <w:rPr>
                <w:rFonts w:ascii="Arial" w:cs="Arial" w:eastAsia="Arial" w:hAnsi="Arial"/>
                <w:sz w:val="13"/>
                <w:szCs w:val="13"/>
                <w:b w:val="1"/>
                <w:bCs w:val="1"/>
                <w:color w:val="FEFEFE"/>
              </w:rPr>
              <w:t>Option Awards</w:t>
            </w:r>
          </w:p>
        </w:tc>
        <w:tc>
          <w:tcPr>
            <w:tcW w:w="1060" w:type="dxa"/>
            <w:vAlign w:val="bottom"/>
            <w:shd w:val="clear" w:color="auto" w:fill="000000"/>
          </w:tcPr>
          <w:p>
            <w:pPr>
              <w:spacing w:after="0"/>
              <w:rPr>
                <w:sz w:val="24"/>
                <w:szCs w:val="24"/>
                <w:color w:val="auto"/>
              </w:rPr>
            </w:pPr>
          </w:p>
        </w:tc>
        <w:tc>
          <w:tcPr>
            <w:tcW w:w="940" w:type="dxa"/>
            <w:vAlign w:val="bottom"/>
            <w:shd w:val="clear" w:color="auto" w:fill="000000"/>
          </w:tcPr>
          <w:p>
            <w:pPr>
              <w:spacing w:after="0"/>
              <w:rPr>
                <w:sz w:val="24"/>
                <w:szCs w:val="24"/>
                <w:color w:val="auto"/>
              </w:rPr>
            </w:pPr>
          </w:p>
        </w:tc>
        <w:tc>
          <w:tcPr>
            <w:tcW w:w="2080" w:type="dxa"/>
            <w:vAlign w:val="bottom"/>
            <w:gridSpan w:val="2"/>
            <w:shd w:val="clear" w:color="auto" w:fill="000000"/>
          </w:tcPr>
          <w:p>
            <w:pPr>
              <w:jc w:val="right"/>
              <w:ind w:right="576"/>
              <w:spacing w:after="0"/>
              <w:rPr>
                <w:sz w:val="20"/>
                <w:szCs w:val="20"/>
                <w:color w:val="auto"/>
              </w:rPr>
            </w:pPr>
            <w:r>
              <w:rPr>
                <w:rFonts w:ascii="Arial" w:cs="Arial" w:eastAsia="Arial" w:hAnsi="Arial"/>
                <w:sz w:val="13"/>
                <w:szCs w:val="13"/>
                <w:b w:val="1"/>
                <w:bCs w:val="1"/>
                <w:color w:val="FEFEFE"/>
              </w:rPr>
              <w:t>Stock Awards</w:t>
            </w:r>
          </w:p>
        </w:tc>
        <w:tc>
          <w:tcPr>
            <w:tcW w:w="1100" w:type="dxa"/>
            <w:vAlign w:val="bottom"/>
            <w:shd w:val="clear" w:color="auto" w:fill="000000"/>
          </w:tcPr>
          <w:p>
            <w:pPr>
              <w:spacing w:after="0"/>
              <w:rPr>
                <w:sz w:val="24"/>
                <w:szCs w:val="24"/>
                <w:color w:val="auto"/>
              </w:rPr>
            </w:pPr>
          </w:p>
        </w:tc>
      </w:tr>
      <w:tr>
        <w:trPr>
          <w:trHeight w:val="158"/>
        </w:trPr>
        <w:tc>
          <w:tcPr>
            <w:tcW w:w="1360" w:type="dxa"/>
            <w:vAlign w:val="bottom"/>
            <w:shd w:val="clear" w:color="auto" w:fill="000000"/>
          </w:tcPr>
          <w:p>
            <w:pPr>
              <w:spacing w:after="0"/>
              <w:rPr>
                <w:sz w:val="13"/>
                <w:szCs w:val="13"/>
                <w:color w:val="auto"/>
              </w:rPr>
            </w:pPr>
          </w:p>
        </w:tc>
        <w:tc>
          <w:tcPr>
            <w:tcW w:w="980" w:type="dxa"/>
            <w:vAlign w:val="bottom"/>
            <w:shd w:val="clear" w:color="auto" w:fill="000000"/>
          </w:tcPr>
          <w:p>
            <w:pPr>
              <w:spacing w:after="0"/>
              <w:rPr>
                <w:sz w:val="13"/>
                <w:szCs w:val="13"/>
                <w:color w:val="auto"/>
              </w:rPr>
            </w:pPr>
          </w:p>
        </w:tc>
        <w:tc>
          <w:tcPr>
            <w:tcW w:w="1120" w:type="dxa"/>
            <w:vAlign w:val="bottom"/>
            <w:shd w:val="clear" w:color="auto" w:fill="000000"/>
          </w:tcPr>
          <w:p>
            <w:pPr>
              <w:spacing w:after="0"/>
              <w:rPr>
                <w:sz w:val="13"/>
                <w:szCs w:val="13"/>
                <w:color w:val="auto"/>
              </w:rPr>
            </w:pPr>
          </w:p>
        </w:tc>
        <w:tc>
          <w:tcPr>
            <w:tcW w:w="740" w:type="dxa"/>
            <w:vAlign w:val="bottom"/>
            <w:shd w:val="clear" w:color="auto" w:fill="000000"/>
          </w:tcPr>
          <w:p>
            <w:pPr>
              <w:spacing w:after="0"/>
              <w:rPr>
                <w:sz w:val="13"/>
                <w:szCs w:val="13"/>
                <w:color w:val="auto"/>
              </w:rPr>
            </w:pPr>
          </w:p>
        </w:tc>
        <w:tc>
          <w:tcPr>
            <w:tcW w:w="1060" w:type="dxa"/>
            <w:vAlign w:val="bottom"/>
            <w:shd w:val="clear" w:color="auto" w:fill="000000"/>
          </w:tcPr>
          <w:p>
            <w:pPr>
              <w:spacing w:after="0"/>
              <w:rPr>
                <w:sz w:val="13"/>
                <w:szCs w:val="13"/>
                <w:color w:val="auto"/>
              </w:rPr>
            </w:pPr>
          </w:p>
        </w:tc>
        <w:tc>
          <w:tcPr>
            <w:tcW w:w="940" w:type="dxa"/>
            <w:vAlign w:val="bottom"/>
            <w:shd w:val="clear" w:color="auto" w:fill="000000"/>
          </w:tcPr>
          <w:p>
            <w:pPr>
              <w:spacing w:after="0"/>
              <w:rPr>
                <w:sz w:val="13"/>
                <w:szCs w:val="13"/>
                <w:color w:val="auto"/>
              </w:rPr>
            </w:pPr>
          </w:p>
        </w:tc>
        <w:tc>
          <w:tcPr>
            <w:tcW w:w="1000" w:type="dxa"/>
            <w:vAlign w:val="bottom"/>
            <w:shd w:val="clear" w:color="auto" w:fill="000000"/>
          </w:tcPr>
          <w:p>
            <w:pPr>
              <w:spacing w:after="0"/>
              <w:rPr>
                <w:sz w:val="13"/>
                <w:szCs w:val="13"/>
                <w:color w:val="auto"/>
              </w:rPr>
            </w:pPr>
          </w:p>
        </w:tc>
        <w:tc>
          <w:tcPr>
            <w:tcW w:w="1080" w:type="dxa"/>
            <w:vAlign w:val="bottom"/>
            <w:shd w:val="clear" w:color="auto" w:fill="000000"/>
          </w:tcPr>
          <w:p>
            <w:pPr>
              <w:spacing w:after="0"/>
              <w:rPr>
                <w:sz w:val="13"/>
                <w:szCs w:val="13"/>
                <w:color w:val="auto"/>
              </w:rPr>
            </w:pPr>
          </w:p>
        </w:tc>
        <w:tc>
          <w:tcPr>
            <w:tcW w:w="1100" w:type="dxa"/>
            <w:vAlign w:val="bottom"/>
            <w:shd w:val="clear" w:color="auto" w:fill="000000"/>
          </w:tcPr>
          <w:p>
            <w:pPr>
              <w:spacing w:after="0"/>
              <w:rPr>
                <w:sz w:val="13"/>
                <w:szCs w:val="13"/>
                <w:color w:val="auto"/>
              </w:rPr>
            </w:pPr>
          </w:p>
        </w:tc>
      </w:tr>
      <w:tr>
        <w:trPr>
          <w:trHeight w:val="255"/>
        </w:trPr>
        <w:tc>
          <w:tcPr>
            <w:tcW w:w="1360" w:type="dxa"/>
            <w:vAlign w:val="bottom"/>
            <w:shd w:val="clear" w:color="auto" w:fill="000000"/>
          </w:tcPr>
          <w:p>
            <w:pPr>
              <w:ind w:left="160"/>
              <w:spacing w:after="0"/>
              <w:rPr>
                <w:sz w:val="20"/>
                <w:szCs w:val="20"/>
                <w:color w:val="auto"/>
              </w:rPr>
            </w:pPr>
            <w:r>
              <w:rPr>
                <w:rFonts w:ascii="Arial" w:cs="Arial" w:eastAsia="Arial" w:hAnsi="Arial"/>
                <w:sz w:val="13"/>
                <w:szCs w:val="13"/>
                <w:b w:val="1"/>
                <w:bCs w:val="1"/>
                <w:color w:val="FEFEFE"/>
              </w:rPr>
              <w:t>Name</w:t>
            </w:r>
          </w:p>
        </w:tc>
        <w:tc>
          <w:tcPr>
            <w:tcW w:w="98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w w:val="95"/>
              </w:rPr>
              <w:t>Number of</w:t>
            </w:r>
          </w:p>
        </w:tc>
        <w:tc>
          <w:tcPr>
            <w:tcW w:w="112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w w:val="95"/>
              </w:rPr>
              <w:t>Number of</w:t>
            </w:r>
          </w:p>
        </w:tc>
        <w:tc>
          <w:tcPr>
            <w:tcW w:w="74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rPr>
              <w:t>Option</w:t>
            </w:r>
          </w:p>
        </w:tc>
        <w:tc>
          <w:tcPr>
            <w:tcW w:w="1060" w:type="dxa"/>
            <w:vAlign w:val="bottom"/>
            <w:shd w:val="clear" w:color="auto" w:fill="000000"/>
          </w:tcPr>
          <w:p>
            <w:pPr>
              <w:jc w:val="center"/>
              <w:ind w:right="72"/>
              <w:spacing w:after="0"/>
              <w:rPr>
                <w:sz w:val="20"/>
                <w:szCs w:val="20"/>
                <w:color w:val="auto"/>
              </w:rPr>
            </w:pPr>
            <w:r>
              <w:rPr>
                <w:rFonts w:ascii="Arial" w:cs="Arial" w:eastAsia="Arial" w:hAnsi="Arial"/>
                <w:sz w:val="13"/>
                <w:szCs w:val="13"/>
                <w:b w:val="1"/>
                <w:bCs w:val="1"/>
                <w:color w:val="FEFEFE"/>
                <w:w w:val="95"/>
              </w:rPr>
              <w:t>Option</w:t>
            </w:r>
          </w:p>
        </w:tc>
        <w:tc>
          <w:tcPr>
            <w:tcW w:w="940" w:type="dxa"/>
            <w:vAlign w:val="bottom"/>
            <w:shd w:val="clear" w:color="auto" w:fill="000000"/>
          </w:tcPr>
          <w:p>
            <w:pPr>
              <w:jc w:val="center"/>
              <w:ind w:right="114"/>
              <w:spacing w:after="0"/>
              <w:rPr>
                <w:sz w:val="20"/>
                <w:szCs w:val="20"/>
                <w:color w:val="auto"/>
              </w:rPr>
            </w:pPr>
            <w:r>
              <w:rPr>
                <w:rFonts w:ascii="Arial" w:cs="Arial" w:eastAsia="Arial" w:hAnsi="Arial"/>
                <w:sz w:val="13"/>
                <w:szCs w:val="13"/>
                <w:b w:val="1"/>
                <w:bCs w:val="1"/>
                <w:color w:val="FEFEFE"/>
                <w:w w:val="98"/>
              </w:rPr>
              <w:t>Number of</w:t>
            </w:r>
          </w:p>
        </w:tc>
        <w:tc>
          <w:tcPr>
            <w:tcW w:w="1000" w:type="dxa"/>
            <w:vAlign w:val="bottom"/>
            <w:shd w:val="clear" w:color="auto" w:fill="000000"/>
          </w:tcPr>
          <w:p>
            <w:pPr>
              <w:jc w:val="center"/>
              <w:ind w:right="14"/>
              <w:spacing w:after="0"/>
              <w:rPr>
                <w:sz w:val="20"/>
                <w:szCs w:val="20"/>
                <w:color w:val="auto"/>
              </w:rPr>
            </w:pPr>
            <w:r>
              <w:rPr>
                <w:rFonts w:ascii="Arial" w:cs="Arial" w:eastAsia="Arial" w:hAnsi="Arial"/>
                <w:sz w:val="13"/>
                <w:szCs w:val="13"/>
                <w:b w:val="1"/>
                <w:bCs w:val="1"/>
                <w:color w:val="FEFEFE"/>
                <w:w w:val="94"/>
              </w:rPr>
              <w:t>Market Value</w:t>
            </w:r>
          </w:p>
        </w:tc>
        <w:tc>
          <w:tcPr>
            <w:tcW w:w="1080" w:type="dxa"/>
            <w:vAlign w:val="bottom"/>
            <w:shd w:val="clear" w:color="auto" w:fill="000000"/>
          </w:tcPr>
          <w:p>
            <w:pPr>
              <w:jc w:val="center"/>
              <w:ind w:right="36"/>
              <w:spacing w:after="0"/>
              <w:rPr>
                <w:sz w:val="20"/>
                <w:szCs w:val="20"/>
                <w:color w:val="auto"/>
              </w:rPr>
            </w:pPr>
            <w:r>
              <w:rPr>
                <w:rFonts w:ascii="Arial" w:cs="Arial" w:eastAsia="Arial" w:hAnsi="Arial"/>
                <w:sz w:val="13"/>
                <w:szCs w:val="13"/>
                <w:b w:val="1"/>
                <w:bCs w:val="1"/>
                <w:color w:val="FEFEFE"/>
                <w:w w:val="95"/>
              </w:rPr>
              <w:t>Equity</w:t>
            </w:r>
          </w:p>
        </w:tc>
        <w:tc>
          <w:tcPr>
            <w:tcW w:w="1100" w:type="dxa"/>
            <w:vAlign w:val="bottom"/>
            <w:shd w:val="clear" w:color="auto" w:fill="000000"/>
          </w:tcPr>
          <w:p>
            <w:pPr>
              <w:jc w:val="center"/>
              <w:ind w:right="96"/>
              <w:spacing w:after="0"/>
              <w:rPr>
                <w:sz w:val="20"/>
                <w:szCs w:val="20"/>
                <w:color w:val="auto"/>
              </w:rPr>
            </w:pPr>
            <w:r>
              <w:rPr>
                <w:rFonts w:ascii="Arial" w:cs="Arial" w:eastAsia="Arial" w:hAnsi="Arial"/>
                <w:sz w:val="13"/>
                <w:szCs w:val="13"/>
                <w:b w:val="1"/>
                <w:bCs w:val="1"/>
                <w:color w:val="FEFEFE"/>
                <w:w w:val="95"/>
              </w:rPr>
              <w:t>Equity</w:t>
            </w:r>
          </w:p>
        </w:tc>
      </w:tr>
      <w:tr>
        <w:trPr>
          <w:trHeight w:val="135"/>
        </w:trPr>
        <w:tc>
          <w:tcPr>
            <w:tcW w:w="1360" w:type="dxa"/>
            <w:vAlign w:val="bottom"/>
            <w:shd w:val="clear" w:color="auto" w:fill="000000"/>
          </w:tcPr>
          <w:p>
            <w:pPr>
              <w:spacing w:after="0"/>
              <w:rPr>
                <w:sz w:val="11"/>
                <w:szCs w:val="11"/>
                <w:color w:val="auto"/>
              </w:rPr>
            </w:pPr>
          </w:p>
        </w:tc>
        <w:tc>
          <w:tcPr>
            <w:tcW w:w="980" w:type="dxa"/>
            <w:vAlign w:val="bottom"/>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9"/>
              </w:rPr>
              <w:t>Securities</w:t>
            </w:r>
          </w:p>
        </w:tc>
        <w:tc>
          <w:tcPr>
            <w:tcW w:w="1120" w:type="dxa"/>
            <w:vAlign w:val="bottom"/>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9"/>
              </w:rPr>
              <w:t>Securities</w:t>
            </w:r>
          </w:p>
        </w:tc>
        <w:tc>
          <w:tcPr>
            <w:tcW w:w="740" w:type="dxa"/>
            <w:vAlign w:val="bottom"/>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7"/>
              </w:rPr>
              <w:t>Exercise</w:t>
            </w:r>
          </w:p>
        </w:tc>
        <w:tc>
          <w:tcPr>
            <w:tcW w:w="1060" w:type="dxa"/>
            <w:vAlign w:val="bottom"/>
            <w:shd w:val="clear" w:color="auto" w:fill="000000"/>
          </w:tcPr>
          <w:p>
            <w:pPr>
              <w:jc w:val="center"/>
              <w:ind w:right="52"/>
              <w:spacing w:after="0" w:line="135" w:lineRule="exact"/>
              <w:rPr>
                <w:sz w:val="20"/>
                <w:szCs w:val="20"/>
                <w:color w:val="auto"/>
              </w:rPr>
            </w:pPr>
            <w:r>
              <w:rPr>
                <w:rFonts w:ascii="Arial" w:cs="Arial" w:eastAsia="Arial" w:hAnsi="Arial"/>
                <w:sz w:val="13"/>
                <w:szCs w:val="13"/>
                <w:b w:val="1"/>
                <w:bCs w:val="1"/>
                <w:color w:val="FEFEFE"/>
                <w:w w:val="97"/>
              </w:rPr>
              <w:t>Expiration</w:t>
            </w:r>
          </w:p>
        </w:tc>
        <w:tc>
          <w:tcPr>
            <w:tcW w:w="940" w:type="dxa"/>
            <w:vAlign w:val="bottom"/>
            <w:shd w:val="clear" w:color="auto" w:fill="000000"/>
          </w:tcPr>
          <w:p>
            <w:pPr>
              <w:jc w:val="center"/>
              <w:ind w:right="134"/>
              <w:spacing w:after="0" w:line="135" w:lineRule="exact"/>
              <w:rPr>
                <w:sz w:val="20"/>
                <w:szCs w:val="20"/>
                <w:color w:val="auto"/>
              </w:rPr>
            </w:pPr>
            <w:r>
              <w:rPr>
                <w:rFonts w:ascii="Arial" w:cs="Arial" w:eastAsia="Arial" w:hAnsi="Arial"/>
                <w:sz w:val="13"/>
                <w:szCs w:val="13"/>
                <w:b w:val="1"/>
                <w:bCs w:val="1"/>
                <w:color w:val="FEFEFE"/>
                <w:w w:val="96"/>
              </w:rPr>
              <w:t>Shares or</w:t>
            </w:r>
          </w:p>
        </w:tc>
        <w:tc>
          <w:tcPr>
            <w:tcW w:w="1000" w:type="dxa"/>
            <w:vAlign w:val="bottom"/>
            <w:shd w:val="clear" w:color="auto" w:fill="000000"/>
          </w:tcPr>
          <w:p>
            <w:pPr>
              <w:jc w:val="center"/>
              <w:ind w:right="34"/>
              <w:spacing w:after="0" w:line="135" w:lineRule="exact"/>
              <w:rPr>
                <w:sz w:val="20"/>
                <w:szCs w:val="20"/>
                <w:color w:val="auto"/>
              </w:rPr>
            </w:pPr>
            <w:r>
              <w:rPr>
                <w:rFonts w:ascii="Arial" w:cs="Arial" w:eastAsia="Arial" w:hAnsi="Arial"/>
                <w:sz w:val="13"/>
                <w:szCs w:val="13"/>
                <w:b w:val="1"/>
                <w:bCs w:val="1"/>
                <w:color w:val="FEFEFE"/>
                <w:w w:val="97"/>
              </w:rPr>
              <w:t>of Shares</w:t>
            </w:r>
          </w:p>
        </w:tc>
        <w:tc>
          <w:tcPr>
            <w:tcW w:w="1080" w:type="dxa"/>
            <w:vAlign w:val="bottom"/>
            <w:shd w:val="clear" w:color="auto" w:fill="000000"/>
          </w:tcPr>
          <w:p>
            <w:pPr>
              <w:jc w:val="center"/>
              <w:ind w:right="36"/>
              <w:spacing w:after="0" w:line="135" w:lineRule="exact"/>
              <w:rPr>
                <w:sz w:val="20"/>
                <w:szCs w:val="20"/>
                <w:color w:val="auto"/>
              </w:rPr>
            </w:pPr>
            <w:r>
              <w:rPr>
                <w:rFonts w:ascii="Arial" w:cs="Arial" w:eastAsia="Arial" w:hAnsi="Arial"/>
                <w:sz w:val="13"/>
                <w:szCs w:val="13"/>
                <w:b w:val="1"/>
                <w:bCs w:val="1"/>
                <w:color w:val="FEFEFE"/>
                <w:w w:val="95"/>
              </w:rPr>
              <w:t>Incentive</w:t>
            </w:r>
          </w:p>
        </w:tc>
        <w:tc>
          <w:tcPr>
            <w:tcW w:w="1100" w:type="dxa"/>
            <w:vAlign w:val="bottom"/>
            <w:shd w:val="clear" w:color="auto" w:fill="000000"/>
          </w:tcPr>
          <w:p>
            <w:pPr>
              <w:jc w:val="center"/>
              <w:ind w:right="116"/>
              <w:spacing w:after="0" w:line="135" w:lineRule="exact"/>
              <w:rPr>
                <w:sz w:val="20"/>
                <w:szCs w:val="20"/>
                <w:color w:val="auto"/>
              </w:rPr>
            </w:pPr>
            <w:r>
              <w:rPr>
                <w:rFonts w:ascii="Arial" w:cs="Arial" w:eastAsia="Arial" w:hAnsi="Arial"/>
                <w:sz w:val="13"/>
                <w:szCs w:val="13"/>
                <w:b w:val="1"/>
                <w:bCs w:val="1"/>
                <w:color w:val="FEFEFE"/>
                <w:w w:val="99"/>
              </w:rPr>
              <w:t>Incentive</w:t>
            </w:r>
          </w:p>
        </w:tc>
      </w:tr>
      <w:tr>
        <w:trPr>
          <w:trHeight w:val="135"/>
        </w:trPr>
        <w:tc>
          <w:tcPr>
            <w:tcW w:w="1360" w:type="dxa"/>
            <w:vAlign w:val="bottom"/>
            <w:shd w:val="clear" w:color="auto" w:fill="000000"/>
          </w:tcPr>
          <w:p>
            <w:pPr>
              <w:spacing w:after="0"/>
              <w:rPr>
                <w:sz w:val="11"/>
                <w:szCs w:val="11"/>
                <w:color w:val="auto"/>
              </w:rPr>
            </w:pPr>
          </w:p>
        </w:tc>
        <w:tc>
          <w:tcPr>
            <w:tcW w:w="980" w:type="dxa"/>
            <w:vAlign w:val="bottom"/>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7"/>
              </w:rPr>
              <w:t>Underlying</w:t>
            </w:r>
          </w:p>
        </w:tc>
        <w:tc>
          <w:tcPr>
            <w:tcW w:w="1120" w:type="dxa"/>
            <w:vAlign w:val="bottom"/>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7"/>
              </w:rPr>
              <w:t>Underlying</w:t>
            </w:r>
          </w:p>
        </w:tc>
        <w:tc>
          <w:tcPr>
            <w:tcW w:w="740" w:type="dxa"/>
            <w:vAlign w:val="bottom"/>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4"/>
              </w:rPr>
              <w:t>Price</w:t>
            </w:r>
          </w:p>
        </w:tc>
        <w:tc>
          <w:tcPr>
            <w:tcW w:w="1060" w:type="dxa"/>
            <w:vAlign w:val="bottom"/>
            <w:shd w:val="clear" w:color="auto" w:fill="000000"/>
          </w:tcPr>
          <w:p>
            <w:pPr>
              <w:jc w:val="center"/>
              <w:ind w:right="72"/>
              <w:spacing w:after="0" w:line="135" w:lineRule="exact"/>
              <w:rPr>
                <w:sz w:val="20"/>
                <w:szCs w:val="20"/>
                <w:color w:val="auto"/>
              </w:rPr>
            </w:pPr>
            <w:r>
              <w:rPr>
                <w:rFonts w:ascii="Arial" w:cs="Arial" w:eastAsia="Arial" w:hAnsi="Arial"/>
                <w:sz w:val="13"/>
                <w:szCs w:val="13"/>
                <w:b w:val="1"/>
                <w:bCs w:val="1"/>
                <w:color w:val="FEFEFE"/>
                <w:w w:val="99"/>
              </w:rPr>
              <w:t>Date</w:t>
            </w:r>
          </w:p>
        </w:tc>
        <w:tc>
          <w:tcPr>
            <w:tcW w:w="940" w:type="dxa"/>
            <w:vAlign w:val="bottom"/>
            <w:shd w:val="clear" w:color="auto" w:fill="000000"/>
          </w:tcPr>
          <w:p>
            <w:pPr>
              <w:jc w:val="center"/>
              <w:ind w:right="114"/>
              <w:spacing w:after="0" w:line="135" w:lineRule="exact"/>
              <w:rPr>
                <w:sz w:val="20"/>
                <w:szCs w:val="20"/>
                <w:color w:val="auto"/>
              </w:rPr>
            </w:pPr>
            <w:r>
              <w:rPr>
                <w:rFonts w:ascii="Arial" w:cs="Arial" w:eastAsia="Arial" w:hAnsi="Arial"/>
                <w:sz w:val="13"/>
                <w:szCs w:val="13"/>
                <w:b w:val="1"/>
                <w:bCs w:val="1"/>
                <w:color w:val="FEFEFE"/>
                <w:w w:val="99"/>
              </w:rPr>
              <w:t>Units of</w:t>
            </w:r>
          </w:p>
        </w:tc>
        <w:tc>
          <w:tcPr>
            <w:tcW w:w="1000" w:type="dxa"/>
            <w:vAlign w:val="bottom"/>
            <w:shd w:val="clear" w:color="auto" w:fill="000000"/>
          </w:tcPr>
          <w:p>
            <w:pPr>
              <w:jc w:val="center"/>
              <w:ind w:right="14"/>
              <w:spacing w:after="0" w:line="135" w:lineRule="exact"/>
              <w:rPr>
                <w:sz w:val="20"/>
                <w:szCs w:val="20"/>
                <w:color w:val="auto"/>
              </w:rPr>
            </w:pPr>
            <w:r>
              <w:rPr>
                <w:rFonts w:ascii="Arial" w:cs="Arial" w:eastAsia="Arial" w:hAnsi="Arial"/>
                <w:sz w:val="13"/>
                <w:szCs w:val="13"/>
                <w:b w:val="1"/>
                <w:bCs w:val="1"/>
                <w:color w:val="FEFEFE"/>
                <w:w w:val="97"/>
              </w:rPr>
              <w:t>or Units</w:t>
            </w:r>
          </w:p>
        </w:tc>
        <w:tc>
          <w:tcPr>
            <w:tcW w:w="1080" w:type="dxa"/>
            <w:vAlign w:val="bottom"/>
            <w:shd w:val="clear" w:color="auto" w:fill="000000"/>
          </w:tcPr>
          <w:p>
            <w:pPr>
              <w:jc w:val="center"/>
              <w:ind w:right="36"/>
              <w:spacing w:after="0" w:line="135" w:lineRule="exact"/>
              <w:rPr>
                <w:sz w:val="20"/>
                <w:szCs w:val="20"/>
                <w:color w:val="auto"/>
              </w:rPr>
            </w:pPr>
            <w:r>
              <w:rPr>
                <w:rFonts w:ascii="Arial" w:cs="Arial" w:eastAsia="Arial" w:hAnsi="Arial"/>
                <w:sz w:val="13"/>
                <w:szCs w:val="13"/>
                <w:b w:val="1"/>
                <w:bCs w:val="1"/>
                <w:color w:val="FEFEFE"/>
                <w:w w:val="94"/>
              </w:rPr>
              <w:t>Plan</w:t>
            </w:r>
          </w:p>
        </w:tc>
        <w:tc>
          <w:tcPr>
            <w:tcW w:w="1100" w:type="dxa"/>
            <w:vAlign w:val="bottom"/>
            <w:shd w:val="clear" w:color="auto" w:fill="000000"/>
          </w:tcPr>
          <w:p>
            <w:pPr>
              <w:jc w:val="center"/>
              <w:ind w:right="116"/>
              <w:spacing w:after="0" w:line="135" w:lineRule="exact"/>
              <w:rPr>
                <w:sz w:val="20"/>
                <w:szCs w:val="20"/>
                <w:color w:val="auto"/>
              </w:rPr>
            </w:pPr>
            <w:r>
              <w:rPr>
                <w:rFonts w:ascii="Arial" w:cs="Arial" w:eastAsia="Arial" w:hAnsi="Arial"/>
                <w:sz w:val="13"/>
                <w:szCs w:val="13"/>
                <w:b w:val="1"/>
                <w:bCs w:val="1"/>
                <w:color w:val="FEFEFE"/>
              </w:rPr>
              <w:t>Plan</w:t>
            </w:r>
          </w:p>
        </w:tc>
      </w:tr>
      <w:tr>
        <w:trPr>
          <w:trHeight w:val="135"/>
        </w:trPr>
        <w:tc>
          <w:tcPr>
            <w:tcW w:w="1360" w:type="dxa"/>
            <w:vAlign w:val="bottom"/>
            <w:shd w:val="clear" w:color="auto" w:fill="000000"/>
          </w:tcPr>
          <w:p>
            <w:pPr>
              <w:spacing w:after="0"/>
              <w:rPr>
                <w:sz w:val="11"/>
                <w:szCs w:val="11"/>
                <w:color w:val="auto"/>
              </w:rPr>
            </w:pPr>
          </w:p>
        </w:tc>
        <w:tc>
          <w:tcPr>
            <w:tcW w:w="980" w:type="dxa"/>
            <w:vAlign w:val="bottom"/>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5"/>
              </w:rPr>
              <w:t>Unexercised</w:t>
            </w:r>
          </w:p>
        </w:tc>
        <w:tc>
          <w:tcPr>
            <w:tcW w:w="1120" w:type="dxa"/>
            <w:vAlign w:val="bottom"/>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5"/>
              </w:rPr>
              <w:t>Unexercised</w:t>
            </w:r>
          </w:p>
        </w:tc>
        <w:tc>
          <w:tcPr>
            <w:tcW w:w="740" w:type="dxa"/>
            <w:vAlign w:val="bottom"/>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87"/>
              </w:rPr>
              <w:t>($)</w:t>
            </w:r>
          </w:p>
        </w:tc>
        <w:tc>
          <w:tcPr>
            <w:tcW w:w="1060" w:type="dxa"/>
            <w:vAlign w:val="bottom"/>
            <w:shd w:val="clear" w:color="auto" w:fill="000000"/>
          </w:tcPr>
          <w:p>
            <w:pPr>
              <w:spacing w:after="0"/>
              <w:rPr>
                <w:sz w:val="11"/>
                <w:szCs w:val="11"/>
                <w:color w:val="auto"/>
              </w:rPr>
            </w:pPr>
          </w:p>
        </w:tc>
        <w:tc>
          <w:tcPr>
            <w:tcW w:w="940" w:type="dxa"/>
            <w:vAlign w:val="bottom"/>
            <w:shd w:val="clear" w:color="auto" w:fill="000000"/>
          </w:tcPr>
          <w:p>
            <w:pPr>
              <w:jc w:val="center"/>
              <w:ind w:right="134"/>
              <w:spacing w:after="0" w:line="135" w:lineRule="exact"/>
              <w:rPr>
                <w:sz w:val="20"/>
                <w:szCs w:val="20"/>
                <w:color w:val="auto"/>
              </w:rPr>
            </w:pPr>
            <w:r>
              <w:rPr>
                <w:rFonts w:ascii="Arial" w:cs="Arial" w:eastAsia="Arial" w:hAnsi="Arial"/>
                <w:sz w:val="13"/>
                <w:szCs w:val="13"/>
                <w:b w:val="1"/>
                <w:bCs w:val="1"/>
                <w:color w:val="FEFEFE"/>
                <w:w w:val="95"/>
              </w:rPr>
              <w:t>Stock</w:t>
            </w:r>
          </w:p>
        </w:tc>
        <w:tc>
          <w:tcPr>
            <w:tcW w:w="1000" w:type="dxa"/>
            <w:vAlign w:val="bottom"/>
            <w:shd w:val="clear" w:color="auto" w:fill="000000"/>
          </w:tcPr>
          <w:p>
            <w:pPr>
              <w:jc w:val="center"/>
              <w:ind w:right="14"/>
              <w:spacing w:after="0" w:line="135" w:lineRule="exact"/>
              <w:rPr>
                <w:sz w:val="20"/>
                <w:szCs w:val="20"/>
                <w:color w:val="auto"/>
              </w:rPr>
            </w:pPr>
            <w:r>
              <w:rPr>
                <w:rFonts w:ascii="Arial" w:cs="Arial" w:eastAsia="Arial" w:hAnsi="Arial"/>
                <w:sz w:val="13"/>
                <w:szCs w:val="13"/>
                <w:b w:val="1"/>
                <w:bCs w:val="1"/>
                <w:color w:val="FEFEFE"/>
                <w:w w:val="97"/>
              </w:rPr>
              <w:t>of Stock That</w:t>
            </w:r>
          </w:p>
        </w:tc>
        <w:tc>
          <w:tcPr>
            <w:tcW w:w="1080" w:type="dxa"/>
            <w:vAlign w:val="bottom"/>
            <w:shd w:val="clear" w:color="auto" w:fill="000000"/>
          </w:tcPr>
          <w:p>
            <w:pPr>
              <w:jc w:val="center"/>
              <w:ind w:right="36"/>
              <w:spacing w:after="0" w:line="135" w:lineRule="exact"/>
              <w:rPr>
                <w:sz w:val="20"/>
                <w:szCs w:val="20"/>
                <w:color w:val="auto"/>
              </w:rPr>
            </w:pPr>
            <w:r>
              <w:rPr>
                <w:rFonts w:ascii="Arial" w:cs="Arial" w:eastAsia="Arial" w:hAnsi="Arial"/>
                <w:sz w:val="13"/>
                <w:szCs w:val="13"/>
                <w:b w:val="1"/>
                <w:bCs w:val="1"/>
                <w:color w:val="FEFEFE"/>
                <w:w w:val="97"/>
              </w:rPr>
              <w:t>Awards:</w:t>
            </w:r>
          </w:p>
        </w:tc>
        <w:tc>
          <w:tcPr>
            <w:tcW w:w="1100" w:type="dxa"/>
            <w:vAlign w:val="bottom"/>
            <w:shd w:val="clear" w:color="auto" w:fill="000000"/>
          </w:tcPr>
          <w:p>
            <w:pPr>
              <w:jc w:val="center"/>
              <w:ind w:right="116"/>
              <w:spacing w:after="0" w:line="135" w:lineRule="exact"/>
              <w:rPr>
                <w:sz w:val="20"/>
                <w:szCs w:val="20"/>
                <w:color w:val="auto"/>
              </w:rPr>
            </w:pPr>
            <w:r>
              <w:rPr>
                <w:rFonts w:ascii="Arial" w:cs="Arial" w:eastAsia="Arial" w:hAnsi="Arial"/>
                <w:sz w:val="13"/>
                <w:szCs w:val="13"/>
                <w:b w:val="1"/>
                <w:bCs w:val="1"/>
                <w:color w:val="FEFEFE"/>
                <w:w w:val="93"/>
              </w:rPr>
              <w:t>Awards:</w:t>
            </w:r>
          </w:p>
        </w:tc>
      </w:tr>
      <w:tr>
        <w:trPr>
          <w:trHeight w:val="135"/>
        </w:trPr>
        <w:tc>
          <w:tcPr>
            <w:tcW w:w="1360" w:type="dxa"/>
            <w:vAlign w:val="bottom"/>
            <w:shd w:val="clear" w:color="auto" w:fill="000000"/>
          </w:tcPr>
          <w:p>
            <w:pPr>
              <w:spacing w:after="0"/>
              <w:rPr>
                <w:sz w:val="11"/>
                <w:szCs w:val="11"/>
                <w:color w:val="auto"/>
              </w:rPr>
            </w:pPr>
          </w:p>
        </w:tc>
        <w:tc>
          <w:tcPr>
            <w:tcW w:w="980" w:type="dxa"/>
            <w:vAlign w:val="bottom"/>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6"/>
              </w:rPr>
              <w:t>Options (#)</w:t>
            </w:r>
          </w:p>
        </w:tc>
        <w:tc>
          <w:tcPr>
            <w:tcW w:w="1120" w:type="dxa"/>
            <w:vAlign w:val="bottom"/>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6"/>
              </w:rPr>
              <w:t>Options (#)</w:t>
            </w:r>
          </w:p>
        </w:tc>
        <w:tc>
          <w:tcPr>
            <w:tcW w:w="740" w:type="dxa"/>
            <w:vAlign w:val="bottom"/>
            <w:shd w:val="clear" w:color="auto" w:fill="000000"/>
          </w:tcPr>
          <w:p>
            <w:pPr>
              <w:spacing w:after="0"/>
              <w:rPr>
                <w:sz w:val="11"/>
                <w:szCs w:val="11"/>
                <w:color w:val="auto"/>
              </w:rPr>
            </w:pPr>
          </w:p>
        </w:tc>
        <w:tc>
          <w:tcPr>
            <w:tcW w:w="1060" w:type="dxa"/>
            <w:vAlign w:val="bottom"/>
            <w:shd w:val="clear" w:color="auto" w:fill="000000"/>
          </w:tcPr>
          <w:p>
            <w:pPr>
              <w:spacing w:after="0"/>
              <w:rPr>
                <w:sz w:val="11"/>
                <w:szCs w:val="11"/>
                <w:color w:val="auto"/>
              </w:rPr>
            </w:pPr>
          </w:p>
        </w:tc>
        <w:tc>
          <w:tcPr>
            <w:tcW w:w="940" w:type="dxa"/>
            <w:vAlign w:val="bottom"/>
            <w:shd w:val="clear" w:color="auto" w:fill="000000"/>
          </w:tcPr>
          <w:p>
            <w:pPr>
              <w:jc w:val="center"/>
              <w:ind w:right="114"/>
              <w:spacing w:after="0" w:line="135" w:lineRule="exact"/>
              <w:rPr>
                <w:sz w:val="20"/>
                <w:szCs w:val="20"/>
                <w:color w:val="auto"/>
              </w:rPr>
            </w:pPr>
            <w:r>
              <w:rPr>
                <w:rFonts w:ascii="Arial" w:cs="Arial" w:eastAsia="Arial" w:hAnsi="Arial"/>
                <w:sz w:val="13"/>
                <w:szCs w:val="13"/>
                <w:b w:val="1"/>
                <w:bCs w:val="1"/>
                <w:color w:val="FEFEFE"/>
                <w:w w:val="96"/>
              </w:rPr>
              <w:t>That Have</w:t>
            </w:r>
          </w:p>
        </w:tc>
        <w:tc>
          <w:tcPr>
            <w:tcW w:w="1000" w:type="dxa"/>
            <w:vAlign w:val="bottom"/>
            <w:shd w:val="clear" w:color="auto" w:fill="000000"/>
          </w:tcPr>
          <w:p>
            <w:pPr>
              <w:jc w:val="center"/>
              <w:ind w:right="34"/>
              <w:spacing w:after="0" w:line="135" w:lineRule="exact"/>
              <w:rPr>
                <w:sz w:val="20"/>
                <w:szCs w:val="20"/>
                <w:color w:val="auto"/>
              </w:rPr>
            </w:pPr>
            <w:r>
              <w:rPr>
                <w:rFonts w:ascii="Arial" w:cs="Arial" w:eastAsia="Arial" w:hAnsi="Arial"/>
                <w:sz w:val="13"/>
                <w:szCs w:val="13"/>
                <w:b w:val="1"/>
                <w:bCs w:val="1"/>
                <w:color w:val="FEFEFE"/>
                <w:w w:val="95"/>
              </w:rPr>
              <w:t>Have Not</w:t>
            </w:r>
          </w:p>
        </w:tc>
        <w:tc>
          <w:tcPr>
            <w:tcW w:w="1080" w:type="dxa"/>
            <w:vAlign w:val="bottom"/>
            <w:shd w:val="clear" w:color="auto" w:fill="000000"/>
          </w:tcPr>
          <w:p>
            <w:pPr>
              <w:jc w:val="center"/>
              <w:ind w:right="16"/>
              <w:spacing w:after="0" w:line="135" w:lineRule="exact"/>
              <w:rPr>
                <w:sz w:val="20"/>
                <w:szCs w:val="20"/>
                <w:color w:val="auto"/>
              </w:rPr>
            </w:pPr>
            <w:r>
              <w:rPr>
                <w:rFonts w:ascii="Arial" w:cs="Arial" w:eastAsia="Arial" w:hAnsi="Arial"/>
                <w:sz w:val="13"/>
                <w:szCs w:val="13"/>
                <w:b w:val="1"/>
                <w:bCs w:val="1"/>
                <w:color w:val="FEFEFE"/>
                <w:w w:val="98"/>
              </w:rPr>
              <w:t>Number of</w:t>
            </w:r>
          </w:p>
        </w:tc>
        <w:tc>
          <w:tcPr>
            <w:tcW w:w="1100" w:type="dxa"/>
            <w:vAlign w:val="bottom"/>
            <w:shd w:val="clear" w:color="auto" w:fill="000000"/>
          </w:tcPr>
          <w:p>
            <w:pPr>
              <w:jc w:val="center"/>
              <w:ind w:right="116"/>
              <w:spacing w:after="0" w:line="135" w:lineRule="exact"/>
              <w:rPr>
                <w:sz w:val="20"/>
                <w:szCs w:val="20"/>
                <w:color w:val="auto"/>
              </w:rPr>
            </w:pPr>
            <w:r>
              <w:rPr>
                <w:rFonts w:ascii="Arial" w:cs="Arial" w:eastAsia="Arial" w:hAnsi="Arial"/>
                <w:sz w:val="13"/>
                <w:szCs w:val="13"/>
                <w:b w:val="1"/>
                <w:bCs w:val="1"/>
                <w:color w:val="FEFEFE"/>
                <w:w w:val="95"/>
              </w:rPr>
              <w:t>Market or</w:t>
            </w:r>
          </w:p>
        </w:tc>
      </w:tr>
      <w:tr>
        <w:trPr>
          <w:trHeight w:val="135"/>
        </w:trPr>
        <w:tc>
          <w:tcPr>
            <w:tcW w:w="1360" w:type="dxa"/>
            <w:vAlign w:val="bottom"/>
            <w:shd w:val="clear" w:color="auto" w:fill="000000"/>
          </w:tcPr>
          <w:p>
            <w:pPr>
              <w:spacing w:after="0"/>
              <w:rPr>
                <w:sz w:val="11"/>
                <w:szCs w:val="11"/>
                <w:color w:val="auto"/>
              </w:rPr>
            </w:pPr>
          </w:p>
        </w:tc>
        <w:tc>
          <w:tcPr>
            <w:tcW w:w="980" w:type="dxa"/>
            <w:vAlign w:val="bottom"/>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6"/>
              </w:rPr>
              <w:t>Exercisable</w:t>
            </w:r>
          </w:p>
        </w:tc>
        <w:tc>
          <w:tcPr>
            <w:tcW w:w="1120" w:type="dxa"/>
            <w:vAlign w:val="bottom"/>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7"/>
              </w:rPr>
              <w:t>Unexercisable</w:t>
            </w:r>
          </w:p>
        </w:tc>
        <w:tc>
          <w:tcPr>
            <w:tcW w:w="740" w:type="dxa"/>
            <w:vAlign w:val="bottom"/>
            <w:shd w:val="clear" w:color="auto" w:fill="000000"/>
          </w:tcPr>
          <w:p>
            <w:pPr>
              <w:spacing w:after="0"/>
              <w:rPr>
                <w:sz w:val="11"/>
                <w:szCs w:val="11"/>
                <w:color w:val="auto"/>
              </w:rPr>
            </w:pPr>
          </w:p>
        </w:tc>
        <w:tc>
          <w:tcPr>
            <w:tcW w:w="1060" w:type="dxa"/>
            <w:vAlign w:val="bottom"/>
            <w:shd w:val="clear" w:color="auto" w:fill="000000"/>
          </w:tcPr>
          <w:p>
            <w:pPr>
              <w:spacing w:after="0"/>
              <w:rPr>
                <w:sz w:val="11"/>
                <w:szCs w:val="11"/>
                <w:color w:val="auto"/>
              </w:rPr>
            </w:pPr>
          </w:p>
        </w:tc>
        <w:tc>
          <w:tcPr>
            <w:tcW w:w="940" w:type="dxa"/>
            <w:vAlign w:val="bottom"/>
            <w:shd w:val="clear" w:color="auto" w:fill="000000"/>
          </w:tcPr>
          <w:p>
            <w:pPr>
              <w:jc w:val="center"/>
              <w:ind w:right="114"/>
              <w:spacing w:after="0" w:line="135" w:lineRule="exact"/>
              <w:rPr>
                <w:sz w:val="20"/>
                <w:szCs w:val="20"/>
                <w:color w:val="auto"/>
              </w:rPr>
            </w:pPr>
            <w:r>
              <w:rPr>
                <w:rFonts w:ascii="Arial" w:cs="Arial" w:eastAsia="Arial" w:hAnsi="Arial"/>
                <w:sz w:val="13"/>
                <w:szCs w:val="13"/>
                <w:b w:val="1"/>
                <w:bCs w:val="1"/>
                <w:color w:val="FEFEFE"/>
                <w:w w:val="94"/>
              </w:rPr>
              <w:t>Not Vested</w:t>
            </w:r>
          </w:p>
        </w:tc>
        <w:tc>
          <w:tcPr>
            <w:tcW w:w="1000" w:type="dxa"/>
            <w:vAlign w:val="bottom"/>
            <w:shd w:val="clear" w:color="auto" w:fill="000000"/>
          </w:tcPr>
          <w:p>
            <w:pPr>
              <w:jc w:val="center"/>
              <w:ind w:right="14"/>
              <w:spacing w:after="0" w:line="135" w:lineRule="exact"/>
              <w:rPr>
                <w:sz w:val="20"/>
                <w:szCs w:val="20"/>
                <w:color w:val="auto"/>
              </w:rPr>
            </w:pPr>
            <w:r>
              <w:rPr>
                <w:rFonts w:ascii="Arial" w:cs="Arial" w:eastAsia="Arial" w:hAnsi="Arial"/>
                <w:sz w:val="13"/>
                <w:szCs w:val="13"/>
                <w:b w:val="1"/>
                <w:bCs w:val="1"/>
                <w:color w:val="FEFEFE"/>
                <w:w w:val="93"/>
              </w:rPr>
              <w:t>Vested</w:t>
            </w:r>
          </w:p>
        </w:tc>
        <w:tc>
          <w:tcPr>
            <w:tcW w:w="1080" w:type="dxa"/>
            <w:vAlign w:val="bottom"/>
            <w:shd w:val="clear" w:color="auto" w:fill="000000"/>
          </w:tcPr>
          <w:p>
            <w:pPr>
              <w:jc w:val="center"/>
              <w:ind w:right="36"/>
              <w:spacing w:after="0" w:line="135" w:lineRule="exact"/>
              <w:rPr>
                <w:sz w:val="20"/>
                <w:szCs w:val="20"/>
                <w:color w:val="auto"/>
              </w:rPr>
            </w:pPr>
            <w:r>
              <w:rPr>
                <w:rFonts w:ascii="Arial" w:cs="Arial" w:eastAsia="Arial" w:hAnsi="Arial"/>
                <w:sz w:val="13"/>
                <w:szCs w:val="13"/>
                <w:b w:val="1"/>
                <w:bCs w:val="1"/>
                <w:color w:val="FEFEFE"/>
                <w:w w:val="96"/>
              </w:rPr>
              <w:t>Unearned</w:t>
            </w:r>
          </w:p>
        </w:tc>
        <w:tc>
          <w:tcPr>
            <w:tcW w:w="1100" w:type="dxa"/>
            <w:vAlign w:val="bottom"/>
            <w:shd w:val="clear" w:color="auto" w:fill="000000"/>
          </w:tcPr>
          <w:p>
            <w:pPr>
              <w:jc w:val="center"/>
              <w:ind w:right="96"/>
              <w:spacing w:after="0" w:line="135" w:lineRule="exact"/>
              <w:rPr>
                <w:sz w:val="20"/>
                <w:szCs w:val="20"/>
                <w:color w:val="auto"/>
              </w:rPr>
            </w:pPr>
            <w:r>
              <w:rPr>
                <w:rFonts w:ascii="Arial" w:cs="Arial" w:eastAsia="Arial" w:hAnsi="Arial"/>
                <w:sz w:val="13"/>
                <w:szCs w:val="13"/>
                <w:b w:val="1"/>
                <w:bCs w:val="1"/>
                <w:color w:val="FEFEFE"/>
                <w:w w:val="96"/>
              </w:rPr>
              <w:t>Payout</w:t>
            </w:r>
          </w:p>
        </w:tc>
      </w:tr>
      <w:tr>
        <w:trPr>
          <w:trHeight w:val="135"/>
        </w:trPr>
        <w:tc>
          <w:tcPr>
            <w:tcW w:w="1360" w:type="dxa"/>
            <w:vAlign w:val="bottom"/>
            <w:shd w:val="clear" w:color="auto" w:fill="000000"/>
          </w:tcPr>
          <w:p>
            <w:pPr>
              <w:spacing w:after="0"/>
              <w:rPr>
                <w:sz w:val="11"/>
                <w:szCs w:val="11"/>
                <w:color w:val="auto"/>
              </w:rPr>
            </w:pPr>
          </w:p>
        </w:tc>
        <w:tc>
          <w:tcPr>
            <w:tcW w:w="980" w:type="dxa"/>
            <w:vAlign w:val="bottom"/>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87"/>
              </w:rPr>
              <w:t>(#)</w:t>
            </w:r>
          </w:p>
        </w:tc>
        <w:tc>
          <w:tcPr>
            <w:tcW w:w="1120" w:type="dxa"/>
            <w:vAlign w:val="bottom"/>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87"/>
              </w:rPr>
              <w:t>(#)</w:t>
            </w:r>
          </w:p>
        </w:tc>
        <w:tc>
          <w:tcPr>
            <w:tcW w:w="740" w:type="dxa"/>
            <w:vAlign w:val="bottom"/>
            <w:shd w:val="clear" w:color="auto" w:fill="000000"/>
          </w:tcPr>
          <w:p>
            <w:pPr>
              <w:spacing w:after="0"/>
              <w:rPr>
                <w:sz w:val="11"/>
                <w:szCs w:val="11"/>
                <w:color w:val="auto"/>
              </w:rPr>
            </w:pPr>
          </w:p>
        </w:tc>
        <w:tc>
          <w:tcPr>
            <w:tcW w:w="1060" w:type="dxa"/>
            <w:vAlign w:val="bottom"/>
            <w:shd w:val="clear" w:color="auto" w:fill="000000"/>
          </w:tcPr>
          <w:p>
            <w:pPr>
              <w:spacing w:after="0"/>
              <w:rPr>
                <w:sz w:val="11"/>
                <w:szCs w:val="11"/>
                <w:color w:val="auto"/>
              </w:rPr>
            </w:pPr>
          </w:p>
        </w:tc>
        <w:tc>
          <w:tcPr>
            <w:tcW w:w="940" w:type="dxa"/>
            <w:vAlign w:val="bottom"/>
            <w:shd w:val="clear" w:color="auto" w:fill="000000"/>
          </w:tcPr>
          <w:p>
            <w:pPr>
              <w:jc w:val="center"/>
              <w:ind w:right="114"/>
              <w:spacing w:after="0" w:line="135" w:lineRule="exact"/>
              <w:rPr>
                <w:sz w:val="20"/>
                <w:szCs w:val="20"/>
                <w:color w:val="auto"/>
              </w:rPr>
            </w:pPr>
            <w:r>
              <w:rPr>
                <w:rFonts w:ascii="Arial" w:cs="Arial" w:eastAsia="Arial" w:hAnsi="Arial"/>
                <w:sz w:val="13"/>
                <w:szCs w:val="13"/>
                <w:b w:val="1"/>
                <w:bCs w:val="1"/>
                <w:color w:val="FEFEFE"/>
              </w:rPr>
              <w:t>(#)</w:t>
            </w:r>
          </w:p>
        </w:tc>
        <w:tc>
          <w:tcPr>
            <w:tcW w:w="1000" w:type="dxa"/>
            <w:vAlign w:val="bottom"/>
            <w:shd w:val="clear" w:color="auto" w:fill="000000"/>
          </w:tcPr>
          <w:p>
            <w:pPr>
              <w:jc w:val="center"/>
              <w:ind w:right="14"/>
              <w:spacing w:after="0" w:line="135" w:lineRule="exact"/>
              <w:rPr>
                <w:sz w:val="20"/>
                <w:szCs w:val="20"/>
                <w:color w:val="auto"/>
              </w:rPr>
            </w:pPr>
            <w:r>
              <w:rPr>
                <w:rFonts w:ascii="Arial" w:cs="Arial" w:eastAsia="Arial" w:hAnsi="Arial"/>
                <w:sz w:val="13"/>
                <w:szCs w:val="13"/>
                <w:b w:val="1"/>
                <w:bCs w:val="1"/>
                <w:color w:val="FEFEFE"/>
              </w:rPr>
              <w:t>(#)</w:t>
            </w:r>
          </w:p>
        </w:tc>
        <w:tc>
          <w:tcPr>
            <w:tcW w:w="1080" w:type="dxa"/>
            <w:vAlign w:val="bottom"/>
            <w:shd w:val="clear" w:color="auto" w:fill="000000"/>
          </w:tcPr>
          <w:p>
            <w:pPr>
              <w:jc w:val="center"/>
              <w:ind w:right="36"/>
              <w:spacing w:after="0" w:line="135" w:lineRule="exact"/>
              <w:rPr>
                <w:sz w:val="20"/>
                <w:szCs w:val="20"/>
                <w:color w:val="auto"/>
              </w:rPr>
            </w:pPr>
            <w:r>
              <w:rPr>
                <w:rFonts w:ascii="Arial" w:cs="Arial" w:eastAsia="Arial" w:hAnsi="Arial"/>
                <w:sz w:val="13"/>
                <w:szCs w:val="13"/>
                <w:b w:val="1"/>
                <w:bCs w:val="1"/>
                <w:color w:val="FEFEFE"/>
                <w:w w:val="97"/>
              </w:rPr>
              <w:t>Shares,</w:t>
            </w:r>
          </w:p>
        </w:tc>
        <w:tc>
          <w:tcPr>
            <w:tcW w:w="1100" w:type="dxa"/>
            <w:vAlign w:val="bottom"/>
            <w:shd w:val="clear" w:color="auto" w:fill="000000"/>
          </w:tcPr>
          <w:p>
            <w:pPr>
              <w:jc w:val="center"/>
              <w:ind w:right="116"/>
              <w:spacing w:after="0" w:line="135" w:lineRule="exact"/>
              <w:rPr>
                <w:sz w:val="20"/>
                <w:szCs w:val="20"/>
                <w:color w:val="auto"/>
              </w:rPr>
            </w:pPr>
            <w:r>
              <w:rPr>
                <w:rFonts w:ascii="Arial" w:cs="Arial" w:eastAsia="Arial" w:hAnsi="Arial"/>
                <w:sz w:val="13"/>
                <w:szCs w:val="13"/>
                <w:b w:val="1"/>
                <w:bCs w:val="1"/>
                <w:color w:val="FEFEFE"/>
                <w:w w:val="94"/>
              </w:rPr>
              <w:t>Value of</w:t>
            </w:r>
          </w:p>
        </w:tc>
      </w:tr>
      <w:tr>
        <w:trPr>
          <w:trHeight w:val="135"/>
        </w:trPr>
        <w:tc>
          <w:tcPr>
            <w:tcW w:w="1360" w:type="dxa"/>
            <w:vAlign w:val="bottom"/>
            <w:shd w:val="clear" w:color="auto" w:fill="000000"/>
          </w:tcPr>
          <w:p>
            <w:pPr>
              <w:spacing w:after="0"/>
              <w:rPr>
                <w:sz w:val="11"/>
                <w:szCs w:val="11"/>
                <w:color w:val="auto"/>
              </w:rPr>
            </w:pPr>
          </w:p>
        </w:tc>
        <w:tc>
          <w:tcPr>
            <w:tcW w:w="980" w:type="dxa"/>
            <w:vAlign w:val="bottom"/>
            <w:shd w:val="clear" w:color="auto" w:fill="000000"/>
          </w:tcPr>
          <w:p>
            <w:pPr>
              <w:spacing w:after="0"/>
              <w:rPr>
                <w:sz w:val="11"/>
                <w:szCs w:val="11"/>
                <w:color w:val="auto"/>
              </w:rPr>
            </w:pPr>
          </w:p>
        </w:tc>
        <w:tc>
          <w:tcPr>
            <w:tcW w:w="1120" w:type="dxa"/>
            <w:vAlign w:val="bottom"/>
            <w:shd w:val="clear" w:color="auto" w:fill="000000"/>
          </w:tcPr>
          <w:p>
            <w:pPr>
              <w:spacing w:after="0"/>
              <w:rPr>
                <w:sz w:val="11"/>
                <w:szCs w:val="11"/>
                <w:color w:val="auto"/>
              </w:rPr>
            </w:pPr>
          </w:p>
        </w:tc>
        <w:tc>
          <w:tcPr>
            <w:tcW w:w="740" w:type="dxa"/>
            <w:vAlign w:val="bottom"/>
            <w:shd w:val="clear" w:color="auto" w:fill="000000"/>
          </w:tcPr>
          <w:p>
            <w:pPr>
              <w:spacing w:after="0"/>
              <w:rPr>
                <w:sz w:val="11"/>
                <w:szCs w:val="11"/>
                <w:color w:val="auto"/>
              </w:rPr>
            </w:pPr>
          </w:p>
        </w:tc>
        <w:tc>
          <w:tcPr>
            <w:tcW w:w="1060" w:type="dxa"/>
            <w:vAlign w:val="bottom"/>
            <w:shd w:val="clear" w:color="auto" w:fill="000000"/>
          </w:tcPr>
          <w:p>
            <w:pPr>
              <w:spacing w:after="0"/>
              <w:rPr>
                <w:sz w:val="11"/>
                <w:szCs w:val="11"/>
                <w:color w:val="auto"/>
              </w:rPr>
            </w:pPr>
          </w:p>
        </w:tc>
        <w:tc>
          <w:tcPr>
            <w:tcW w:w="940" w:type="dxa"/>
            <w:vAlign w:val="bottom"/>
            <w:shd w:val="clear" w:color="auto" w:fill="000000"/>
          </w:tcPr>
          <w:p>
            <w:pPr>
              <w:spacing w:after="0"/>
              <w:rPr>
                <w:sz w:val="11"/>
                <w:szCs w:val="11"/>
                <w:color w:val="auto"/>
              </w:rPr>
            </w:pPr>
          </w:p>
        </w:tc>
        <w:tc>
          <w:tcPr>
            <w:tcW w:w="1000" w:type="dxa"/>
            <w:vAlign w:val="bottom"/>
            <w:shd w:val="clear" w:color="auto" w:fill="000000"/>
          </w:tcPr>
          <w:p>
            <w:pPr>
              <w:spacing w:after="0"/>
              <w:rPr>
                <w:sz w:val="11"/>
                <w:szCs w:val="11"/>
                <w:color w:val="auto"/>
              </w:rPr>
            </w:pPr>
          </w:p>
        </w:tc>
        <w:tc>
          <w:tcPr>
            <w:tcW w:w="1080" w:type="dxa"/>
            <w:vAlign w:val="bottom"/>
            <w:shd w:val="clear" w:color="auto" w:fill="000000"/>
          </w:tcPr>
          <w:p>
            <w:pPr>
              <w:jc w:val="center"/>
              <w:ind w:right="16"/>
              <w:spacing w:after="0" w:line="135" w:lineRule="exact"/>
              <w:rPr>
                <w:sz w:val="20"/>
                <w:szCs w:val="20"/>
                <w:color w:val="auto"/>
              </w:rPr>
            </w:pPr>
            <w:r>
              <w:rPr>
                <w:rFonts w:ascii="Arial" w:cs="Arial" w:eastAsia="Arial" w:hAnsi="Arial"/>
                <w:sz w:val="13"/>
                <w:szCs w:val="13"/>
                <w:b w:val="1"/>
                <w:bCs w:val="1"/>
                <w:color w:val="FEFEFE"/>
                <w:w w:val="97"/>
              </w:rPr>
              <w:t>Units or</w:t>
            </w:r>
          </w:p>
        </w:tc>
        <w:tc>
          <w:tcPr>
            <w:tcW w:w="1100" w:type="dxa"/>
            <w:vAlign w:val="bottom"/>
            <w:shd w:val="clear" w:color="auto" w:fill="000000"/>
          </w:tcPr>
          <w:p>
            <w:pPr>
              <w:jc w:val="center"/>
              <w:ind w:right="96"/>
              <w:spacing w:after="0" w:line="135" w:lineRule="exact"/>
              <w:rPr>
                <w:sz w:val="20"/>
                <w:szCs w:val="20"/>
                <w:color w:val="auto"/>
              </w:rPr>
            </w:pPr>
            <w:r>
              <w:rPr>
                <w:rFonts w:ascii="Arial" w:cs="Arial" w:eastAsia="Arial" w:hAnsi="Arial"/>
                <w:sz w:val="13"/>
                <w:szCs w:val="13"/>
                <w:b w:val="1"/>
                <w:bCs w:val="1"/>
                <w:color w:val="FEFEFE"/>
                <w:w w:val="96"/>
              </w:rPr>
              <w:t>Unearned</w:t>
            </w:r>
          </w:p>
        </w:tc>
      </w:tr>
      <w:tr>
        <w:trPr>
          <w:trHeight w:val="135"/>
        </w:trPr>
        <w:tc>
          <w:tcPr>
            <w:tcW w:w="1360" w:type="dxa"/>
            <w:vAlign w:val="bottom"/>
            <w:shd w:val="clear" w:color="auto" w:fill="000000"/>
          </w:tcPr>
          <w:p>
            <w:pPr>
              <w:spacing w:after="0"/>
              <w:rPr>
                <w:sz w:val="11"/>
                <w:szCs w:val="11"/>
                <w:color w:val="auto"/>
              </w:rPr>
            </w:pPr>
          </w:p>
        </w:tc>
        <w:tc>
          <w:tcPr>
            <w:tcW w:w="980" w:type="dxa"/>
            <w:vAlign w:val="bottom"/>
            <w:shd w:val="clear" w:color="auto" w:fill="000000"/>
          </w:tcPr>
          <w:p>
            <w:pPr>
              <w:spacing w:after="0"/>
              <w:rPr>
                <w:sz w:val="11"/>
                <w:szCs w:val="11"/>
                <w:color w:val="auto"/>
              </w:rPr>
            </w:pPr>
          </w:p>
        </w:tc>
        <w:tc>
          <w:tcPr>
            <w:tcW w:w="1120" w:type="dxa"/>
            <w:vAlign w:val="bottom"/>
            <w:shd w:val="clear" w:color="auto" w:fill="000000"/>
          </w:tcPr>
          <w:p>
            <w:pPr>
              <w:spacing w:after="0"/>
              <w:rPr>
                <w:sz w:val="11"/>
                <w:szCs w:val="11"/>
                <w:color w:val="auto"/>
              </w:rPr>
            </w:pPr>
          </w:p>
        </w:tc>
        <w:tc>
          <w:tcPr>
            <w:tcW w:w="740" w:type="dxa"/>
            <w:vAlign w:val="bottom"/>
            <w:shd w:val="clear" w:color="auto" w:fill="000000"/>
          </w:tcPr>
          <w:p>
            <w:pPr>
              <w:spacing w:after="0"/>
              <w:rPr>
                <w:sz w:val="11"/>
                <w:szCs w:val="11"/>
                <w:color w:val="auto"/>
              </w:rPr>
            </w:pPr>
          </w:p>
        </w:tc>
        <w:tc>
          <w:tcPr>
            <w:tcW w:w="1060" w:type="dxa"/>
            <w:vAlign w:val="bottom"/>
            <w:shd w:val="clear" w:color="auto" w:fill="000000"/>
          </w:tcPr>
          <w:p>
            <w:pPr>
              <w:spacing w:after="0"/>
              <w:rPr>
                <w:sz w:val="11"/>
                <w:szCs w:val="11"/>
                <w:color w:val="auto"/>
              </w:rPr>
            </w:pPr>
          </w:p>
        </w:tc>
        <w:tc>
          <w:tcPr>
            <w:tcW w:w="940" w:type="dxa"/>
            <w:vAlign w:val="bottom"/>
            <w:shd w:val="clear" w:color="auto" w:fill="000000"/>
          </w:tcPr>
          <w:p>
            <w:pPr>
              <w:spacing w:after="0"/>
              <w:rPr>
                <w:sz w:val="11"/>
                <w:szCs w:val="11"/>
                <w:color w:val="auto"/>
              </w:rPr>
            </w:pPr>
          </w:p>
        </w:tc>
        <w:tc>
          <w:tcPr>
            <w:tcW w:w="1000" w:type="dxa"/>
            <w:vAlign w:val="bottom"/>
            <w:shd w:val="clear" w:color="auto" w:fill="000000"/>
          </w:tcPr>
          <w:p>
            <w:pPr>
              <w:spacing w:after="0"/>
              <w:rPr>
                <w:sz w:val="11"/>
                <w:szCs w:val="11"/>
                <w:color w:val="auto"/>
              </w:rPr>
            </w:pPr>
          </w:p>
        </w:tc>
        <w:tc>
          <w:tcPr>
            <w:tcW w:w="1080" w:type="dxa"/>
            <w:vAlign w:val="bottom"/>
            <w:shd w:val="clear" w:color="auto" w:fill="000000"/>
          </w:tcPr>
          <w:p>
            <w:pPr>
              <w:jc w:val="center"/>
              <w:ind w:right="16"/>
              <w:spacing w:after="0" w:line="135" w:lineRule="exact"/>
              <w:rPr>
                <w:sz w:val="20"/>
                <w:szCs w:val="20"/>
                <w:color w:val="auto"/>
              </w:rPr>
            </w:pPr>
            <w:r>
              <w:rPr>
                <w:rFonts w:ascii="Arial" w:cs="Arial" w:eastAsia="Arial" w:hAnsi="Arial"/>
                <w:sz w:val="13"/>
                <w:szCs w:val="13"/>
                <w:b w:val="1"/>
                <w:bCs w:val="1"/>
                <w:color w:val="FEFEFE"/>
                <w:w w:val="96"/>
              </w:rPr>
              <w:t>Other Rights</w:t>
            </w:r>
          </w:p>
        </w:tc>
        <w:tc>
          <w:tcPr>
            <w:tcW w:w="1100" w:type="dxa"/>
            <w:vAlign w:val="bottom"/>
            <w:shd w:val="clear" w:color="auto" w:fill="000000"/>
          </w:tcPr>
          <w:p>
            <w:pPr>
              <w:jc w:val="center"/>
              <w:ind w:right="116"/>
              <w:spacing w:after="0" w:line="135" w:lineRule="exact"/>
              <w:rPr>
                <w:sz w:val="20"/>
                <w:szCs w:val="20"/>
                <w:color w:val="auto"/>
              </w:rPr>
            </w:pPr>
            <w:r>
              <w:rPr>
                <w:rFonts w:ascii="Arial" w:cs="Arial" w:eastAsia="Arial" w:hAnsi="Arial"/>
                <w:sz w:val="13"/>
                <w:szCs w:val="13"/>
                <w:b w:val="1"/>
                <w:bCs w:val="1"/>
                <w:color w:val="FEFEFE"/>
                <w:w w:val="93"/>
              </w:rPr>
              <w:t>Shares,</w:t>
            </w:r>
          </w:p>
        </w:tc>
      </w:tr>
      <w:tr>
        <w:trPr>
          <w:trHeight w:val="135"/>
        </w:trPr>
        <w:tc>
          <w:tcPr>
            <w:tcW w:w="1360" w:type="dxa"/>
            <w:vAlign w:val="bottom"/>
            <w:shd w:val="clear" w:color="auto" w:fill="000000"/>
          </w:tcPr>
          <w:p>
            <w:pPr>
              <w:spacing w:after="0"/>
              <w:rPr>
                <w:sz w:val="11"/>
                <w:szCs w:val="11"/>
                <w:color w:val="auto"/>
              </w:rPr>
            </w:pPr>
          </w:p>
        </w:tc>
        <w:tc>
          <w:tcPr>
            <w:tcW w:w="980" w:type="dxa"/>
            <w:vAlign w:val="bottom"/>
            <w:shd w:val="clear" w:color="auto" w:fill="000000"/>
          </w:tcPr>
          <w:p>
            <w:pPr>
              <w:spacing w:after="0"/>
              <w:rPr>
                <w:sz w:val="11"/>
                <w:szCs w:val="11"/>
                <w:color w:val="auto"/>
              </w:rPr>
            </w:pPr>
          </w:p>
        </w:tc>
        <w:tc>
          <w:tcPr>
            <w:tcW w:w="1120" w:type="dxa"/>
            <w:vAlign w:val="bottom"/>
            <w:shd w:val="clear" w:color="auto" w:fill="000000"/>
          </w:tcPr>
          <w:p>
            <w:pPr>
              <w:spacing w:after="0"/>
              <w:rPr>
                <w:sz w:val="11"/>
                <w:szCs w:val="11"/>
                <w:color w:val="auto"/>
              </w:rPr>
            </w:pPr>
          </w:p>
        </w:tc>
        <w:tc>
          <w:tcPr>
            <w:tcW w:w="740" w:type="dxa"/>
            <w:vAlign w:val="bottom"/>
            <w:shd w:val="clear" w:color="auto" w:fill="000000"/>
          </w:tcPr>
          <w:p>
            <w:pPr>
              <w:spacing w:after="0"/>
              <w:rPr>
                <w:sz w:val="11"/>
                <w:szCs w:val="11"/>
                <w:color w:val="auto"/>
              </w:rPr>
            </w:pPr>
          </w:p>
        </w:tc>
        <w:tc>
          <w:tcPr>
            <w:tcW w:w="1060" w:type="dxa"/>
            <w:vAlign w:val="bottom"/>
            <w:shd w:val="clear" w:color="auto" w:fill="000000"/>
          </w:tcPr>
          <w:p>
            <w:pPr>
              <w:spacing w:after="0"/>
              <w:rPr>
                <w:sz w:val="11"/>
                <w:szCs w:val="11"/>
                <w:color w:val="auto"/>
              </w:rPr>
            </w:pPr>
          </w:p>
        </w:tc>
        <w:tc>
          <w:tcPr>
            <w:tcW w:w="940" w:type="dxa"/>
            <w:vAlign w:val="bottom"/>
            <w:shd w:val="clear" w:color="auto" w:fill="000000"/>
          </w:tcPr>
          <w:p>
            <w:pPr>
              <w:spacing w:after="0"/>
              <w:rPr>
                <w:sz w:val="11"/>
                <w:szCs w:val="11"/>
                <w:color w:val="auto"/>
              </w:rPr>
            </w:pPr>
          </w:p>
        </w:tc>
        <w:tc>
          <w:tcPr>
            <w:tcW w:w="1000" w:type="dxa"/>
            <w:vAlign w:val="bottom"/>
            <w:shd w:val="clear" w:color="auto" w:fill="000000"/>
          </w:tcPr>
          <w:p>
            <w:pPr>
              <w:spacing w:after="0"/>
              <w:rPr>
                <w:sz w:val="11"/>
                <w:szCs w:val="11"/>
                <w:color w:val="auto"/>
              </w:rPr>
            </w:pPr>
          </w:p>
        </w:tc>
        <w:tc>
          <w:tcPr>
            <w:tcW w:w="1080" w:type="dxa"/>
            <w:vAlign w:val="bottom"/>
            <w:shd w:val="clear" w:color="auto" w:fill="000000"/>
          </w:tcPr>
          <w:p>
            <w:pPr>
              <w:jc w:val="center"/>
              <w:ind w:right="16"/>
              <w:spacing w:after="0" w:line="135" w:lineRule="exact"/>
              <w:rPr>
                <w:sz w:val="20"/>
                <w:szCs w:val="20"/>
                <w:color w:val="auto"/>
              </w:rPr>
            </w:pPr>
            <w:r>
              <w:rPr>
                <w:rFonts w:ascii="Arial" w:cs="Arial" w:eastAsia="Arial" w:hAnsi="Arial"/>
                <w:sz w:val="13"/>
                <w:szCs w:val="13"/>
                <w:b w:val="1"/>
                <w:bCs w:val="1"/>
                <w:color w:val="FEFEFE"/>
                <w:w w:val="96"/>
              </w:rPr>
              <w:t>That Have</w:t>
            </w:r>
          </w:p>
        </w:tc>
        <w:tc>
          <w:tcPr>
            <w:tcW w:w="1100" w:type="dxa"/>
            <w:vAlign w:val="bottom"/>
            <w:shd w:val="clear" w:color="auto" w:fill="000000"/>
          </w:tcPr>
          <w:p>
            <w:pPr>
              <w:jc w:val="center"/>
              <w:ind w:right="116"/>
              <w:spacing w:after="0" w:line="135" w:lineRule="exact"/>
              <w:rPr>
                <w:sz w:val="20"/>
                <w:szCs w:val="20"/>
                <w:color w:val="auto"/>
              </w:rPr>
            </w:pPr>
            <w:r>
              <w:rPr>
                <w:rFonts w:ascii="Arial" w:cs="Arial" w:eastAsia="Arial" w:hAnsi="Arial"/>
                <w:sz w:val="13"/>
                <w:szCs w:val="13"/>
                <w:b w:val="1"/>
                <w:bCs w:val="1"/>
                <w:color w:val="FEFEFE"/>
                <w:w w:val="97"/>
              </w:rPr>
              <w:t>Units or</w:t>
            </w:r>
          </w:p>
        </w:tc>
      </w:tr>
      <w:tr>
        <w:trPr>
          <w:trHeight w:val="135"/>
        </w:trPr>
        <w:tc>
          <w:tcPr>
            <w:tcW w:w="1360" w:type="dxa"/>
            <w:vAlign w:val="bottom"/>
            <w:shd w:val="clear" w:color="auto" w:fill="000000"/>
          </w:tcPr>
          <w:p>
            <w:pPr>
              <w:spacing w:after="0"/>
              <w:rPr>
                <w:sz w:val="11"/>
                <w:szCs w:val="11"/>
                <w:color w:val="auto"/>
              </w:rPr>
            </w:pPr>
          </w:p>
        </w:tc>
        <w:tc>
          <w:tcPr>
            <w:tcW w:w="980" w:type="dxa"/>
            <w:vAlign w:val="bottom"/>
            <w:shd w:val="clear" w:color="auto" w:fill="000000"/>
          </w:tcPr>
          <w:p>
            <w:pPr>
              <w:spacing w:after="0"/>
              <w:rPr>
                <w:sz w:val="11"/>
                <w:szCs w:val="11"/>
                <w:color w:val="auto"/>
              </w:rPr>
            </w:pPr>
          </w:p>
        </w:tc>
        <w:tc>
          <w:tcPr>
            <w:tcW w:w="1120" w:type="dxa"/>
            <w:vAlign w:val="bottom"/>
            <w:shd w:val="clear" w:color="auto" w:fill="000000"/>
          </w:tcPr>
          <w:p>
            <w:pPr>
              <w:spacing w:after="0"/>
              <w:rPr>
                <w:sz w:val="11"/>
                <w:szCs w:val="11"/>
                <w:color w:val="auto"/>
              </w:rPr>
            </w:pPr>
          </w:p>
        </w:tc>
        <w:tc>
          <w:tcPr>
            <w:tcW w:w="740" w:type="dxa"/>
            <w:vAlign w:val="bottom"/>
            <w:shd w:val="clear" w:color="auto" w:fill="000000"/>
          </w:tcPr>
          <w:p>
            <w:pPr>
              <w:spacing w:after="0"/>
              <w:rPr>
                <w:sz w:val="11"/>
                <w:szCs w:val="11"/>
                <w:color w:val="auto"/>
              </w:rPr>
            </w:pPr>
          </w:p>
        </w:tc>
        <w:tc>
          <w:tcPr>
            <w:tcW w:w="1060" w:type="dxa"/>
            <w:vAlign w:val="bottom"/>
            <w:shd w:val="clear" w:color="auto" w:fill="000000"/>
          </w:tcPr>
          <w:p>
            <w:pPr>
              <w:spacing w:after="0"/>
              <w:rPr>
                <w:sz w:val="11"/>
                <w:szCs w:val="11"/>
                <w:color w:val="auto"/>
              </w:rPr>
            </w:pPr>
          </w:p>
        </w:tc>
        <w:tc>
          <w:tcPr>
            <w:tcW w:w="940" w:type="dxa"/>
            <w:vAlign w:val="bottom"/>
            <w:shd w:val="clear" w:color="auto" w:fill="000000"/>
          </w:tcPr>
          <w:p>
            <w:pPr>
              <w:spacing w:after="0"/>
              <w:rPr>
                <w:sz w:val="11"/>
                <w:szCs w:val="11"/>
                <w:color w:val="auto"/>
              </w:rPr>
            </w:pPr>
          </w:p>
        </w:tc>
        <w:tc>
          <w:tcPr>
            <w:tcW w:w="1000" w:type="dxa"/>
            <w:vAlign w:val="bottom"/>
            <w:shd w:val="clear" w:color="auto" w:fill="000000"/>
          </w:tcPr>
          <w:p>
            <w:pPr>
              <w:spacing w:after="0"/>
              <w:rPr>
                <w:sz w:val="11"/>
                <w:szCs w:val="11"/>
                <w:color w:val="auto"/>
              </w:rPr>
            </w:pPr>
          </w:p>
        </w:tc>
        <w:tc>
          <w:tcPr>
            <w:tcW w:w="1080" w:type="dxa"/>
            <w:vAlign w:val="bottom"/>
            <w:shd w:val="clear" w:color="auto" w:fill="000000"/>
          </w:tcPr>
          <w:p>
            <w:pPr>
              <w:jc w:val="center"/>
              <w:ind w:right="16"/>
              <w:spacing w:after="0" w:line="135" w:lineRule="exact"/>
              <w:rPr>
                <w:sz w:val="20"/>
                <w:szCs w:val="20"/>
                <w:color w:val="auto"/>
              </w:rPr>
            </w:pPr>
            <w:r>
              <w:rPr>
                <w:rFonts w:ascii="Arial" w:cs="Arial" w:eastAsia="Arial" w:hAnsi="Arial"/>
                <w:sz w:val="13"/>
                <w:szCs w:val="13"/>
                <w:b w:val="1"/>
                <w:bCs w:val="1"/>
                <w:color w:val="FEFEFE"/>
                <w:w w:val="94"/>
              </w:rPr>
              <w:t>Not Vested</w:t>
            </w:r>
          </w:p>
        </w:tc>
        <w:tc>
          <w:tcPr>
            <w:tcW w:w="1100" w:type="dxa"/>
            <w:vAlign w:val="bottom"/>
            <w:shd w:val="clear" w:color="auto" w:fill="000000"/>
          </w:tcPr>
          <w:p>
            <w:pPr>
              <w:jc w:val="center"/>
              <w:ind w:right="116"/>
              <w:spacing w:after="0" w:line="135" w:lineRule="exact"/>
              <w:rPr>
                <w:sz w:val="20"/>
                <w:szCs w:val="20"/>
                <w:color w:val="auto"/>
              </w:rPr>
            </w:pPr>
            <w:r>
              <w:rPr>
                <w:rFonts w:ascii="Arial" w:cs="Arial" w:eastAsia="Arial" w:hAnsi="Arial"/>
                <w:sz w:val="13"/>
                <w:szCs w:val="13"/>
                <w:b w:val="1"/>
                <w:bCs w:val="1"/>
                <w:color w:val="FEFEFE"/>
                <w:w w:val="96"/>
              </w:rPr>
              <w:t>Other Rights</w:t>
            </w:r>
          </w:p>
        </w:tc>
      </w:tr>
      <w:tr>
        <w:trPr>
          <w:trHeight w:val="135"/>
        </w:trPr>
        <w:tc>
          <w:tcPr>
            <w:tcW w:w="1360" w:type="dxa"/>
            <w:vAlign w:val="bottom"/>
            <w:shd w:val="clear" w:color="auto" w:fill="000000"/>
          </w:tcPr>
          <w:p>
            <w:pPr>
              <w:spacing w:after="0"/>
              <w:rPr>
                <w:sz w:val="11"/>
                <w:szCs w:val="11"/>
                <w:color w:val="auto"/>
              </w:rPr>
            </w:pPr>
          </w:p>
        </w:tc>
        <w:tc>
          <w:tcPr>
            <w:tcW w:w="980" w:type="dxa"/>
            <w:vAlign w:val="bottom"/>
            <w:shd w:val="clear" w:color="auto" w:fill="000000"/>
          </w:tcPr>
          <w:p>
            <w:pPr>
              <w:spacing w:after="0"/>
              <w:rPr>
                <w:sz w:val="11"/>
                <w:szCs w:val="11"/>
                <w:color w:val="auto"/>
              </w:rPr>
            </w:pPr>
          </w:p>
        </w:tc>
        <w:tc>
          <w:tcPr>
            <w:tcW w:w="1120" w:type="dxa"/>
            <w:vAlign w:val="bottom"/>
            <w:shd w:val="clear" w:color="auto" w:fill="000000"/>
          </w:tcPr>
          <w:p>
            <w:pPr>
              <w:spacing w:after="0"/>
              <w:rPr>
                <w:sz w:val="11"/>
                <w:szCs w:val="11"/>
                <w:color w:val="auto"/>
              </w:rPr>
            </w:pPr>
          </w:p>
        </w:tc>
        <w:tc>
          <w:tcPr>
            <w:tcW w:w="740" w:type="dxa"/>
            <w:vAlign w:val="bottom"/>
            <w:shd w:val="clear" w:color="auto" w:fill="000000"/>
          </w:tcPr>
          <w:p>
            <w:pPr>
              <w:spacing w:after="0"/>
              <w:rPr>
                <w:sz w:val="11"/>
                <w:szCs w:val="11"/>
                <w:color w:val="auto"/>
              </w:rPr>
            </w:pPr>
          </w:p>
        </w:tc>
        <w:tc>
          <w:tcPr>
            <w:tcW w:w="1060" w:type="dxa"/>
            <w:vAlign w:val="bottom"/>
            <w:shd w:val="clear" w:color="auto" w:fill="000000"/>
          </w:tcPr>
          <w:p>
            <w:pPr>
              <w:spacing w:after="0"/>
              <w:rPr>
                <w:sz w:val="11"/>
                <w:szCs w:val="11"/>
                <w:color w:val="auto"/>
              </w:rPr>
            </w:pPr>
          </w:p>
        </w:tc>
        <w:tc>
          <w:tcPr>
            <w:tcW w:w="940" w:type="dxa"/>
            <w:vAlign w:val="bottom"/>
            <w:shd w:val="clear" w:color="auto" w:fill="000000"/>
          </w:tcPr>
          <w:p>
            <w:pPr>
              <w:spacing w:after="0"/>
              <w:rPr>
                <w:sz w:val="11"/>
                <w:szCs w:val="11"/>
                <w:color w:val="auto"/>
              </w:rPr>
            </w:pPr>
          </w:p>
        </w:tc>
        <w:tc>
          <w:tcPr>
            <w:tcW w:w="1000" w:type="dxa"/>
            <w:vAlign w:val="bottom"/>
            <w:shd w:val="clear" w:color="auto" w:fill="000000"/>
          </w:tcPr>
          <w:p>
            <w:pPr>
              <w:spacing w:after="0"/>
              <w:rPr>
                <w:sz w:val="11"/>
                <w:szCs w:val="11"/>
                <w:color w:val="auto"/>
              </w:rPr>
            </w:pPr>
          </w:p>
        </w:tc>
        <w:tc>
          <w:tcPr>
            <w:tcW w:w="1080" w:type="dxa"/>
            <w:vAlign w:val="bottom"/>
            <w:shd w:val="clear" w:color="auto" w:fill="000000"/>
          </w:tcPr>
          <w:p>
            <w:pPr>
              <w:jc w:val="center"/>
              <w:ind w:right="16"/>
              <w:spacing w:after="0" w:line="135" w:lineRule="exact"/>
              <w:rPr>
                <w:sz w:val="20"/>
                <w:szCs w:val="20"/>
                <w:color w:val="auto"/>
              </w:rPr>
            </w:pPr>
            <w:r>
              <w:rPr>
                <w:rFonts w:ascii="Arial" w:cs="Arial" w:eastAsia="Arial" w:hAnsi="Arial"/>
                <w:sz w:val="13"/>
                <w:szCs w:val="13"/>
                <w:b w:val="1"/>
                <w:bCs w:val="1"/>
                <w:color w:val="FEFEFE"/>
              </w:rPr>
              <w:t>(#)</w:t>
            </w:r>
          </w:p>
        </w:tc>
        <w:tc>
          <w:tcPr>
            <w:tcW w:w="1100" w:type="dxa"/>
            <w:vAlign w:val="bottom"/>
            <w:shd w:val="clear" w:color="auto" w:fill="000000"/>
          </w:tcPr>
          <w:p>
            <w:pPr>
              <w:jc w:val="center"/>
              <w:ind w:right="116"/>
              <w:spacing w:after="0" w:line="135" w:lineRule="exact"/>
              <w:rPr>
                <w:sz w:val="20"/>
                <w:szCs w:val="20"/>
                <w:color w:val="auto"/>
              </w:rPr>
            </w:pPr>
            <w:r>
              <w:rPr>
                <w:rFonts w:ascii="Arial" w:cs="Arial" w:eastAsia="Arial" w:hAnsi="Arial"/>
                <w:sz w:val="13"/>
                <w:szCs w:val="13"/>
                <w:b w:val="1"/>
                <w:bCs w:val="1"/>
                <w:color w:val="FEFEFE"/>
              </w:rPr>
              <w:t>That</w:t>
            </w:r>
          </w:p>
        </w:tc>
      </w:tr>
      <w:tr>
        <w:trPr>
          <w:trHeight w:val="135"/>
        </w:trPr>
        <w:tc>
          <w:tcPr>
            <w:tcW w:w="1360" w:type="dxa"/>
            <w:vAlign w:val="bottom"/>
            <w:shd w:val="clear" w:color="auto" w:fill="000000"/>
          </w:tcPr>
          <w:p>
            <w:pPr>
              <w:spacing w:after="0"/>
              <w:rPr>
                <w:sz w:val="11"/>
                <w:szCs w:val="11"/>
                <w:color w:val="auto"/>
              </w:rPr>
            </w:pPr>
          </w:p>
        </w:tc>
        <w:tc>
          <w:tcPr>
            <w:tcW w:w="980" w:type="dxa"/>
            <w:vAlign w:val="bottom"/>
            <w:shd w:val="clear" w:color="auto" w:fill="000000"/>
          </w:tcPr>
          <w:p>
            <w:pPr>
              <w:spacing w:after="0"/>
              <w:rPr>
                <w:sz w:val="11"/>
                <w:szCs w:val="11"/>
                <w:color w:val="auto"/>
              </w:rPr>
            </w:pPr>
          </w:p>
        </w:tc>
        <w:tc>
          <w:tcPr>
            <w:tcW w:w="1120" w:type="dxa"/>
            <w:vAlign w:val="bottom"/>
            <w:shd w:val="clear" w:color="auto" w:fill="000000"/>
          </w:tcPr>
          <w:p>
            <w:pPr>
              <w:spacing w:after="0"/>
              <w:rPr>
                <w:sz w:val="11"/>
                <w:szCs w:val="11"/>
                <w:color w:val="auto"/>
              </w:rPr>
            </w:pPr>
          </w:p>
        </w:tc>
        <w:tc>
          <w:tcPr>
            <w:tcW w:w="740" w:type="dxa"/>
            <w:vAlign w:val="bottom"/>
            <w:shd w:val="clear" w:color="auto" w:fill="000000"/>
          </w:tcPr>
          <w:p>
            <w:pPr>
              <w:spacing w:after="0"/>
              <w:rPr>
                <w:sz w:val="11"/>
                <w:szCs w:val="11"/>
                <w:color w:val="auto"/>
              </w:rPr>
            </w:pPr>
          </w:p>
        </w:tc>
        <w:tc>
          <w:tcPr>
            <w:tcW w:w="1060" w:type="dxa"/>
            <w:vAlign w:val="bottom"/>
            <w:shd w:val="clear" w:color="auto" w:fill="000000"/>
          </w:tcPr>
          <w:p>
            <w:pPr>
              <w:spacing w:after="0"/>
              <w:rPr>
                <w:sz w:val="11"/>
                <w:szCs w:val="11"/>
                <w:color w:val="auto"/>
              </w:rPr>
            </w:pPr>
          </w:p>
        </w:tc>
        <w:tc>
          <w:tcPr>
            <w:tcW w:w="940" w:type="dxa"/>
            <w:vAlign w:val="bottom"/>
            <w:shd w:val="clear" w:color="auto" w:fill="000000"/>
          </w:tcPr>
          <w:p>
            <w:pPr>
              <w:spacing w:after="0"/>
              <w:rPr>
                <w:sz w:val="11"/>
                <w:szCs w:val="11"/>
                <w:color w:val="auto"/>
              </w:rPr>
            </w:pPr>
          </w:p>
        </w:tc>
        <w:tc>
          <w:tcPr>
            <w:tcW w:w="1000" w:type="dxa"/>
            <w:vAlign w:val="bottom"/>
            <w:shd w:val="clear" w:color="auto" w:fill="000000"/>
          </w:tcPr>
          <w:p>
            <w:pPr>
              <w:spacing w:after="0"/>
              <w:rPr>
                <w:sz w:val="11"/>
                <w:szCs w:val="11"/>
                <w:color w:val="auto"/>
              </w:rPr>
            </w:pPr>
          </w:p>
        </w:tc>
        <w:tc>
          <w:tcPr>
            <w:tcW w:w="1080" w:type="dxa"/>
            <w:vAlign w:val="bottom"/>
            <w:shd w:val="clear" w:color="auto" w:fill="000000"/>
          </w:tcPr>
          <w:p>
            <w:pPr>
              <w:spacing w:after="0"/>
              <w:rPr>
                <w:sz w:val="11"/>
                <w:szCs w:val="11"/>
                <w:color w:val="auto"/>
              </w:rPr>
            </w:pPr>
          </w:p>
        </w:tc>
        <w:tc>
          <w:tcPr>
            <w:tcW w:w="1100" w:type="dxa"/>
            <w:vAlign w:val="bottom"/>
            <w:shd w:val="clear" w:color="auto" w:fill="000000"/>
          </w:tcPr>
          <w:p>
            <w:pPr>
              <w:jc w:val="center"/>
              <w:ind w:right="116"/>
              <w:spacing w:after="0" w:line="135" w:lineRule="exact"/>
              <w:rPr>
                <w:sz w:val="20"/>
                <w:szCs w:val="20"/>
                <w:color w:val="auto"/>
              </w:rPr>
            </w:pPr>
            <w:r>
              <w:rPr>
                <w:rFonts w:ascii="Arial" w:cs="Arial" w:eastAsia="Arial" w:hAnsi="Arial"/>
                <w:sz w:val="13"/>
                <w:szCs w:val="13"/>
                <w:b w:val="1"/>
                <w:bCs w:val="1"/>
                <w:color w:val="FEFEFE"/>
                <w:w w:val="99"/>
              </w:rPr>
              <w:t>Have Not</w:t>
            </w:r>
          </w:p>
        </w:tc>
      </w:tr>
      <w:tr>
        <w:trPr>
          <w:trHeight w:val="135"/>
        </w:trPr>
        <w:tc>
          <w:tcPr>
            <w:tcW w:w="1360" w:type="dxa"/>
            <w:vAlign w:val="bottom"/>
            <w:shd w:val="clear" w:color="auto" w:fill="000000"/>
          </w:tcPr>
          <w:p>
            <w:pPr>
              <w:spacing w:after="0"/>
              <w:rPr>
                <w:sz w:val="11"/>
                <w:szCs w:val="11"/>
                <w:color w:val="auto"/>
              </w:rPr>
            </w:pPr>
          </w:p>
        </w:tc>
        <w:tc>
          <w:tcPr>
            <w:tcW w:w="980" w:type="dxa"/>
            <w:vAlign w:val="bottom"/>
            <w:shd w:val="clear" w:color="auto" w:fill="000000"/>
          </w:tcPr>
          <w:p>
            <w:pPr>
              <w:spacing w:after="0"/>
              <w:rPr>
                <w:sz w:val="11"/>
                <w:szCs w:val="11"/>
                <w:color w:val="auto"/>
              </w:rPr>
            </w:pPr>
          </w:p>
        </w:tc>
        <w:tc>
          <w:tcPr>
            <w:tcW w:w="1120" w:type="dxa"/>
            <w:vAlign w:val="bottom"/>
            <w:shd w:val="clear" w:color="auto" w:fill="000000"/>
          </w:tcPr>
          <w:p>
            <w:pPr>
              <w:spacing w:after="0"/>
              <w:rPr>
                <w:sz w:val="11"/>
                <w:szCs w:val="11"/>
                <w:color w:val="auto"/>
              </w:rPr>
            </w:pPr>
          </w:p>
        </w:tc>
        <w:tc>
          <w:tcPr>
            <w:tcW w:w="740" w:type="dxa"/>
            <w:vAlign w:val="bottom"/>
            <w:shd w:val="clear" w:color="auto" w:fill="000000"/>
          </w:tcPr>
          <w:p>
            <w:pPr>
              <w:spacing w:after="0"/>
              <w:rPr>
                <w:sz w:val="11"/>
                <w:szCs w:val="11"/>
                <w:color w:val="auto"/>
              </w:rPr>
            </w:pPr>
          </w:p>
        </w:tc>
        <w:tc>
          <w:tcPr>
            <w:tcW w:w="1060" w:type="dxa"/>
            <w:vAlign w:val="bottom"/>
            <w:shd w:val="clear" w:color="auto" w:fill="000000"/>
          </w:tcPr>
          <w:p>
            <w:pPr>
              <w:spacing w:after="0"/>
              <w:rPr>
                <w:sz w:val="11"/>
                <w:szCs w:val="11"/>
                <w:color w:val="auto"/>
              </w:rPr>
            </w:pPr>
          </w:p>
        </w:tc>
        <w:tc>
          <w:tcPr>
            <w:tcW w:w="940" w:type="dxa"/>
            <w:vAlign w:val="bottom"/>
            <w:shd w:val="clear" w:color="auto" w:fill="000000"/>
          </w:tcPr>
          <w:p>
            <w:pPr>
              <w:spacing w:after="0"/>
              <w:rPr>
                <w:sz w:val="11"/>
                <w:szCs w:val="11"/>
                <w:color w:val="auto"/>
              </w:rPr>
            </w:pPr>
          </w:p>
        </w:tc>
        <w:tc>
          <w:tcPr>
            <w:tcW w:w="1000" w:type="dxa"/>
            <w:vAlign w:val="bottom"/>
            <w:shd w:val="clear" w:color="auto" w:fill="000000"/>
          </w:tcPr>
          <w:p>
            <w:pPr>
              <w:spacing w:after="0"/>
              <w:rPr>
                <w:sz w:val="11"/>
                <w:szCs w:val="11"/>
                <w:color w:val="auto"/>
              </w:rPr>
            </w:pPr>
          </w:p>
        </w:tc>
        <w:tc>
          <w:tcPr>
            <w:tcW w:w="1080" w:type="dxa"/>
            <w:vAlign w:val="bottom"/>
            <w:shd w:val="clear" w:color="auto" w:fill="000000"/>
          </w:tcPr>
          <w:p>
            <w:pPr>
              <w:spacing w:after="0"/>
              <w:rPr>
                <w:sz w:val="11"/>
                <w:szCs w:val="11"/>
                <w:color w:val="auto"/>
              </w:rPr>
            </w:pPr>
          </w:p>
        </w:tc>
        <w:tc>
          <w:tcPr>
            <w:tcW w:w="1100" w:type="dxa"/>
            <w:vAlign w:val="bottom"/>
            <w:shd w:val="clear" w:color="auto" w:fill="000000"/>
          </w:tcPr>
          <w:p>
            <w:pPr>
              <w:jc w:val="center"/>
              <w:ind w:right="116"/>
              <w:spacing w:after="0" w:line="135" w:lineRule="exact"/>
              <w:rPr>
                <w:sz w:val="20"/>
                <w:szCs w:val="20"/>
                <w:color w:val="auto"/>
              </w:rPr>
            </w:pPr>
            <w:r>
              <w:rPr>
                <w:rFonts w:ascii="Arial" w:cs="Arial" w:eastAsia="Arial" w:hAnsi="Arial"/>
                <w:sz w:val="13"/>
                <w:szCs w:val="13"/>
                <w:b w:val="1"/>
                <w:bCs w:val="1"/>
                <w:color w:val="FEFEFE"/>
                <w:w w:val="93"/>
              </w:rPr>
              <w:t>Vested</w:t>
            </w:r>
          </w:p>
        </w:tc>
      </w:tr>
      <w:tr>
        <w:trPr>
          <w:trHeight w:val="168"/>
        </w:trPr>
        <w:tc>
          <w:tcPr>
            <w:tcW w:w="1360" w:type="dxa"/>
            <w:vAlign w:val="bottom"/>
            <w:shd w:val="clear" w:color="auto" w:fill="000000"/>
          </w:tcPr>
          <w:p>
            <w:pPr>
              <w:spacing w:after="0"/>
              <w:rPr>
                <w:sz w:val="14"/>
                <w:szCs w:val="14"/>
                <w:color w:val="auto"/>
              </w:rPr>
            </w:pPr>
          </w:p>
        </w:tc>
        <w:tc>
          <w:tcPr>
            <w:tcW w:w="980" w:type="dxa"/>
            <w:vAlign w:val="bottom"/>
            <w:shd w:val="clear" w:color="auto" w:fill="000000"/>
          </w:tcPr>
          <w:p>
            <w:pPr>
              <w:spacing w:after="0"/>
              <w:rPr>
                <w:sz w:val="14"/>
                <w:szCs w:val="14"/>
                <w:color w:val="auto"/>
              </w:rPr>
            </w:pPr>
          </w:p>
        </w:tc>
        <w:tc>
          <w:tcPr>
            <w:tcW w:w="1120" w:type="dxa"/>
            <w:vAlign w:val="bottom"/>
            <w:shd w:val="clear" w:color="auto" w:fill="000000"/>
          </w:tcPr>
          <w:p>
            <w:pPr>
              <w:spacing w:after="0"/>
              <w:rPr>
                <w:sz w:val="14"/>
                <w:szCs w:val="14"/>
                <w:color w:val="auto"/>
              </w:rPr>
            </w:pPr>
          </w:p>
        </w:tc>
        <w:tc>
          <w:tcPr>
            <w:tcW w:w="740" w:type="dxa"/>
            <w:vAlign w:val="bottom"/>
            <w:shd w:val="clear" w:color="auto" w:fill="000000"/>
          </w:tcPr>
          <w:p>
            <w:pPr>
              <w:spacing w:after="0"/>
              <w:rPr>
                <w:sz w:val="14"/>
                <w:szCs w:val="14"/>
                <w:color w:val="auto"/>
              </w:rPr>
            </w:pPr>
          </w:p>
        </w:tc>
        <w:tc>
          <w:tcPr>
            <w:tcW w:w="1060" w:type="dxa"/>
            <w:vAlign w:val="bottom"/>
            <w:shd w:val="clear" w:color="auto" w:fill="000000"/>
          </w:tcPr>
          <w:p>
            <w:pPr>
              <w:spacing w:after="0"/>
              <w:rPr>
                <w:sz w:val="14"/>
                <w:szCs w:val="14"/>
                <w:color w:val="auto"/>
              </w:rPr>
            </w:pPr>
          </w:p>
        </w:tc>
        <w:tc>
          <w:tcPr>
            <w:tcW w:w="940" w:type="dxa"/>
            <w:vAlign w:val="bottom"/>
            <w:shd w:val="clear" w:color="auto" w:fill="000000"/>
          </w:tcPr>
          <w:p>
            <w:pPr>
              <w:spacing w:after="0"/>
              <w:rPr>
                <w:sz w:val="14"/>
                <w:szCs w:val="14"/>
                <w:color w:val="auto"/>
              </w:rPr>
            </w:pPr>
          </w:p>
        </w:tc>
        <w:tc>
          <w:tcPr>
            <w:tcW w:w="1000" w:type="dxa"/>
            <w:vAlign w:val="bottom"/>
            <w:shd w:val="clear" w:color="auto" w:fill="000000"/>
          </w:tcPr>
          <w:p>
            <w:pPr>
              <w:spacing w:after="0"/>
              <w:rPr>
                <w:sz w:val="14"/>
                <w:szCs w:val="14"/>
                <w:color w:val="auto"/>
              </w:rPr>
            </w:pPr>
          </w:p>
        </w:tc>
        <w:tc>
          <w:tcPr>
            <w:tcW w:w="1080" w:type="dxa"/>
            <w:vAlign w:val="bottom"/>
            <w:shd w:val="clear" w:color="auto" w:fill="000000"/>
          </w:tcPr>
          <w:p>
            <w:pPr>
              <w:spacing w:after="0"/>
              <w:rPr>
                <w:sz w:val="14"/>
                <w:szCs w:val="14"/>
                <w:color w:val="auto"/>
              </w:rPr>
            </w:pPr>
          </w:p>
        </w:tc>
        <w:tc>
          <w:tcPr>
            <w:tcW w:w="1100" w:type="dxa"/>
            <w:vAlign w:val="bottom"/>
            <w:shd w:val="clear" w:color="auto" w:fill="000000"/>
          </w:tcPr>
          <w:p>
            <w:pPr>
              <w:jc w:val="center"/>
              <w:ind w:right="116"/>
              <w:spacing w:after="0"/>
              <w:rPr>
                <w:sz w:val="20"/>
                <w:szCs w:val="20"/>
                <w:color w:val="auto"/>
              </w:rPr>
            </w:pPr>
            <w:r>
              <w:rPr>
                <w:rFonts w:ascii="Arial" w:cs="Arial" w:eastAsia="Arial" w:hAnsi="Arial"/>
                <w:sz w:val="13"/>
                <w:szCs w:val="13"/>
                <w:b w:val="1"/>
                <w:bCs w:val="1"/>
                <w:color w:val="FEFEFE"/>
              </w:rPr>
              <w:t>($)</w:t>
            </w:r>
          </w:p>
        </w:tc>
      </w:tr>
      <w:tr>
        <w:trPr>
          <w:trHeight w:val="151"/>
        </w:trPr>
        <w:tc>
          <w:tcPr>
            <w:tcW w:w="1360" w:type="dxa"/>
            <w:vAlign w:val="bottom"/>
            <w:shd w:val="clear" w:color="auto" w:fill="000000"/>
          </w:tcPr>
          <w:p>
            <w:pPr>
              <w:spacing w:after="0"/>
              <w:rPr>
                <w:sz w:val="13"/>
                <w:szCs w:val="13"/>
                <w:color w:val="auto"/>
              </w:rPr>
            </w:pPr>
          </w:p>
        </w:tc>
        <w:tc>
          <w:tcPr>
            <w:tcW w:w="980" w:type="dxa"/>
            <w:vAlign w:val="bottom"/>
            <w:shd w:val="clear" w:color="auto" w:fill="000000"/>
          </w:tcPr>
          <w:p>
            <w:pPr>
              <w:spacing w:after="0"/>
              <w:rPr>
                <w:sz w:val="13"/>
                <w:szCs w:val="13"/>
                <w:color w:val="auto"/>
              </w:rPr>
            </w:pPr>
          </w:p>
        </w:tc>
        <w:tc>
          <w:tcPr>
            <w:tcW w:w="1120" w:type="dxa"/>
            <w:vAlign w:val="bottom"/>
            <w:shd w:val="clear" w:color="auto" w:fill="000000"/>
          </w:tcPr>
          <w:p>
            <w:pPr>
              <w:spacing w:after="0"/>
              <w:rPr>
                <w:sz w:val="13"/>
                <w:szCs w:val="13"/>
                <w:color w:val="auto"/>
              </w:rPr>
            </w:pPr>
          </w:p>
        </w:tc>
        <w:tc>
          <w:tcPr>
            <w:tcW w:w="740" w:type="dxa"/>
            <w:vAlign w:val="bottom"/>
            <w:shd w:val="clear" w:color="auto" w:fill="000000"/>
          </w:tcPr>
          <w:p>
            <w:pPr>
              <w:spacing w:after="0"/>
              <w:rPr>
                <w:sz w:val="13"/>
                <w:szCs w:val="13"/>
                <w:color w:val="auto"/>
              </w:rPr>
            </w:pPr>
          </w:p>
        </w:tc>
        <w:tc>
          <w:tcPr>
            <w:tcW w:w="1060" w:type="dxa"/>
            <w:vAlign w:val="bottom"/>
            <w:shd w:val="clear" w:color="auto" w:fill="000000"/>
          </w:tcPr>
          <w:p>
            <w:pPr>
              <w:spacing w:after="0"/>
              <w:rPr>
                <w:sz w:val="13"/>
                <w:szCs w:val="13"/>
                <w:color w:val="auto"/>
              </w:rPr>
            </w:pPr>
          </w:p>
        </w:tc>
        <w:tc>
          <w:tcPr>
            <w:tcW w:w="940" w:type="dxa"/>
            <w:vAlign w:val="bottom"/>
            <w:shd w:val="clear" w:color="auto" w:fill="000000"/>
          </w:tcPr>
          <w:p>
            <w:pPr>
              <w:spacing w:after="0"/>
              <w:rPr>
                <w:sz w:val="13"/>
                <w:szCs w:val="13"/>
                <w:color w:val="auto"/>
              </w:rPr>
            </w:pPr>
          </w:p>
        </w:tc>
        <w:tc>
          <w:tcPr>
            <w:tcW w:w="1000" w:type="dxa"/>
            <w:vAlign w:val="bottom"/>
            <w:shd w:val="clear" w:color="auto" w:fill="000000"/>
          </w:tcPr>
          <w:p>
            <w:pPr>
              <w:spacing w:after="0"/>
              <w:rPr>
                <w:sz w:val="13"/>
                <w:szCs w:val="13"/>
                <w:color w:val="auto"/>
              </w:rPr>
            </w:pPr>
          </w:p>
        </w:tc>
        <w:tc>
          <w:tcPr>
            <w:tcW w:w="1080" w:type="dxa"/>
            <w:vAlign w:val="bottom"/>
            <w:shd w:val="clear" w:color="auto" w:fill="000000"/>
          </w:tcPr>
          <w:p>
            <w:pPr>
              <w:spacing w:after="0"/>
              <w:rPr>
                <w:sz w:val="13"/>
                <w:szCs w:val="13"/>
                <w:color w:val="auto"/>
              </w:rPr>
            </w:pPr>
          </w:p>
        </w:tc>
        <w:tc>
          <w:tcPr>
            <w:tcW w:w="1100" w:type="dxa"/>
            <w:vAlign w:val="bottom"/>
            <w:shd w:val="clear" w:color="auto" w:fill="000000"/>
          </w:tcPr>
          <w:p>
            <w:pPr>
              <w:spacing w:after="0"/>
              <w:rPr>
                <w:sz w:val="13"/>
                <w:szCs w:val="13"/>
                <w:color w:val="auto"/>
              </w:rPr>
            </w:pPr>
          </w:p>
        </w:tc>
      </w:tr>
      <w:tr>
        <w:trPr>
          <w:trHeight w:val="325"/>
        </w:trPr>
        <w:tc>
          <w:tcPr>
            <w:tcW w:w="1360" w:type="dxa"/>
            <w:vAlign w:val="bottom"/>
          </w:tcPr>
          <w:p>
            <w:pPr>
              <w:ind w:left="160"/>
              <w:spacing w:after="0"/>
              <w:rPr>
                <w:sz w:val="20"/>
                <w:szCs w:val="20"/>
                <w:color w:val="auto"/>
              </w:rPr>
            </w:pPr>
            <w:r>
              <w:rPr>
                <w:rFonts w:ascii="Arial" w:cs="Arial" w:eastAsia="Arial" w:hAnsi="Arial"/>
                <w:sz w:val="14"/>
                <w:szCs w:val="14"/>
                <w:color w:val="auto"/>
              </w:rPr>
              <w:t>Peter Rawlinson</w:t>
            </w:r>
          </w:p>
        </w:tc>
        <w:tc>
          <w:tcPr>
            <w:tcW w:w="980" w:type="dxa"/>
            <w:vAlign w:val="bottom"/>
          </w:tcPr>
          <w:p>
            <w:pPr>
              <w:jc w:val="right"/>
              <w:ind w:right="73"/>
              <w:spacing w:after="0"/>
              <w:rPr>
                <w:sz w:val="20"/>
                <w:szCs w:val="20"/>
                <w:color w:val="auto"/>
              </w:rPr>
            </w:pPr>
            <w:r>
              <w:rPr>
                <w:rFonts w:ascii="Arial" w:cs="Arial" w:eastAsia="Arial" w:hAnsi="Arial"/>
                <w:sz w:val="14"/>
                <w:szCs w:val="14"/>
                <w:color w:val="auto"/>
              </w:rPr>
              <w:t>4,249,416</w:t>
            </w:r>
          </w:p>
        </w:tc>
        <w:tc>
          <w:tcPr>
            <w:tcW w:w="112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0.37</w:t>
            </w:r>
          </w:p>
        </w:tc>
        <w:tc>
          <w:tcPr>
            <w:tcW w:w="1060" w:type="dxa"/>
            <w:vAlign w:val="bottom"/>
          </w:tcPr>
          <w:p>
            <w:pPr>
              <w:jc w:val="center"/>
              <w:ind w:right="32"/>
              <w:spacing w:after="0"/>
              <w:rPr>
                <w:sz w:val="20"/>
                <w:szCs w:val="20"/>
                <w:color w:val="auto"/>
              </w:rPr>
            </w:pPr>
            <w:r>
              <w:rPr>
                <w:rFonts w:ascii="Arial" w:cs="Arial" w:eastAsia="Arial" w:hAnsi="Arial"/>
                <w:sz w:val="14"/>
                <w:szCs w:val="14"/>
                <w:color w:val="auto"/>
              </w:rPr>
              <w:t>04/16/2025</w:t>
            </w: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07"/>
        </w:trPr>
        <w:tc>
          <w:tcPr>
            <w:tcW w:w="136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r>
      <w:tr>
        <w:trPr>
          <w:trHeight w:val="292"/>
        </w:trPr>
        <w:tc>
          <w:tcPr>
            <w:tcW w:w="1360" w:type="dxa"/>
            <w:vAlign w:val="bottom"/>
          </w:tcPr>
          <w:p>
            <w:pPr>
              <w:spacing w:after="0"/>
              <w:rPr>
                <w:sz w:val="24"/>
                <w:szCs w:val="24"/>
                <w:color w:val="auto"/>
              </w:rPr>
            </w:pPr>
          </w:p>
        </w:tc>
        <w:tc>
          <w:tcPr>
            <w:tcW w:w="980" w:type="dxa"/>
            <w:vAlign w:val="bottom"/>
          </w:tcPr>
          <w:p>
            <w:pPr>
              <w:jc w:val="right"/>
              <w:ind w:right="73"/>
              <w:spacing w:after="0"/>
              <w:rPr>
                <w:sz w:val="20"/>
                <w:szCs w:val="20"/>
                <w:color w:val="auto"/>
              </w:rPr>
            </w:pPr>
            <w:r>
              <w:rPr>
                <w:rFonts w:ascii="Arial" w:cs="Arial" w:eastAsia="Arial" w:hAnsi="Arial"/>
                <w:sz w:val="14"/>
                <w:szCs w:val="14"/>
                <w:color w:val="auto"/>
              </w:rPr>
              <w:t>7,931,999</w:t>
            </w:r>
          </w:p>
        </w:tc>
        <w:tc>
          <w:tcPr>
            <w:tcW w:w="112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0.83</w:t>
            </w:r>
          </w:p>
        </w:tc>
        <w:tc>
          <w:tcPr>
            <w:tcW w:w="1060" w:type="dxa"/>
            <w:vAlign w:val="bottom"/>
          </w:tcPr>
          <w:p>
            <w:pPr>
              <w:jc w:val="center"/>
              <w:ind w:right="32"/>
              <w:spacing w:after="0"/>
              <w:rPr>
                <w:sz w:val="20"/>
                <w:szCs w:val="20"/>
                <w:color w:val="auto"/>
              </w:rPr>
            </w:pPr>
            <w:r>
              <w:rPr>
                <w:rFonts w:ascii="Arial" w:cs="Arial" w:eastAsia="Arial" w:hAnsi="Arial"/>
                <w:sz w:val="14"/>
                <w:szCs w:val="14"/>
                <w:color w:val="auto"/>
              </w:rPr>
              <w:t>04/21/2029</w:t>
            </w: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07"/>
        </w:trPr>
        <w:tc>
          <w:tcPr>
            <w:tcW w:w="136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r>
      <w:tr>
        <w:trPr>
          <w:trHeight w:val="331"/>
        </w:trPr>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jc w:val="right"/>
              <w:ind w:right="14"/>
              <w:spacing w:after="0"/>
              <w:rPr>
                <w:sz w:val="20"/>
                <w:szCs w:val="20"/>
                <w:color w:val="auto"/>
              </w:rPr>
            </w:pPr>
            <w:r>
              <w:rPr>
                <w:rFonts w:ascii="Arial" w:cs="Arial" w:eastAsia="Arial" w:hAnsi="Arial"/>
                <w:sz w:val="14"/>
                <w:szCs w:val="14"/>
                <w:color w:val="auto"/>
              </w:rPr>
              <w:t>12,970,078</w:t>
            </w:r>
            <w:r>
              <w:rPr>
                <w:rFonts w:ascii="Arial" w:cs="Arial" w:eastAsia="Arial" w:hAnsi="Arial"/>
                <w:sz w:val="17"/>
                <w:szCs w:val="17"/>
                <w:color w:val="auto"/>
                <w:vertAlign w:val="superscript"/>
              </w:rPr>
              <w:t>(2)</w:t>
            </w:r>
          </w:p>
        </w:tc>
        <w:tc>
          <w:tcPr>
            <w:tcW w:w="1000" w:type="dxa"/>
            <w:vAlign w:val="bottom"/>
          </w:tcPr>
          <w:p>
            <w:pPr>
              <w:jc w:val="right"/>
              <w:ind w:right="54"/>
              <w:spacing w:after="0"/>
              <w:rPr>
                <w:sz w:val="20"/>
                <w:szCs w:val="20"/>
                <w:color w:val="auto"/>
              </w:rPr>
            </w:pPr>
            <w:r>
              <w:rPr>
                <w:rFonts w:ascii="Arial" w:cs="Arial" w:eastAsia="Arial" w:hAnsi="Arial"/>
                <w:sz w:val="14"/>
                <w:szCs w:val="14"/>
                <w:color w:val="auto"/>
              </w:rPr>
              <w:t>493,511,468</w:t>
            </w:r>
          </w:p>
        </w:tc>
        <w:tc>
          <w:tcPr>
            <w:tcW w:w="1080" w:type="dxa"/>
            <w:vAlign w:val="bottom"/>
          </w:tcPr>
          <w:p>
            <w:pPr>
              <w:jc w:val="right"/>
              <w:ind w:right="16"/>
              <w:spacing w:after="0"/>
              <w:rPr>
                <w:sz w:val="20"/>
                <w:szCs w:val="20"/>
                <w:color w:val="auto"/>
              </w:rPr>
            </w:pPr>
            <w:r>
              <w:rPr>
                <w:rFonts w:ascii="Arial" w:cs="Arial" w:eastAsia="Arial" w:hAnsi="Arial"/>
                <w:sz w:val="14"/>
                <w:szCs w:val="14"/>
                <w:color w:val="auto"/>
              </w:rPr>
              <w:t>16,024,411</w:t>
            </w:r>
            <w:r>
              <w:rPr>
                <w:rFonts w:ascii="Arial" w:cs="Arial" w:eastAsia="Arial" w:hAnsi="Arial"/>
                <w:sz w:val="17"/>
                <w:szCs w:val="17"/>
                <w:color w:val="auto"/>
                <w:vertAlign w:val="superscript"/>
              </w:rPr>
              <w:t>(3)</w:t>
            </w:r>
          </w:p>
        </w:tc>
        <w:tc>
          <w:tcPr>
            <w:tcW w:w="1100" w:type="dxa"/>
            <w:vAlign w:val="bottom"/>
          </w:tcPr>
          <w:p>
            <w:pPr>
              <w:jc w:val="right"/>
              <w:ind w:right="136"/>
              <w:spacing w:after="0"/>
              <w:rPr>
                <w:sz w:val="20"/>
                <w:szCs w:val="20"/>
                <w:color w:val="auto"/>
              </w:rPr>
            </w:pPr>
            <w:r>
              <w:rPr>
                <w:rFonts w:ascii="Arial" w:cs="Arial" w:eastAsia="Arial" w:hAnsi="Arial"/>
                <w:sz w:val="14"/>
                <w:szCs w:val="14"/>
                <w:color w:val="auto"/>
              </w:rPr>
              <w:t>609,728,839</w:t>
            </w:r>
          </w:p>
        </w:tc>
      </w:tr>
      <w:tr>
        <w:trPr>
          <w:trHeight w:val="68"/>
        </w:trPr>
        <w:tc>
          <w:tcPr>
            <w:tcW w:w="13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331"/>
        </w:trPr>
        <w:tc>
          <w:tcPr>
            <w:tcW w:w="1360" w:type="dxa"/>
            <w:vAlign w:val="bottom"/>
            <w:shd w:val="clear" w:color="auto" w:fill="F7F7F7"/>
          </w:tcPr>
          <w:p>
            <w:pPr>
              <w:ind w:left="160"/>
              <w:spacing w:after="0"/>
              <w:rPr>
                <w:sz w:val="20"/>
                <w:szCs w:val="20"/>
                <w:color w:val="auto"/>
              </w:rPr>
            </w:pPr>
            <w:r>
              <w:rPr>
                <w:rFonts w:ascii="Arial" w:cs="Arial" w:eastAsia="Arial" w:hAnsi="Arial"/>
                <w:sz w:val="14"/>
                <w:szCs w:val="14"/>
                <w:color w:val="auto"/>
              </w:rPr>
              <w:t>Sherry House</w:t>
            </w:r>
          </w:p>
        </w:tc>
        <w:tc>
          <w:tcPr>
            <w:tcW w:w="980" w:type="dxa"/>
            <w:vAlign w:val="bottom"/>
            <w:shd w:val="clear" w:color="auto" w:fill="F7F7F7"/>
          </w:tcPr>
          <w:p>
            <w:pPr>
              <w:jc w:val="right"/>
              <w:ind w:right="73"/>
              <w:spacing w:after="0"/>
              <w:rPr>
                <w:sz w:val="20"/>
                <w:szCs w:val="20"/>
                <w:color w:val="auto"/>
              </w:rPr>
            </w:pPr>
            <w:r>
              <w:rPr>
                <w:rFonts w:ascii="Arial" w:cs="Arial" w:eastAsia="Arial" w:hAnsi="Arial"/>
                <w:sz w:val="14"/>
                <w:szCs w:val="14"/>
                <w:color w:val="auto"/>
              </w:rPr>
              <w:t>—</w:t>
            </w:r>
          </w:p>
        </w:tc>
        <w:tc>
          <w:tcPr>
            <w:tcW w:w="1120" w:type="dxa"/>
            <w:vAlign w:val="bottom"/>
            <w:shd w:val="clear" w:color="auto" w:fill="F7F7F7"/>
          </w:tcPr>
          <w:p>
            <w:pPr>
              <w:jc w:val="right"/>
              <w:ind w:right="153"/>
              <w:spacing w:after="0"/>
              <w:rPr>
                <w:sz w:val="20"/>
                <w:szCs w:val="20"/>
                <w:color w:val="auto"/>
              </w:rPr>
            </w:pPr>
            <w:r>
              <w:rPr>
                <w:rFonts w:ascii="Arial" w:cs="Arial" w:eastAsia="Arial" w:hAnsi="Arial"/>
                <w:sz w:val="14"/>
                <w:szCs w:val="14"/>
                <w:color w:val="auto"/>
              </w:rPr>
              <w:t>—</w:t>
            </w:r>
          </w:p>
        </w:tc>
        <w:tc>
          <w:tcPr>
            <w:tcW w:w="740" w:type="dxa"/>
            <w:vAlign w:val="bottom"/>
            <w:shd w:val="clear" w:color="auto" w:fill="F7F7F7"/>
          </w:tcPr>
          <w:p>
            <w:pPr>
              <w:spacing w:after="0"/>
              <w:rPr>
                <w:sz w:val="24"/>
                <w:szCs w:val="24"/>
                <w:color w:val="auto"/>
              </w:rPr>
            </w:pPr>
          </w:p>
        </w:tc>
        <w:tc>
          <w:tcPr>
            <w:tcW w:w="1060" w:type="dxa"/>
            <w:vAlign w:val="bottom"/>
            <w:shd w:val="clear" w:color="auto" w:fill="F7F7F7"/>
          </w:tcPr>
          <w:p>
            <w:pPr>
              <w:spacing w:after="0"/>
              <w:rPr>
                <w:sz w:val="24"/>
                <w:szCs w:val="24"/>
                <w:color w:val="auto"/>
              </w:rPr>
            </w:pPr>
          </w:p>
        </w:tc>
        <w:tc>
          <w:tcPr>
            <w:tcW w:w="940" w:type="dxa"/>
            <w:vAlign w:val="bottom"/>
            <w:shd w:val="clear" w:color="auto" w:fill="F7F7F7"/>
          </w:tcPr>
          <w:p>
            <w:pPr>
              <w:jc w:val="right"/>
              <w:ind w:right="14"/>
              <w:spacing w:after="0"/>
              <w:rPr>
                <w:sz w:val="20"/>
                <w:szCs w:val="20"/>
                <w:color w:val="auto"/>
              </w:rPr>
            </w:pPr>
            <w:r>
              <w:rPr>
                <w:rFonts w:ascii="Arial" w:cs="Arial" w:eastAsia="Arial" w:hAnsi="Arial"/>
                <w:sz w:val="14"/>
                <w:szCs w:val="14"/>
                <w:color w:val="auto"/>
              </w:rPr>
              <w:t>661,000</w:t>
            </w:r>
            <w:r>
              <w:rPr>
                <w:rFonts w:ascii="Arial" w:cs="Arial" w:eastAsia="Arial" w:hAnsi="Arial"/>
                <w:sz w:val="17"/>
                <w:szCs w:val="17"/>
                <w:color w:val="auto"/>
                <w:vertAlign w:val="superscript"/>
              </w:rPr>
              <w:t>(4)</w:t>
            </w:r>
          </w:p>
        </w:tc>
        <w:tc>
          <w:tcPr>
            <w:tcW w:w="1000" w:type="dxa"/>
            <w:vAlign w:val="bottom"/>
            <w:shd w:val="clear" w:color="auto" w:fill="F7F7F7"/>
          </w:tcPr>
          <w:p>
            <w:pPr>
              <w:jc w:val="right"/>
              <w:ind w:right="54"/>
              <w:spacing w:after="0"/>
              <w:rPr>
                <w:sz w:val="20"/>
                <w:szCs w:val="20"/>
                <w:color w:val="auto"/>
              </w:rPr>
            </w:pPr>
            <w:r>
              <w:rPr>
                <w:rFonts w:ascii="Arial" w:cs="Arial" w:eastAsia="Arial" w:hAnsi="Arial"/>
                <w:sz w:val="14"/>
                <w:szCs w:val="14"/>
                <w:color w:val="auto"/>
              </w:rPr>
              <w:t>25,151,050</w:t>
            </w:r>
          </w:p>
        </w:tc>
        <w:tc>
          <w:tcPr>
            <w:tcW w:w="1080" w:type="dxa"/>
            <w:vAlign w:val="bottom"/>
            <w:shd w:val="clear" w:color="auto" w:fill="F7F7F7"/>
          </w:tcPr>
          <w:p>
            <w:pPr>
              <w:spacing w:after="0"/>
              <w:rPr>
                <w:sz w:val="24"/>
                <w:szCs w:val="24"/>
                <w:color w:val="auto"/>
              </w:rPr>
            </w:pPr>
          </w:p>
        </w:tc>
        <w:tc>
          <w:tcPr>
            <w:tcW w:w="1100" w:type="dxa"/>
            <w:vAlign w:val="bottom"/>
            <w:shd w:val="clear" w:color="auto" w:fill="F7F7F7"/>
          </w:tcPr>
          <w:p>
            <w:pPr>
              <w:spacing w:after="0"/>
              <w:rPr>
                <w:sz w:val="24"/>
                <w:szCs w:val="24"/>
                <w:color w:val="auto"/>
              </w:rPr>
            </w:pPr>
          </w:p>
        </w:tc>
      </w:tr>
      <w:tr>
        <w:trPr>
          <w:trHeight w:val="81"/>
        </w:trPr>
        <w:tc>
          <w:tcPr>
            <w:tcW w:w="1360" w:type="dxa"/>
            <w:vAlign w:val="bottom"/>
            <w:tcBorders>
              <w:bottom w:val="single" w:sz="8" w:color="auto"/>
            </w:tcBorders>
            <w:shd w:val="clear" w:color="auto" w:fill="F7F7F7"/>
          </w:tcPr>
          <w:p>
            <w:pPr>
              <w:spacing w:after="0"/>
              <w:rPr>
                <w:sz w:val="7"/>
                <w:szCs w:val="7"/>
                <w:color w:val="auto"/>
              </w:rPr>
            </w:pPr>
          </w:p>
        </w:tc>
        <w:tc>
          <w:tcPr>
            <w:tcW w:w="980" w:type="dxa"/>
            <w:vAlign w:val="bottom"/>
            <w:tcBorders>
              <w:bottom w:val="single" w:sz="8" w:color="auto"/>
            </w:tcBorders>
            <w:shd w:val="clear" w:color="auto" w:fill="F7F7F7"/>
          </w:tcPr>
          <w:p>
            <w:pPr>
              <w:spacing w:after="0"/>
              <w:rPr>
                <w:sz w:val="7"/>
                <w:szCs w:val="7"/>
                <w:color w:val="auto"/>
              </w:rPr>
            </w:pPr>
          </w:p>
        </w:tc>
        <w:tc>
          <w:tcPr>
            <w:tcW w:w="1120" w:type="dxa"/>
            <w:vAlign w:val="bottom"/>
            <w:tcBorders>
              <w:bottom w:val="single" w:sz="8" w:color="auto"/>
            </w:tcBorders>
            <w:shd w:val="clear" w:color="auto" w:fill="F7F7F7"/>
          </w:tcPr>
          <w:p>
            <w:pPr>
              <w:spacing w:after="0"/>
              <w:rPr>
                <w:sz w:val="7"/>
                <w:szCs w:val="7"/>
                <w:color w:val="auto"/>
              </w:rPr>
            </w:pPr>
          </w:p>
        </w:tc>
        <w:tc>
          <w:tcPr>
            <w:tcW w:w="740" w:type="dxa"/>
            <w:vAlign w:val="bottom"/>
            <w:tcBorders>
              <w:bottom w:val="single" w:sz="8" w:color="auto"/>
            </w:tcBorders>
            <w:shd w:val="clear" w:color="auto" w:fill="F7F7F7"/>
          </w:tcPr>
          <w:p>
            <w:pPr>
              <w:spacing w:after="0"/>
              <w:rPr>
                <w:sz w:val="7"/>
                <w:szCs w:val="7"/>
                <w:color w:val="auto"/>
              </w:rPr>
            </w:pPr>
          </w:p>
        </w:tc>
        <w:tc>
          <w:tcPr>
            <w:tcW w:w="1060" w:type="dxa"/>
            <w:vAlign w:val="bottom"/>
            <w:tcBorders>
              <w:bottom w:val="single" w:sz="8" w:color="auto"/>
            </w:tcBorders>
            <w:shd w:val="clear" w:color="auto" w:fill="F7F7F7"/>
          </w:tcPr>
          <w:p>
            <w:pPr>
              <w:spacing w:after="0"/>
              <w:rPr>
                <w:sz w:val="7"/>
                <w:szCs w:val="7"/>
                <w:color w:val="auto"/>
              </w:rPr>
            </w:pPr>
          </w:p>
        </w:tc>
        <w:tc>
          <w:tcPr>
            <w:tcW w:w="940" w:type="dxa"/>
            <w:vAlign w:val="bottom"/>
            <w:tcBorders>
              <w:bottom w:val="single" w:sz="8" w:color="auto"/>
            </w:tcBorders>
            <w:shd w:val="clear" w:color="auto" w:fill="F7F7F7"/>
          </w:tcPr>
          <w:p>
            <w:pPr>
              <w:spacing w:after="0"/>
              <w:rPr>
                <w:sz w:val="7"/>
                <w:szCs w:val="7"/>
                <w:color w:val="auto"/>
              </w:rPr>
            </w:pPr>
          </w:p>
        </w:tc>
        <w:tc>
          <w:tcPr>
            <w:tcW w:w="1000" w:type="dxa"/>
            <w:vAlign w:val="bottom"/>
            <w:tcBorders>
              <w:bottom w:val="single" w:sz="8" w:color="auto"/>
            </w:tcBorders>
            <w:shd w:val="clear" w:color="auto" w:fill="F7F7F7"/>
          </w:tcPr>
          <w:p>
            <w:pPr>
              <w:spacing w:after="0"/>
              <w:rPr>
                <w:sz w:val="7"/>
                <w:szCs w:val="7"/>
                <w:color w:val="auto"/>
              </w:rPr>
            </w:pPr>
          </w:p>
        </w:tc>
        <w:tc>
          <w:tcPr>
            <w:tcW w:w="1080" w:type="dxa"/>
            <w:vAlign w:val="bottom"/>
            <w:tcBorders>
              <w:bottom w:val="single" w:sz="8" w:color="auto"/>
            </w:tcBorders>
            <w:shd w:val="clear" w:color="auto" w:fill="F7F7F7"/>
          </w:tcPr>
          <w:p>
            <w:pPr>
              <w:spacing w:after="0"/>
              <w:rPr>
                <w:sz w:val="7"/>
                <w:szCs w:val="7"/>
                <w:color w:val="auto"/>
              </w:rPr>
            </w:pPr>
          </w:p>
        </w:tc>
        <w:tc>
          <w:tcPr>
            <w:tcW w:w="1100" w:type="dxa"/>
            <w:vAlign w:val="bottom"/>
            <w:tcBorders>
              <w:bottom w:val="single" w:sz="8" w:color="auto"/>
            </w:tcBorders>
            <w:shd w:val="clear" w:color="auto" w:fill="F7F7F7"/>
          </w:tcPr>
          <w:p>
            <w:pPr>
              <w:spacing w:after="0"/>
              <w:rPr>
                <w:sz w:val="7"/>
                <w:szCs w:val="7"/>
                <w:color w:val="auto"/>
              </w:rPr>
            </w:pPr>
          </w:p>
        </w:tc>
      </w:tr>
      <w:tr>
        <w:trPr>
          <w:trHeight w:val="305"/>
        </w:trPr>
        <w:tc>
          <w:tcPr>
            <w:tcW w:w="1360" w:type="dxa"/>
            <w:vAlign w:val="bottom"/>
          </w:tcPr>
          <w:p>
            <w:pPr>
              <w:ind w:left="160"/>
              <w:spacing w:after="0"/>
              <w:rPr>
                <w:sz w:val="20"/>
                <w:szCs w:val="20"/>
                <w:color w:val="auto"/>
              </w:rPr>
            </w:pPr>
            <w:r>
              <w:rPr>
                <w:rFonts w:ascii="Arial" w:cs="Arial" w:eastAsia="Arial" w:hAnsi="Arial"/>
                <w:sz w:val="14"/>
                <w:szCs w:val="14"/>
                <w:color w:val="auto"/>
              </w:rPr>
              <w:t>Eric Bach</w:t>
            </w:r>
          </w:p>
        </w:tc>
        <w:tc>
          <w:tcPr>
            <w:tcW w:w="980" w:type="dxa"/>
            <w:vAlign w:val="bottom"/>
          </w:tcPr>
          <w:p>
            <w:pPr>
              <w:jc w:val="right"/>
              <w:ind w:right="73"/>
              <w:spacing w:after="0"/>
              <w:rPr>
                <w:sz w:val="20"/>
                <w:szCs w:val="20"/>
                <w:color w:val="auto"/>
              </w:rPr>
            </w:pPr>
            <w:r>
              <w:rPr>
                <w:rFonts w:ascii="Arial" w:cs="Arial" w:eastAsia="Arial" w:hAnsi="Arial"/>
                <w:sz w:val="14"/>
                <w:szCs w:val="14"/>
                <w:color w:val="auto"/>
              </w:rPr>
              <w:t>879,698</w:t>
            </w:r>
          </w:p>
        </w:tc>
        <w:tc>
          <w:tcPr>
            <w:tcW w:w="112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0.83</w:t>
            </w:r>
          </w:p>
        </w:tc>
        <w:tc>
          <w:tcPr>
            <w:tcW w:w="1060" w:type="dxa"/>
            <w:vAlign w:val="bottom"/>
          </w:tcPr>
          <w:p>
            <w:pPr>
              <w:jc w:val="center"/>
              <w:ind w:right="32"/>
              <w:spacing w:after="0"/>
              <w:rPr>
                <w:sz w:val="20"/>
                <w:szCs w:val="20"/>
                <w:color w:val="auto"/>
              </w:rPr>
            </w:pPr>
            <w:r>
              <w:rPr>
                <w:rFonts w:ascii="Arial" w:cs="Arial" w:eastAsia="Arial" w:hAnsi="Arial"/>
                <w:sz w:val="14"/>
                <w:szCs w:val="14"/>
                <w:color w:val="auto"/>
              </w:rPr>
              <w:t>04/21/2029</w:t>
            </w: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06"/>
        </w:trPr>
        <w:tc>
          <w:tcPr>
            <w:tcW w:w="136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r>
      <w:tr>
        <w:trPr>
          <w:trHeight w:val="331"/>
        </w:trPr>
        <w:tc>
          <w:tcPr>
            <w:tcW w:w="1360" w:type="dxa"/>
            <w:vAlign w:val="bottom"/>
          </w:tcPr>
          <w:p>
            <w:pPr>
              <w:spacing w:after="0"/>
              <w:rPr>
                <w:sz w:val="24"/>
                <w:szCs w:val="24"/>
                <w:color w:val="auto"/>
              </w:rPr>
            </w:pPr>
          </w:p>
        </w:tc>
        <w:tc>
          <w:tcPr>
            <w:tcW w:w="980" w:type="dxa"/>
            <w:vAlign w:val="bottom"/>
          </w:tcPr>
          <w:p>
            <w:pPr>
              <w:jc w:val="right"/>
              <w:ind w:right="73"/>
              <w:spacing w:after="0"/>
              <w:rPr>
                <w:sz w:val="20"/>
                <w:szCs w:val="20"/>
                <w:color w:val="auto"/>
              </w:rPr>
            </w:pPr>
            <w:r>
              <w:rPr>
                <w:rFonts w:ascii="Arial" w:cs="Arial" w:eastAsia="Arial" w:hAnsi="Arial"/>
                <w:sz w:val="14"/>
                <w:szCs w:val="14"/>
                <w:color w:val="auto"/>
              </w:rPr>
              <w:t>809,725</w:t>
            </w:r>
          </w:p>
        </w:tc>
        <w:tc>
          <w:tcPr>
            <w:tcW w:w="1120" w:type="dxa"/>
            <w:vAlign w:val="bottom"/>
          </w:tcPr>
          <w:p>
            <w:pPr>
              <w:jc w:val="right"/>
              <w:ind w:right="33"/>
              <w:spacing w:after="0"/>
              <w:rPr>
                <w:sz w:val="20"/>
                <w:szCs w:val="20"/>
                <w:color w:val="auto"/>
              </w:rPr>
            </w:pPr>
            <w:r>
              <w:rPr>
                <w:rFonts w:ascii="Arial" w:cs="Arial" w:eastAsia="Arial" w:hAnsi="Arial"/>
                <w:sz w:val="14"/>
                <w:szCs w:val="14"/>
                <w:color w:val="auto"/>
              </w:rPr>
              <w:t>1,041,075</w:t>
            </w:r>
            <w:r>
              <w:rPr>
                <w:rFonts w:ascii="Arial" w:cs="Arial" w:eastAsia="Arial" w:hAnsi="Arial"/>
                <w:sz w:val="17"/>
                <w:szCs w:val="17"/>
                <w:color w:val="auto"/>
                <w:vertAlign w:val="superscript"/>
              </w:rPr>
              <w:t>(1)</w:t>
            </w:r>
          </w:p>
        </w:tc>
        <w:tc>
          <w:tcPr>
            <w:tcW w:w="740" w:type="dxa"/>
            <w:vAlign w:val="bottom"/>
          </w:tcPr>
          <w:p>
            <w:pPr>
              <w:jc w:val="center"/>
              <w:spacing w:after="0"/>
              <w:rPr>
                <w:sz w:val="20"/>
                <w:szCs w:val="20"/>
                <w:color w:val="auto"/>
              </w:rPr>
            </w:pPr>
            <w:r>
              <w:rPr>
                <w:rFonts w:ascii="Arial" w:cs="Arial" w:eastAsia="Arial" w:hAnsi="Arial"/>
                <w:sz w:val="14"/>
                <w:szCs w:val="14"/>
                <w:color w:val="auto"/>
              </w:rPr>
              <w:t>0.93</w:t>
            </w:r>
          </w:p>
        </w:tc>
        <w:tc>
          <w:tcPr>
            <w:tcW w:w="1060" w:type="dxa"/>
            <w:vAlign w:val="bottom"/>
          </w:tcPr>
          <w:p>
            <w:pPr>
              <w:jc w:val="center"/>
              <w:ind w:right="32"/>
              <w:spacing w:after="0"/>
              <w:rPr>
                <w:sz w:val="20"/>
                <w:szCs w:val="20"/>
                <w:color w:val="auto"/>
              </w:rPr>
            </w:pPr>
            <w:r>
              <w:rPr>
                <w:rFonts w:ascii="Arial" w:cs="Arial" w:eastAsia="Arial" w:hAnsi="Arial"/>
                <w:sz w:val="14"/>
                <w:szCs w:val="14"/>
                <w:color w:val="auto"/>
              </w:rPr>
              <w:t>07/15/2030</w:t>
            </w: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68"/>
        </w:trPr>
        <w:tc>
          <w:tcPr>
            <w:tcW w:w="136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331"/>
        </w:trPr>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jc w:val="right"/>
              <w:ind w:right="14"/>
              <w:spacing w:after="0"/>
              <w:rPr>
                <w:sz w:val="20"/>
                <w:szCs w:val="20"/>
                <w:color w:val="auto"/>
              </w:rPr>
            </w:pPr>
            <w:r>
              <w:rPr>
                <w:rFonts w:ascii="Arial" w:cs="Arial" w:eastAsia="Arial" w:hAnsi="Arial"/>
                <w:sz w:val="14"/>
                <w:szCs w:val="14"/>
                <w:color w:val="auto"/>
              </w:rPr>
              <w:t>661,000</w:t>
            </w:r>
            <w:r>
              <w:rPr>
                <w:rFonts w:ascii="Arial" w:cs="Arial" w:eastAsia="Arial" w:hAnsi="Arial"/>
                <w:sz w:val="17"/>
                <w:szCs w:val="17"/>
                <w:color w:val="auto"/>
                <w:vertAlign w:val="superscript"/>
              </w:rPr>
              <w:t>(5)</w:t>
            </w:r>
          </w:p>
        </w:tc>
        <w:tc>
          <w:tcPr>
            <w:tcW w:w="1000" w:type="dxa"/>
            <w:vAlign w:val="bottom"/>
          </w:tcPr>
          <w:p>
            <w:pPr>
              <w:jc w:val="right"/>
              <w:ind w:right="54"/>
              <w:spacing w:after="0"/>
              <w:rPr>
                <w:sz w:val="20"/>
                <w:szCs w:val="20"/>
                <w:color w:val="auto"/>
              </w:rPr>
            </w:pPr>
            <w:r>
              <w:rPr>
                <w:rFonts w:ascii="Arial" w:cs="Arial" w:eastAsia="Arial" w:hAnsi="Arial"/>
                <w:sz w:val="14"/>
                <w:szCs w:val="14"/>
                <w:color w:val="auto"/>
              </w:rPr>
              <w:t>25,151,050</w:t>
            </w: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68"/>
        </w:trPr>
        <w:tc>
          <w:tcPr>
            <w:tcW w:w="13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331"/>
        </w:trPr>
        <w:tc>
          <w:tcPr>
            <w:tcW w:w="1360" w:type="dxa"/>
            <w:vAlign w:val="bottom"/>
            <w:shd w:val="clear" w:color="auto" w:fill="F7F7F7"/>
          </w:tcPr>
          <w:p>
            <w:pPr>
              <w:ind w:left="160"/>
              <w:spacing w:after="0"/>
              <w:rPr>
                <w:sz w:val="20"/>
                <w:szCs w:val="20"/>
                <w:color w:val="auto"/>
              </w:rPr>
            </w:pPr>
            <w:r>
              <w:rPr>
                <w:rFonts w:ascii="Arial" w:cs="Arial" w:eastAsia="Arial" w:hAnsi="Arial"/>
                <w:sz w:val="14"/>
                <w:szCs w:val="14"/>
                <w:color w:val="auto"/>
              </w:rPr>
              <w:t>Michael Bell</w:t>
            </w:r>
          </w:p>
        </w:tc>
        <w:tc>
          <w:tcPr>
            <w:tcW w:w="980" w:type="dxa"/>
            <w:vAlign w:val="bottom"/>
            <w:shd w:val="clear" w:color="auto" w:fill="F7F7F7"/>
          </w:tcPr>
          <w:p>
            <w:pPr>
              <w:jc w:val="right"/>
              <w:ind w:right="73"/>
              <w:spacing w:after="0"/>
              <w:rPr>
                <w:sz w:val="20"/>
                <w:szCs w:val="20"/>
                <w:color w:val="auto"/>
              </w:rPr>
            </w:pPr>
            <w:r>
              <w:rPr>
                <w:rFonts w:ascii="Arial" w:cs="Arial" w:eastAsia="Arial" w:hAnsi="Arial"/>
                <w:sz w:val="14"/>
                <w:szCs w:val="14"/>
                <w:color w:val="auto"/>
              </w:rPr>
              <w:t>—</w:t>
            </w:r>
          </w:p>
        </w:tc>
        <w:tc>
          <w:tcPr>
            <w:tcW w:w="1120" w:type="dxa"/>
            <w:vAlign w:val="bottom"/>
            <w:shd w:val="clear" w:color="auto" w:fill="F7F7F7"/>
          </w:tcPr>
          <w:p>
            <w:pPr>
              <w:jc w:val="right"/>
              <w:ind w:right="153"/>
              <w:spacing w:after="0"/>
              <w:rPr>
                <w:sz w:val="20"/>
                <w:szCs w:val="20"/>
                <w:color w:val="auto"/>
              </w:rPr>
            </w:pPr>
            <w:r>
              <w:rPr>
                <w:rFonts w:ascii="Arial" w:cs="Arial" w:eastAsia="Arial" w:hAnsi="Arial"/>
                <w:sz w:val="14"/>
                <w:szCs w:val="14"/>
                <w:color w:val="auto"/>
              </w:rPr>
              <w:t>—</w:t>
            </w:r>
          </w:p>
        </w:tc>
        <w:tc>
          <w:tcPr>
            <w:tcW w:w="740" w:type="dxa"/>
            <w:vAlign w:val="bottom"/>
            <w:shd w:val="clear" w:color="auto" w:fill="F7F7F7"/>
          </w:tcPr>
          <w:p>
            <w:pPr>
              <w:spacing w:after="0"/>
              <w:rPr>
                <w:sz w:val="24"/>
                <w:szCs w:val="24"/>
                <w:color w:val="auto"/>
              </w:rPr>
            </w:pPr>
          </w:p>
        </w:tc>
        <w:tc>
          <w:tcPr>
            <w:tcW w:w="1060" w:type="dxa"/>
            <w:vAlign w:val="bottom"/>
            <w:shd w:val="clear" w:color="auto" w:fill="F7F7F7"/>
          </w:tcPr>
          <w:p>
            <w:pPr>
              <w:spacing w:after="0"/>
              <w:rPr>
                <w:sz w:val="24"/>
                <w:szCs w:val="24"/>
                <w:color w:val="auto"/>
              </w:rPr>
            </w:pPr>
          </w:p>
        </w:tc>
        <w:tc>
          <w:tcPr>
            <w:tcW w:w="940" w:type="dxa"/>
            <w:vAlign w:val="bottom"/>
            <w:shd w:val="clear" w:color="auto" w:fill="F7F7F7"/>
          </w:tcPr>
          <w:p>
            <w:pPr>
              <w:jc w:val="right"/>
              <w:ind w:right="14"/>
              <w:spacing w:after="0"/>
              <w:rPr>
                <w:sz w:val="20"/>
                <w:szCs w:val="20"/>
                <w:color w:val="auto"/>
              </w:rPr>
            </w:pPr>
            <w:r>
              <w:rPr>
                <w:rFonts w:ascii="Arial" w:cs="Arial" w:eastAsia="Arial" w:hAnsi="Arial"/>
                <w:sz w:val="14"/>
                <w:szCs w:val="14"/>
                <w:color w:val="auto"/>
              </w:rPr>
              <w:t>1,322,000</w:t>
            </w:r>
            <w:r>
              <w:rPr>
                <w:rFonts w:ascii="Arial" w:cs="Arial" w:eastAsia="Arial" w:hAnsi="Arial"/>
                <w:sz w:val="17"/>
                <w:szCs w:val="17"/>
                <w:color w:val="auto"/>
                <w:vertAlign w:val="superscript"/>
              </w:rPr>
              <w:t>(6)</w:t>
            </w:r>
          </w:p>
        </w:tc>
        <w:tc>
          <w:tcPr>
            <w:tcW w:w="1000" w:type="dxa"/>
            <w:vAlign w:val="bottom"/>
            <w:shd w:val="clear" w:color="auto" w:fill="F7F7F7"/>
          </w:tcPr>
          <w:p>
            <w:pPr>
              <w:jc w:val="right"/>
              <w:ind w:right="54"/>
              <w:spacing w:after="0"/>
              <w:rPr>
                <w:sz w:val="20"/>
                <w:szCs w:val="20"/>
                <w:color w:val="auto"/>
              </w:rPr>
            </w:pPr>
            <w:r>
              <w:rPr>
                <w:rFonts w:ascii="Arial" w:cs="Arial" w:eastAsia="Arial" w:hAnsi="Arial"/>
                <w:sz w:val="14"/>
                <w:szCs w:val="14"/>
                <w:color w:val="auto"/>
              </w:rPr>
              <w:t>50,302,100</w:t>
            </w:r>
          </w:p>
        </w:tc>
        <w:tc>
          <w:tcPr>
            <w:tcW w:w="1080" w:type="dxa"/>
            <w:vAlign w:val="bottom"/>
            <w:shd w:val="clear" w:color="auto" w:fill="F7F7F7"/>
          </w:tcPr>
          <w:p>
            <w:pPr>
              <w:spacing w:after="0"/>
              <w:rPr>
                <w:sz w:val="24"/>
                <w:szCs w:val="24"/>
                <w:color w:val="auto"/>
              </w:rPr>
            </w:pPr>
          </w:p>
        </w:tc>
        <w:tc>
          <w:tcPr>
            <w:tcW w:w="1100" w:type="dxa"/>
            <w:vAlign w:val="bottom"/>
            <w:shd w:val="clear" w:color="auto" w:fill="F7F7F7"/>
          </w:tcPr>
          <w:p>
            <w:pPr>
              <w:spacing w:after="0"/>
              <w:rPr>
                <w:sz w:val="24"/>
                <w:szCs w:val="24"/>
                <w:color w:val="auto"/>
              </w:rPr>
            </w:pPr>
          </w:p>
        </w:tc>
      </w:tr>
      <w:tr>
        <w:trPr>
          <w:trHeight w:val="81"/>
        </w:trPr>
        <w:tc>
          <w:tcPr>
            <w:tcW w:w="1360" w:type="dxa"/>
            <w:vAlign w:val="bottom"/>
            <w:tcBorders>
              <w:bottom w:val="single" w:sz="8" w:color="auto"/>
            </w:tcBorders>
            <w:shd w:val="clear" w:color="auto" w:fill="F7F7F7"/>
          </w:tcPr>
          <w:p>
            <w:pPr>
              <w:spacing w:after="0"/>
              <w:rPr>
                <w:sz w:val="7"/>
                <w:szCs w:val="7"/>
                <w:color w:val="auto"/>
              </w:rPr>
            </w:pPr>
          </w:p>
        </w:tc>
        <w:tc>
          <w:tcPr>
            <w:tcW w:w="980" w:type="dxa"/>
            <w:vAlign w:val="bottom"/>
            <w:tcBorders>
              <w:bottom w:val="single" w:sz="8" w:color="auto"/>
            </w:tcBorders>
            <w:shd w:val="clear" w:color="auto" w:fill="F7F7F7"/>
          </w:tcPr>
          <w:p>
            <w:pPr>
              <w:spacing w:after="0"/>
              <w:rPr>
                <w:sz w:val="7"/>
                <w:szCs w:val="7"/>
                <w:color w:val="auto"/>
              </w:rPr>
            </w:pPr>
          </w:p>
        </w:tc>
        <w:tc>
          <w:tcPr>
            <w:tcW w:w="1120" w:type="dxa"/>
            <w:vAlign w:val="bottom"/>
            <w:tcBorders>
              <w:bottom w:val="single" w:sz="8" w:color="auto"/>
            </w:tcBorders>
            <w:shd w:val="clear" w:color="auto" w:fill="F7F7F7"/>
          </w:tcPr>
          <w:p>
            <w:pPr>
              <w:spacing w:after="0"/>
              <w:rPr>
                <w:sz w:val="7"/>
                <w:szCs w:val="7"/>
                <w:color w:val="auto"/>
              </w:rPr>
            </w:pPr>
          </w:p>
        </w:tc>
        <w:tc>
          <w:tcPr>
            <w:tcW w:w="740" w:type="dxa"/>
            <w:vAlign w:val="bottom"/>
            <w:tcBorders>
              <w:bottom w:val="single" w:sz="8" w:color="auto"/>
            </w:tcBorders>
            <w:shd w:val="clear" w:color="auto" w:fill="F7F7F7"/>
          </w:tcPr>
          <w:p>
            <w:pPr>
              <w:spacing w:after="0"/>
              <w:rPr>
                <w:sz w:val="7"/>
                <w:szCs w:val="7"/>
                <w:color w:val="auto"/>
              </w:rPr>
            </w:pPr>
          </w:p>
        </w:tc>
        <w:tc>
          <w:tcPr>
            <w:tcW w:w="1060" w:type="dxa"/>
            <w:vAlign w:val="bottom"/>
            <w:tcBorders>
              <w:bottom w:val="single" w:sz="8" w:color="auto"/>
            </w:tcBorders>
            <w:shd w:val="clear" w:color="auto" w:fill="F7F7F7"/>
          </w:tcPr>
          <w:p>
            <w:pPr>
              <w:spacing w:after="0"/>
              <w:rPr>
                <w:sz w:val="7"/>
                <w:szCs w:val="7"/>
                <w:color w:val="auto"/>
              </w:rPr>
            </w:pPr>
          </w:p>
        </w:tc>
        <w:tc>
          <w:tcPr>
            <w:tcW w:w="940" w:type="dxa"/>
            <w:vAlign w:val="bottom"/>
            <w:tcBorders>
              <w:bottom w:val="single" w:sz="8" w:color="auto"/>
            </w:tcBorders>
            <w:shd w:val="clear" w:color="auto" w:fill="F7F7F7"/>
          </w:tcPr>
          <w:p>
            <w:pPr>
              <w:spacing w:after="0"/>
              <w:rPr>
                <w:sz w:val="7"/>
                <w:szCs w:val="7"/>
                <w:color w:val="auto"/>
              </w:rPr>
            </w:pPr>
          </w:p>
        </w:tc>
        <w:tc>
          <w:tcPr>
            <w:tcW w:w="1000" w:type="dxa"/>
            <w:vAlign w:val="bottom"/>
            <w:tcBorders>
              <w:bottom w:val="single" w:sz="8" w:color="auto"/>
            </w:tcBorders>
            <w:shd w:val="clear" w:color="auto" w:fill="F7F7F7"/>
          </w:tcPr>
          <w:p>
            <w:pPr>
              <w:spacing w:after="0"/>
              <w:rPr>
                <w:sz w:val="7"/>
                <w:szCs w:val="7"/>
                <w:color w:val="auto"/>
              </w:rPr>
            </w:pPr>
          </w:p>
        </w:tc>
        <w:tc>
          <w:tcPr>
            <w:tcW w:w="1080" w:type="dxa"/>
            <w:vAlign w:val="bottom"/>
            <w:tcBorders>
              <w:bottom w:val="single" w:sz="8" w:color="auto"/>
            </w:tcBorders>
            <w:shd w:val="clear" w:color="auto" w:fill="F7F7F7"/>
          </w:tcPr>
          <w:p>
            <w:pPr>
              <w:spacing w:after="0"/>
              <w:rPr>
                <w:sz w:val="7"/>
                <w:szCs w:val="7"/>
                <w:color w:val="auto"/>
              </w:rPr>
            </w:pPr>
          </w:p>
        </w:tc>
        <w:tc>
          <w:tcPr>
            <w:tcW w:w="1100" w:type="dxa"/>
            <w:vAlign w:val="bottom"/>
            <w:tcBorders>
              <w:bottom w:val="single" w:sz="8" w:color="auto"/>
            </w:tcBorders>
            <w:shd w:val="clear" w:color="auto" w:fill="F7F7F7"/>
          </w:tcPr>
          <w:p>
            <w:pPr>
              <w:spacing w:after="0"/>
              <w:rPr>
                <w:sz w:val="7"/>
                <w:szCs w:val="7"/>
                <w:color w:val="auto"/>
              </w:rPr>
            </w:pPr>
          </w:p>
        </w:tc>
      </w:tr>
    </w:tbl>
    <w:p>
      <w:pPr>
        <w:spacing w:after="0" w:line="265" w:lineRule="exact"/>
        <w:rPr>
          <w:sz w:val="20"/>
          <w:szCs w:val="20"/>
          <w:color w:val="auto"/>
        </w:rPr>
      </w:pPr>
    </w:p>
    <w:p>
      <w:pPr>
        <w:ind w:left="780" w:hanging="126"/>
        <w:spacing w:after="0"/>
        <w:tabs>
          <w:tab w:leader="none" w:pos="780" w:val="left"/>
        </w:tabs>
        <w:numPr>
          <w:ilvl w:val="0"/>
          <w:numId w:val="41"/>
        </w:numPr>
        <w:rPr>
          <w:rFonts w:ascii="Arial" w:cs="Arial" w:eastAsia="Arial" w:hAnsi="Arial"/>
          <w:sz w:val="15"/>
          <w:szCs w:val="15"/>
          <w:color w:val="auto"/>
          <w:vertAlign w:val="superscript"/>
        </w:rPr>
      </w:pPr>
      <w:r>
        <w:rPr>
          <w:rFonts w:ascii="Arial" w:cs="Arial" w:eastAsia="Arial" w:hAnsi="Arial"/>
          <w:sz w:val="10"/>
          <w:szCs w:val="10"/>
          <w:color w:val="auto"/>
        </w:rPr>
        <w:t>The options vest in forty-eight (48) equal monthly installments beginning on April 1, 2020, subject to continued employment as of each applicable vesting date.</w:t>
      </w:r>
    </w:p>
    <w:p>
      <w:pPr>
        <w:spacing w:after="0" w:line="47" w:lineRule="exact"/>
        <w:rPr>
          <w:rFonts w:ascii="Arial" w:cs="Arial" w:eastAsia="Arial" w:hAnsi="Arial"/>
          <w:sz w:val="15"/>
          <w:szCs w:val="15"/>
          <w:color w:val="auto"/>
          <w:vertAlign w:val="superscript"/>
        </w:rPr>
      </w:pPr>
    </w:p>
    <w:p>
      <w:pPr>
        <w:ind w:left="780" w:hanging="126"/>
        <w:spacing w:after="0" w:line="233" w:lineRule="auto"/>
        <w:tabs>
          <w:tab w:leader="none" w:pos="780" w:val="left"/>
        </w:tabs>
        <w:numPr>
          <w:ilvl w:val="0"/>
          <w:numId w:val="41"/>
        </w:numPr>
        <w:rPr>
          <w:rFonts w:ascii="Arial" w:cs="Arial" w:eastAsia="Arial" w:hAnsi="Arial"/>
          <w:sz w:val="15"/>
          <w:szCs w:val="15"/>
          <w:color w:val="auto"/>
          <w:vertAlign w:val="superscript"/>
        </w:rPr>
      </w:pPr>
      <w:r>
        <w:rPr>
          <w:rFonts w:ascii="Arial" w:cs="Arial" w:eastAsia="Arial" w:hAnsi="Arial"/>
          <w:sz w:val="10"/>
          <w:szCs w:val="10"/>
          <w:color w:val="auto"/>
        </w:rPr>
        <w:t>The RSUs vest in sixteen equal quarterly installments beginning on December 5, 2021, subject to continued employment as of each applicable vesting date.</w:t>
      </w:r>
    </w:p>
    <w:p>
      <w:pPr>
        <w:spacing w:after="0" w:line="100" w:lineRule="exact"/>
        <w:rPr>
          <w:rFonts w:ascii="Arial" w:cs="Arial" w:eastAsia="Arial" w:hAnsi="Arial"/>
          <w:sz w:val="15"/>
          <w:szCs w:val="15"/>
          <w:color w:val="auto"/>
          <w:vertAlign w:val="superscript"/>
        </w:rPr>
      </w:pPr>
    </w:p>
    <w:p>
      <w:pPr>
        <w:ind w:left="780" w:right="260" w:hanging="126"/>
        <w:spacing w:after="0" w:line="222" w:lineRule="auto"/>
        <w:tabs>
          <w:tab w:leader="none" w:pos="780" w:val="left"/>
        </w:tabs>
        <w:numPr>
          <w:ilvl w:val="0"/>
          <w:numId w:val="41"/>
        </w:numPr>
        <w:rPr>
          <w:rFonts w:ascii="Arial" w:cs="Arial" w:eastAsia="Arial" w:hAnsi="Arial"/>
          <w:sz w:val="15"/>
          <w:szCs w:val="15"/>
          <w:color w:val="auto"/>
          <w:vertAlign w:val="superscript"/>
        </w:rPr>
      </w:pPr>
      <w:r>
        <w:rPr>
          <w:rFonts w:ascii="Arial" w:cs="Arial" w:eastAsia="Arial" w:hAnsi="Arial"/>
          <w:sz w:val="10"/>
          <w:szCs w:val="10"/>
          <w:color w:val="auto"/>
        </w:rPr>
        <w:t>The CEO Performance RSUs vest in five tranches based on the achievement of market capitalization goals applicable to each tranche over any six-month period subject to Mr. Rawlinson’s continued employment through the applicable vesting date, with the first 6-month vesting period ending in January 2022 (six months after closing of the Merger). The amount reported for the CEO Performance RSUs is the threshold number of shares. Amounts can be earned until 2025.</w:t>
      </w:r>
    </w:p>
    <w:p>
      <w:pPr>
        <w:spacing w:after="0" w:line="86" w:lineRule="exact"/>
        <w:rPr>
          <w:rFonts w:ascii="Arial" w:cs="Arial" w:eastAsia="Arial" w:hAnsi="Arial"/>
          <w:sz w:val="15"/>
          <w:szCs w:val="15"/>
          <w:color w:val="auto"/>
          <w:vertAlign w:val="superscript"/>
        </w:rPr>
      </w:pPr>
    </w:p>
    <w:p>
      <w:pPr>
        <w:ind w:left="780" w:right="460" w:hanging="126"/>
        <w:spacing w:after="0" w:line="209" w:lineRule="auto"/>
        <w:tabs>
          <w:tab w:leader="none" w:pos="780" w:val="left"/>
        </w:tabs>
        <w:numPr>
          <w:ilvl w:val="0"/>
          <w:numId w:val="41"/>
        </w:numPr>
        <w:rPr>
          <w:rFonts w:ascii="Arial" w:cs="Arial" w:eastAsia="Arial" w:hAnsi="Arial"/>
          <w:sz w:val="15"/>
          <w:szCs w:val="15"/>
          <w:color w:val="auto"/>
          <w:vertAlign w:val="superscript"/>
        </w:rPr>
      </w:pPr>
      <w:r>
        <w:rPr>
          <w:rFonts w:ascii="Arial" w:cs="Arial" w:eastAsia="Arial" w:hAnsi="Arial"/>
          <w:sz w:val="10"/>
          <w:szCs w:val="10"/>
          <w:color w:val="auto"/>
        </w:rPr>
        <w:t>25% of the RSUs vest in August 2022 and 1/16 of the RSUs vest each quarter over twelve quarters beginning September 2022 and ending June 2025, subject to Ms. House’s continued employment as of each applicable vesting date.</w:t>
      </w:r>
    </w:p>
    <w:p>
      <w:pPr>
        <w:spacing w:after="0" w:line="87" w:lineRule="exact"/>
        <w:rPr>
          <w:rFonts w:ascii="Arial" w:cs="Arial" w:eastAsia="Arial" w:hAnsi="Arial"/>
          <w:sz w:val="15"/>
          <w:szCs w:val="15"/>
          <w:color w:val="auto"/>
          <w:vertAlign w:val="superscript"/>
        </w:rPr>
      </w:pPr>
    </w:p>
    <w:p>
      <w:pPr>
        <w:ind w:left="780" w:right="480" w:hanging="126"/>
        <w:spacing w:after="0" w:line="209" w:lineRule="auto"/>
        <w:tabs>
          <w:tab w:leader="none" w:pos="780" w:val="left"/>
        </w:tabs>
        <w:numPr>
          <w:ilvl w:val="0"/>
          <w:numId w:val="41"/>
        </w:numPr>
        <w:rPr>
          <w:rFonts w:ascii="Arial" w:cs="Arial" w:eastAsia="Arial" w:hAnsi="Arial"/>
          <w:sz w:val="15"/>
          <w:szCs w:val="15"/>
          <w:color w:val="auto"/>
          <w:vertAlign w:val="superscript"/>
        </w:rPr>
      </w:pPr>
      <w:r>
        <w:rPr>
          <w:rFonts w:ascii="Arial" w:cs="Arial" w:eastAsia="Arial" w:hAnsi="Arial"/>
          <w:sz w:val="10"/>
          <w:szCs w:val="10"/>
          <w:color w:val="auto"/>
        </w:rPr>
        <w:t>5/16 of the RSUs vest in August 2022 and 1/16 of the RSUs vest each quarter over eleven quarters beginning September 2022 and ending March 2025, subject to Mr. Bach’s continued employment through each applicable vesting date.</w:t>
      </w:r>
    </w:p>
    <w:p>
      <w:pPr>
        <w:spacing w:after="0" w:line="100" w:lineRule="exact"/>
        <w:rPr>
          <w:rFonts w:ascii="Arial" w:cs="Arial" w:eastAsia="Arial" w:hAnsi="Arial"/>
          <w:sz w:val="15"/>
          <w:szCs w:val="15"/>
          <w:color w:val="auto"/>
          <w:vertAlign w:val="superscript"/>
        </w:rPr>
      </w:pPr>
    </w:p>
    <w:p>
      <w:pPr>
        <w:ind w:left="780" w:right="100" w:hanging="126"/>
        <w:spacing w:after="0" w:line="209" w:lineRule="auto"/>
        <w:tabs>
          <w:tab w:leader="none" w:pos="780" w:val="left"/>
        </w:tabs>
        <w:numPr>
          <w:ilvl w:val="0"/>
          <w:numId w:val="41"/>
        </w:numPr>
        <w:rPr>
          <w:rFonts w:ascii="Arial" w:cs="Arial" w:eastAsia="Arial" w:hAnsi="Arial"/>
          <w:sz w:val="15"/>
          <w:szCs w:val="15"/>
          <w:color w:val="auto"/>
          <w:vertAlign w:val="superscript"/>
        </w:rPr>
      </w:pPr>
      <w:r>
        <w:rPr>
          <w:rFonts w:ascii="Arial" w:cs="Arial" w:eastAsia="Arial" w:hAnsi="Arial"/>
          <w:sz w:val="10"/>
          <w:szCs w:val="10"/>
          <w:color w:val="auto"/>
        </w:rPr>
        <w:t>25% of the RSUs plus three quarterly installments of 1/16 of the RSUs vest in August 2022 and 1/16 of the RSUs vest each quarter over nine quarters beginning in September 2022 and ending September 2024, subject to Mr. Bell’s continued employment as of each applicable vesting date.</w:t>
      </w:r>
    </w:p>
    <w:p>
      <w:pPr>
        <w:sectPr>
          <w:pgSz w:w="11900" w:h="16838" w:orient="portrait"/>
          <w:cols w:equalWidth="0" w:num="1">
            <w:col w:w="10040"/>
          </w:cols>
          <w:pgMar w:left="580" w:top="132"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2"/>
          <w:szCs w:val="12"/>
          <w:b w:val="1"/>
          <w:bCs w:val="1"/>
          <w:color w:val="auto"/>
        </w:rPr>
        <w:t>60</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110490</wp:posOffset>
            </wp:positionV>
            <wp:extent cx="68319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type w:val="continuous"/>
        </w:sectPr>
      </w:pPr>
    </w:p>
    <w:bookmarkStart w:id="69" w:name="page70"/>
    <w:bookmarkEnd w:id="69"/>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36"/>
          <w:szCs w:val="36"/>
          <w:b w:val="1"/>
          <w:bCs w:val="1"/>
          <w:color w:val="auto"/>
        </w:rPr>
        <w:t>Option Exercises and Stock Vested</w:t>
      </w:r>
    </w:p>
    <w:p>
      <w:pPr>
        <w:spacing w:after="0" w:line="200" w:lineRule="exact"/>
        <w:rPr>
          <w:sz w:val="20"/>
          <w:szCs w:val="20"/>
          <w:color w:val="auto"/>
        </w:rPr>
      </w:pP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81"/>
        </w:trPr>
        <w:tc>
          <w:tcPr>
            <w:tcW w:w="4380" w:type="dxa"/>
            <w:vAlign w:val="bottom"/>
            <w:shd w:val="clear" w:color="auto" w:fill="000000"/>
          </w:tcPr>
          <w:p>
            <w:pPr>
              <w:spacing w:after="0"/>
              <w:rPr>
                <w:sz w:val="24"/>
                <w:szCs w:val="24"/>
                <w:color w:val="auto"/>
              </w:rPr>
            </w:pPr>
          </w:p>
        </w:tc>
        <w:tc>
          <w:tcPr>
            <w:tcW w:w="2600" w:type="dxa"/>
            <w:vAlign w:val="bottom"/>
            <w:gridSpan w:val="2"/>
            <w:shd w:val="clear" w:color="auto" w:fill="000000"/>
          </w:tcPr>
          <w:p>
            <w:pPr>
              <w:jc w:val="right"/>
              <w:ind w:right="892"/>
              <w:spacing w:after="0"/>
              <w:rPr>
                <w:sz w:val="20"/>
                <w:szCs w:val="20"/>
                <w:color w:val="auto"/>
              </w:rPr>
            </w:pPr>
            <w:r>
              <w:rPr>
                <w:rFonts w:ascii="Arial" w:cs="Arial" w:eastAsia="Arial" w:hAnsi="Arial"/>
                <w:sz w:val="13"/>
                <w:szCs w:val="13"/>
                <w:b w:val="1"/>
                <w:bCs w:val="1"/>
                <w:color w:val="FEFEFE"/>
              </w:rPr>
              <w:t>Option Awards</w:t>
            </w:r>
          </w:p>
        </w:tc>
        <w:tc>
          <w:tcPr>
            <w:tcW w:w="2400" w:type="dxa"/>
            <w:vAlign w:val="bottom"/>
            <w:gridSpan w:val="2"/>
            <w:shd w:val="clear" w:color="auto" w:fill="000000"/>
          </w:tcPr>
          <w:p>
            <w:pPr>
              <w:jc w:val="right"/>
              <w:ind w:right="813"/>
              <w:spacing w:after="0"/>
              <w:rPr>
                <w:sz w:val="20"/>
                <w:szCs w:val="20"/>
                <w:color w:val="auto"/>
              </w:rPr>
            </w:pPr>
            <w:r>
              <w:rPr>
                <w:rFonts w:ascii="Arial" w:cs="Arial" w:eastAsia="Arial" w:hAnsi="Arial"/>
                <w:sz w:val="13"/>
                <w:szCs w:val="13"/>
                <w:b w:val="1"/>
                <w:bCs w:val="1"/>
                <w:color w:val="FEFEFE"/>
              </w:rPr>
              <w:t>Stock Awards</w:t>
            </w:r>
          </w:p>
        </w:tc>
      </w:tr>
      <w:tr>
        <w:trPr>
          <w:trHeight w:val="144"/>
        </w:trPr>
        <w:tc>
          <w:tcPr>
            <w:tcW w:w="4380" w:type="dxa"/>
            <w:vAlign w:val="bottom"/>
            <w:shd w:val="clear" w:color="auto" w:fill="000000"/>
          </w:tcPr>
          <w:p>
            <w:pPr>
              <w:spacing w:after="0"/>
              <w:rPr>
                <w:sz w:val="12"/>
                <w:szCs w:val="12"/>
                <w:color w:val="auto"/>
              </w:rPr>
            </w:pPr>
          </w:p>
        </w:tc>
        <w:tc>
          <w:tcPr>
            <w:tcW w:w="1400" w:type="dxa"/>
            <w:vAlign w:val="bottom"/>
            <w:shd w:val="clear" w:color="auto" w:fill="000000"/>
          </w:tcPr>
          <w:p>
            <w:pPr>
              <w:spacing w:after="0"/>
              <w:rPr>
                <w:sz w:val="12"/>
                <w:szCs w:val="12"/>
                <w:color w:val="auto"/>
              </w:rPr>
            </w:pPr>
          </w:p>
        </w:tc>
        <w:tc>
          <w:tcPr>
            <w:tcW w:w="1200" w:type="dxa"/>
            <w:vAlign w:val="bottom"/>
            <w:shd w:val="clear" w:color="auto" w:fill="000000"/>
          </w:tcPr>
          <w:p>
            <w:pPr>
              <w:spacing w:after="0"/>
              <w:rPr>
                <w:sz w:val="12"/>
                <w:szCs w:val="12"/>
                <w:color w:val="auto"/>
              </w:rPr>
            </w:pPr>
          </w:p>
        </w:tc>
        <w:tc>
          <w:tcPr>
            <w:tcW w:w="1200" w:type="dxa"/>
            <w:vAlign w:val="bottom"/>
            <w:shd w:val="clear" w:color="auto" w:fill="000000"/>
          </w:tcPr>
          <w:p>
            <w:pPr>
              <w:spacing w:after="0"/>
              <w:rPr>
                <w:sz w:val="12"/>
                <w:szCs w:val="12"/>
                <w:color w:val="auto"/>
              </w:rPr>
            </w:pPr>
          </w:p>
        </w:tc>
        <w:tc>
          <w:tcPr>
            <w:tcW w:w="1200" w:type="dxa"/>
            <w:vAlign w:val="bottom"/>
            <w:shd w:val="clear" w:color="auto" w:fill="000000"/>
          </w:tcPr>
          <w:p>
            <w:pPr>
              <w:spacing w:after="0"/>
              <w:rPr>
                <w:sz w:val="12"/>
                <w:szCs w:val="12"/>
                <w:color w:val="auto"/>
              </w:rPr>
            </w:pPr>
          </w:p>
        </w:tc>
      </w:tr>
      <w:tr>
        <w:trPr>
          <w:trHeight w:val="255"/>
        </w:trPr>
        <w:tc>
          <w:tcPr>
            <w:tcW w:w="4380" w:type="dxa"/>
            <w:vAlign w:val="bottom"/>
            <w:shd w:val="clear" w:color="auto" w:fill="000000"/>
          </w:tcPr>
          <w:p>
            <w:pPr>
              <w:ind w:left="140"/>
              <w:spacing w:after="0"/>
              <w:rPr>
                <w:sz w:val="20"/>
                <w:szCs w:val="20"/>
                <w:color w:val="auto"/>
              </w:rPr>
            </w:pPr>
            <w:r>
              <w:rPr>
                <w:rFonts w:ascii="Arial" w:cs="Arial" w:eastAsia="Arial" w:hAnsi="Arial"/>
                <w:sz w:val="13"/>
                <w:szCs w:val="13"/>
                <w:b w:val="1"/>
                <w:bCs w:val="1"/>
                <w:color w:val="FEFEFE"/>
              </w:rPr>
              <w:t>Name</w:t>
            </w:r>
          </w:p>
        </w:tc>
        <w:tc>
          <w:tcPr>
            <w:tcW w:w="1400" w:type="dxa"/>
            <w:vAlign w:val="bottom"/>
            <w:shd w:val="clear" w:color="auto" w:fill="000000"/>
          </w:tcPr>
          <w:p>
            <w:pPr>
              <w:jc w:val="center"/>
              <w:ind w:right="33"/>
              <w:spacing w:after="0"/>
              <w:rPr>
                <w:sz w:val="20"/>
                <w:szCs w:val="20"/>
                <w:color w:val="auto"/>
              </w:rPr>
            </w:pPr>
            <w:r>
              <w:rPr>
                <w:rFonts w:ascii="Arial" w:cs="Arial" w:eastAsia="Arial" w:hAnsi="Arial"/>
                <w:sz w:val="13"/>
                <w:szCs w:val="13"/>
                <w:b w:val="1"/>
                <w:bCs w:val="1"/>
                <w:color w:val="FEFEFE"/>
                <w:w w:val="98"/>
              </w:rPr>
              <w:t>Number of Shares</w:t>
            </w:r>
          </w:p>
        </w:tc>
        <w:tc>
          <w:tcPr>
            <w:tcW w:w="1200" w:type="dxa"/>
            <w:vAlign w:val="bottom"/>
            <w:shd w:val="clear" w:color="auto" w:fill="000000"/>
          </w:tcPr>
          <w:p>
            <w:pPr>
              <w:jc w:val="center"/>
              <w:ind w:right="12"/>
              <w:spacing w:after="0"/>
              <w:rPr>
                <w:sz w:val="20"/>
                <w:szCs w:val="20"/>
                <w:color w:val="auto"/>
              </w:rPr>
            </w:pPr>
            <w:r>
              <w:rPr>
                <w:rFonts w:ascii="Arial" w:cs="Arial" w:eastAsia="Arial" w:hAnsi="Arial"/>
                <w:sz w:val="13"/>
                <w:szCs w:val="13"/>
                <w:b w:val="1"/>
                <w:bCs w:val="1"/>
                <w:color w:val="FEFEFE"/>
                <w:w w:val="96"/>
              </w:rPr>
              <w:t>Value Realized</w:t>
            </w:r>
          </w:p>
        </w:tc>
        <w:tc>
          <w:tcPr>
            <w:tcW w:w="1200" w:type="dxa"/>
            <w:vAlign w:val="bottom"/>
            <w:shd w:val="clear" w:color="auto" w:fill="000000"/>
          </w:tcPr>
          <w:p>
            <w:pPr>
              <w:jc w:val="center"/>
              <w:ind w:right="14"/>
              <w:spacing w:after="0"/>
              <w:rPr>
                <w:sz w:val="20"/>
                <w:szCs w:val="20"/>
                <w:color w:val="auto"/>
              </w:rPr>
            </w:pPr>
            <w:r>
              <w:rPr>
                <w:rFonts w:ascii="Arial" w:cs="Arial" w:eastAsia="Arial" w:hAnsi="Arial"/>
                <w:sz w:val="13"/>
                <w:szCs w:val="13"/>
                <w:b w:val="1"/>
                <w:bCs w:val="1"/>
                <w:color w:val="FEFEFE"/>
                <w:w w:val="96"/>
              </w:rPr>
              <w:t>Number of Shares</w:t>
            </w:r>
          </w:p>
        </w:tc>
        <w:tc>
          <w:tcPr>
            <w:tcW w:w="1200" w:type="dxa"/>
            <w:vAlign w:val="bottom"/>
            <w:shd w:val="clear" w:color="auto" w:fill="000000"/>
          </w:tcPr>
          <w:p>
            <w:pPr>
              <w:jc w:val="center"/>
              <w:ind w:right="13"/>
              <w:spacing w:after="0"/>
              <w:rPr>
                <w:sz w:val="20"/>
                <w:szCs w:val="20"/>
                <w:color w:val="auto"/>
              </w:rPr>
            </w:pPr>
            <w:r>
              <w:rPr>
                <w:rFonts w:ascii="Arial" w:cs="Arial" w:eastAsia="Arial" w:hAnsi="Arial"/>
                <w:sz w:val="13"/>
                <w:szCs w:val="13"/>
                <w:b w:val="1"/>
                <w:bCs w:val="1"/>
                <w:color w:val="FEFEFE"/>
                <w:w w:val="96"/>
              </w:rPr>
              <w:t>Value Realized</w:t>
            </w:r>
          </w:p>
        </w:tc>
      </w:tr>
      <w:tr>
        <w:trPr>
          <w:trHeight w:val="135"/>
        </w:trPr>
        <w:tc>
          <w:tcPr>
            <w:tcW w:w="4380" w:type="dxa"/>
            <w:vAlign w:val="bottom"/>
            <w:shd w:val="clear" w:color="auto" w:fill="000000"/>
          </w:tcPr>
          <w:p>
            <w:pPr>
              <w:spacing w:after="0"/>
              <w:rPr>
                <w:sz w:val="11"/>
                <w:szCs w:val="11"/>
                <w:color w:val="auto"/>
              </w:rPr>
            </w:pPr>
          </w:p>
        </w:tc>
        <w:tc>
          <w:tcPr>
            <w:tcW w:w="1400" w:type="dxa"/>
            <w:vAlign w:val="bottom"/>
            <w:shd w:val="clear" w:color="auto" w:fill="000000"/>
          </w:tcPr>
          <w:p>
            <w:pPr>
              <w:jc w:val="center"/>
              <w:ind w:right="33"/>
              <w:spacing w:after="0" w:line="135" w:lineRule="exact"/>
              <w:rPr>
                <w:sz w:val="20"/>
                <w:szCs w:val="20"/>
                <w:color w:val="auto"/>
              </w:rPr>
            </w:pPr>
            <w:r>
              <w:rPr>
                <w:rFonts w:ascii="Arial" w:cs="Arial" w:eastAsia="Arial" w:hAnsi="Arial"/>
                <w:sz w:val="13"/>
                <w:szCs w:val="13"/>
                <w:b w:val="1"/>
                <w:bCs w:val="1"/>
                <w:color w:val="FEFEFE"/>
                <w:w w:val="97"/>
              </w:rPr>
              <w:t>Acquired on Exercise</w:t>
            </w:r>
          </w:p>
        </w:tc>
        <w:tc>
          <w:tcPr>
            <w:tcW w:w="1200" w:type="dxa"/>
            <w:vAlign w:val="bottom"/>
            <w:shd w:val="clear" w:color="auto" w:fill="000000"/>
          </w:tcPr>
          <w:p>
            <w:pPr>
              <w:jc w:val="center"/>
              <w:ind w:right="32"/>
              <w:spacing w:after="0" w:line="135" w:lineRule="exact"/>
              <w:rPr>
                <w:sz w:val="20"/>
                <w:szCs w:val="20"/>
                <w:color w:val="auto"/>
              </w:rPr>
            </w:pPr>
            <w:r>
              <w:rPr>
                <w:rFonts w:ascii="Arial" w:cs="Arial" w:eastAsia="Arial" w:hAnsi="Arial"/>
                <w:sz w:val="13"/>
                <w:szCs w:val="13"/>
                <w:b w:val="1"/>
                <w:bCs w:val="1"/>
                <w:color w:val="FEFEFE"/>
                <w:w w:val="95"/>
              </w:rPr>
              <w:t>on Exercise</w:t>
            </w:r>
          </w:p>
        </w:tc>
        <w:tc>
          <w:tcPr>
            <w:tcW w:w="1200" w:type="dxa"/>
            <w:vAlign w:val="bottom"/>
            <w:shd w:val="clear" w:color="auto" w:fill="000000"/>
          </w:tcPr>
          <w:p>
            <w:pPr>
              <w:jc w:val="center"/>
              <w:ind w:right="34"/>
              <w:spacing w:after="0" w:line="135" w:lineRule="exact"/>
              <w:rPr>
                <w:sz w:val="20"/>
                <w:szCs w:val="20"/>
                <w:color w:val="auto"/>
              </w:rPr>
            </w:pPr>
            <w:r>
              <w:rPr>
                <w:rFonts w:ascii="Arial" w:cs="Arial" w:eastAsia="Arial" w:hAnsi="Arial"/>
                <w:sz w:val="13"/>
                <w:szCs w:val="13"/>
                <w:b w:val="1"/>
                <w:bCs w:val="1"/>
                <w:color w:val="FEFEFE"/>
                <w:w w:val="97"/>
              </w:rPr>
              <w:t>Acquired on</w:t>
            </w:r>
          </w:p>
        </w:tc>
        <w:tc>
          <w:tcPr>
            <w:tcW w:w="1200" w:type="dxa"/>
            <w:vAlign w:val="bottom"/>
            <w:shd w:val="clear" w:color="auto" w:fill="000000"/>
          </w:tcPr>
          <w:p>
            <w:pPr>
              <w:jc w:val="center"/>
              <w:ind w:right="13"/>
              <w:spacing w:after="0" w:line="135" w:lineRule="exact"/>
              <w:rPr>
                <w:sz w:val="20"/>
                <w:szCs w:val="20"/>
                <w:color w:val="auto"/>
              </w:rPr>
            </w:pPr>
            <w:r>
              <w:rPr>
                <w:rFonts w:ascii="Arial" w:cs="Arial" w:eastAsia="Arial" w:hAnsi="Arial"/>
                <w:sz w:val="13"/>
                <w:szCs w:val="13"/>
                <w:b w:val="1"/>
                <w:bCs w:val="1"/>
                <w:color w:val="FEFEFE"/>
                <w:w w:val="96"/>
              </w:rPr>
              <w:t>on Vesting</w:t>
            </w:r>
          </w:p>
        </w:tc>
      </w:tr>
      <w:tr>
        <w:trPr>
          <w:trHeight w:val="135"/>
        </w:trPr>
        <w:tc>
          <w:tcPr>
            <w:tcW w:w="4380" w:type="dxa"/>
            <w:vAlign w:val="bottom"/>
            <w:shd w:val="clear" w:color="auto" w:fill="000000"/>
          </w:tcPr>
          <w:p>
            <w:pPr>
              <w:spacing w:after="0"/>
              <w:rPr>
                <w:sz w:val="11"/>
                <w:szCs w:val="11"/>
                <w:color w:val="auto"/>
              </w:rPr>
            </w:pPr>
          </w:p>
        </w:tc>
        <w:tc>
          <w:tcPr>
            <w:tcW w:w="1400" w:type="dxa"/>
            <w:vAlign w:val="bottom"/>
            <w:shd w:val="clear" w:color="auto" w:fill="000000"/>
          </w:tcPr>
          <w:p>
            <w:pPr>
              <w:jc w:val="center"/>
              <w:ind w:right="33"/>
              <w:spacing w:after="0" w:line="135" w:lineRule="exact"/>
              <w:rPr>
                <w:sz w:val="20"/>
                <w:szCs w:val="20"/>
                <w:color w:val="auto"/>
              </w:rPr>
            </w:pPr>
            <w:r>
              <w:rPr>
                <w:rFonts w:ascii="Arial" w:cs="Arial" w:eastAsia="Arial" w:hAnsi="Arial"/>
                <w:sz w:val="13"/>
                <w:szCs w:val="13"/>
                <w:b w:val="1"/>
                <w:bCs w:val="1"/>
                <w:color w:val="FEFEFE"/>
                <w:w w:val="87"/>
              </w:rPr>
              <w:t>(#)</w:t>
            </w:r>
          </w:p>
        </w:tc>
        <w:tc>
          <w:tcPr>
            <w:tcW w:w="1200" w:type="dxa"/>
            <w:vAlign w:val="bottom"/>
            <w:shd w:val="clear" w:color="auto" w:fill="000000"/>
          </w:tcPr>
          <w:p>
            <w:pPr>
              <w:jc w:val="center"/>
              <w:ind w:right="32"/>
              <w:spacing w:after="0" w:line="135" w:lineRule="exact"/>
              <w:rPr>
                <w:sz w:val="20"/>
                <w:szCs w:val="20"/>
                <w:color w:val="auto"/>
              </w:rPr>
            </w:pPr>
            <w:r>
              <w:rPr>
                <w:rFonts w:ascii="Arial" w:cs="Arial" w:eastAsia="Arial" w:hAnsi="Arial"/>
                <w:sz w:val="13"/>
                <w:szCs w:val="13"/>
                <w:b w:val="1"/>
                <w:bCs w:val="1"/>
                <w:color w:val="FEFEFE"/>
                <w:w w:val="87"/>
              </w:rPr>
              <w:t>($)</w:t>
            </w:r>
          </w:p>
        </w:tc>
        <w:tc>
          <w:tcPr>
            <w:tcW w:w="1200" w:type="dxa"/>
            <w:vAlign w:val="bottom"/>
            <w:shd w:val="clear" w:color="auto" w:fill="000000"/>
          </w:tcPr>
          <w:p>
            <w:pPr>
              <w:jc w:val="center"/>
              <w:ind w:right="14"/>
              <w:spacing w:after="0" w:line="135" w:lineRule="exact"/>
              <w:rPr>
                <w:sz w:val="20"/>
                <w:szCs w:val="20"/>
                <w:color w:val="auto"/>
              </w:rPr>
            </w:pPr>
            <w:r>
              <w:rPr>
                <w:rFonts w:ascii="Arial" w:cs="Arial" w:eastAsia="Arial" w:hAnsi="Arial"/>
                <w:sz w:val="13"/>
                <w:szCs w:val="13"/>
                <w:b w:val="1"/>
                <w:bCs w:val="1"/>
                <w:color w:val="FEFEFE"/>
                <w:w w:val="93"/>
              </w:rPr>
              <w:t>Vesting</w:t>
            </w:r>
          </w:p>
        </w:tc>
        <w:tc>
          <w:tcPr>
            <w:tcW w:w="1200" w:type="dxa"/>
            <w:vAlign w:val="bottom"/>
            <w:shd w:val="clear" w:color="auto" w:fill="000000"/>
          </w:tcPr>
          <w:p>
            <w:pPr>
              <w:jc w:val="center"/>
              <w:ind w:right="13"/>
              <w:spacing w:after="0" w:line="135" w:lineRule="exact"/>
              <w:rPr>
                <w:sz w:val="20"/>
                <w:szCs w:val="20"/>
                <w:color w:val="auto"/>
              </w:rPr>
            </w:pPr>
            <w:r>
              <w:rPr>
                <w:rFonts w:ascii="Arial" w:cs="Arial" w:eastAsia="Arial" w:hAnsi="Arial"/>
                <w:sz w:val="13"/>
                <w:szCs w:val="13"/>
                <w:b w:val="1"/>
                <w:bCs w:val="1"/>
                <w:color w:val="FEFEFE"/>
              </w:rPr>
              <w:t>($)</w:t>
            </w:r>
          </w:p>
        </w:tc>
      </w:tr>
      <w:tr>
        <w:trPr>
          <w:trHeight w:val="168"/>
        </w:trPr>
        <w:tc>
          <w:tcPr>
            <w:tcW w:w="4380" w:type="dxa"/>
            <w:vAlign w:val="bottom"/>
            <w:shd w:val="clear" w:color="auto" w:fill="000000"/>
          </w:tcPr>
          <w:p>
            <w:pPr>
              <w:spacing w:after="0"/>
              <w:rPr>
                <w:sz w:val="14"/>
                <w:szCs w:val="14"/>
                <w:color w:val="auto"/>
              </w:rPr>
            </w:pPr>
          </w:p>
        </w:tc>
        <w:tc>
          <w:tcPr>
            <w:tcW w:w="1400" w:type="dxa"/>
            <w:vAlign w:val="bottom"/>
            <w:shd w:val="clear" w:color="auto" w:fill="000000"/>
          </w:tcPr>
          <w:p>
            <w:pPr>
              <w:spacing w:after="0"/>
              <w:rPr>
                <w:sz w:val="14"/>
                <w:szCs w:val="14"/>
                <w:color w:val="auto"/>
              </w:rPr>
            </w:pPr>
          </w:p>
        </w:tc>
        <w:tc>
          <w:tcPr>
            <w:tcW w:w="1200" w:type="dxa"/>
            <w:vAlign w:val="bottom"/>
            <w:shd w:val="clear" w:color="auto" w:fill="000000"/>
          </w:tcPr>
          <w:p>
            <w:pPr>
              <w:spacing w:after="0"/>
              <w:rPr>
                <w:sz w:val="14"/>
                <w:szCs w:val="14"/>
                <w:color w:val="auto"/>
              </w:rPr>
            </w:pPr>
          </w:p>
        </w:tc>
        <w:tc>
          <w:tcPr>
            <w:tcW w:w="1200" w:type="dxa"/>
            <w:vAlign w:val="bottom"/>
            <w:shd w:val="clear" w:color="auto" w:fill="000000"/>
          </w:tcPr>
          <w:p>
            <w:pPr>
              <w:jc w:val="center"/>
              <w:ind w:right="14"/>
              <w:spacing w:after="0"/>
              <w:rPr>
                <w:sz w:val="20"/>
                <w:szCs w:val="20"/>
                <w:color w:val="auto"/>
              </w:rPr>
            </w:pPr>
            <w:r>
              <w:rPr>
                <w:rFonts w:ascii="Arial" w:cs="Arial" w:eastAsia="Arial" w:hAnsi="Arial"/>
                <w:sz w:val="13"/>
                <w:szCs w:val="13"/>
                <w:b w:val="1"/>
                <w:bCs w:val="1"/>
                <w:color w:val="FEFEFE"/>
              </w:rPr>
              <w:t>(#)</w:t>
            </w:r>
          </w:p>
        </w:tc>
        <w:tc>
          <w:tcPr>
            <w:tcW w:w="1200" w:type="dxa"/>
            <w:vAlign w:val="bottom"/>
            <w:shd w:val="clear" w:color="auto" w:fill="000000"/>
          </w:tcPr>
          <w:p>
            <w:pPr>
              <w:spacing w:after="0"/>
              <w:rPr>
                <w:sz w:val="14"/>
                <w:szCs w:val="14"/>
                <w:color w:val="auto"/>
              </w:rPr>
            </w:pPr>
          </w:p>
        </w:tc>
      </w:tr>
      <w:tr>
        <w:trPr>
          <w:trHeight w:val="137"/>
        </w:trPr>
        <w:tc>
          <w:tcPr>
            <w:tcW w:w="4380" w:type="dxa"/>
            <w:vAlign w:val="bottom"/>
            <w:shd w:val="clear" w:color="auto" w:fill="000000"/>
          </w:tcPr>
          <w:p>
            <w:pPr>
              <w:spacing w:after="0"/>
              <w:rPr>
                <w:sz w:val="11"/>
                <w:szCs w:val="11"/>
                <w:color w:val="auto"/>
              </w:rPr>
            </w:pPr>
          </w:p>
        </w:tc>
        <w:tc>
          <w:tcPr>
            <w:tcW w:w="1400" w:type="dxa"/>
            <w:vAlign w:val="bottom"/>
            <w:shd w:val="clear" w:color="auto" w:fill="000000"/>
          </w:tcPr>
          <w:p>
            <w:pPr>
              <w:spacing w:after="0"/>
              <w:rPr>
                <w:sz w:val="11"/>
                <w:szCs w:val="11"/>
                <w:color w:val="auto"/>
              </w:rPr>
            </w:pPr>
          </w:p>
        </w:tc>
        <w:tc>
          <w:tcPr>
            <w:tcW w:w="1200" w:type="dxa"/>
            <w:vAlign w:val="bottom"/>
            <w:shd w:val="clear" w:color="auto" w:fill="000000"/>
          </w:tcPr>
          <w:p>
            <w:pPr>
              <w:spacing w:after="0"/>
              <w:rPr>
                <w:sz w:val="11"/>
                <w:szCs w:val="11"/>
                <w:color w:val="auto"/>
              </w:rPr>
            </w:pPr>
          </w:p>
        </w:tc>
        <w:tc>
          <w:tcPr>
            <w:tcW w:w="1200" w:type="dxa"/>
            <w:vAlign w:val="bottom"/>
            <w:shd w:val="clear" w:color="auto" w:fill="000000"/>
          </w:tcPr>
          <w:p>
            <w:pPr>
              <w:spacing w:after="0"/>
              <w:rPr>
                <w:sz w:val="11"/>
                <w:szCs w:val="11"/>
                <w:color w:val="auto"/>
              </w:rPr>
            </w:pPr>
          </w:p>
        </w:tc>
        <w:tc>
          <w:tcPr>
            <w:tcW w:w="1200" w:type="dxa"/>
            <w:vAlign w:val="bottom"/>
            <w:shd w:val="clear" w:color="auto" w:fill="000000"/>
          </w:tcPr>
          <w:p>
            <w:pPr>
              <w:spacing w:after="0"/>
              <w:rPr>
                <w:sz w:val="11"/>
                <w:szCs w:val="11"/>
                <w:color w:val="auto"/>
              </w:rPr>
            </w:pPr>
          </w:p>
        </w:tc>
      </w:tr>
      <w:tr>
        <w:trPr>
          <w:trHeight w:val="364"/>
        </w:trPr>
        <w:tc>
          <w:tcPr>
            <w:tcW w:w="4380" w:type="dxa"/>
            <w:vAlign w:val="bottom"/>
          </w:tcPr>
          <w:p>
            <w:pPr>
              <w:ind w:left="140"/>
              <w:spacing w:after="0"/>
              <w:rPr>
                <w:sz w:val="20"/>
                <w:szCs w:val="20"/>
                <w:color w:val="auto"/>
              </w:rPr>
            </w:pPr>
            <w:r>
              <w:rPr>
                <w:rFonts w:ascii="Arial" w:cs="Arial" w:eastAsia="Arial" w:hAnsi="Arial"/>
                <w:sz w:val="14"/>
                <w:szCs w:val="14"/>
                <w:color w:val="auto"/>
              </w:rPr>
              <w:t>Peter Rawlinson</w:t>
            </w:r>
          </w:p>
        </w:tc>
        <w:tc>
          <w:tcPr>
            <w:tcW w:w="1400" w:type="dxa"/>
            <w:vAlign w:val="bottom"/>
          </w:tcPr>
          <w:p>
            <w:pPr>
              <w:jc w:val="right"/>
              <w:ind w:right="413"/>
              <w:spacing w:after="0"/>
              <w:rPr>
                <w:sz w:val="20"/>
                <w:szCs w:val="20"/>
                <w:color w:val="auto"/>
              </w:rPr>
            </w:pPr>
            <w:r>
              <w:rPr>
                <w:rFonts w:ascii="Arial" w:cs="Arial" w:eastAsia="Arial" w:hAnsi="Arial"/>
                <w:sz w:val="14"/>
                <w:szCs w:val="14"/>
                <w:color w:val="auto"/>
              </w:rPr>
              <w:t>407,756</w:t>
            </w:r>
          </w:p>
        </w:tc>
        <w:tc>
          <w:tcPr>
            <w:tcW w:w="1200" w:type="dxa"/>
            <w:vAlign w:val="bottom"/>
          </w:tcPr>
          <w:p>
            <w:pPr>
              <w:jc w:val="right"/>
              <w:ind w:right="92"/>
              <w:spacing w:after="0"/>
              <w:rPr>
                <w:sz w:val="20"/>
                <w:szCs w:val="20"/>
                <w:color w:val="auto"/>
              </w:rPr>
            </w:pPr>
            <w:r>
              <w:rPr>
                <w:rFonts w:ascii="Arial" w:cs="Arial" w:eastAsia="Arial" w:hAnsi="Arial"/>
                <w:sz w:val="14"/>
                <w:szCs w:val="14"/>
                <w:color w:val="auto"/>
              </w:rPr>
              <w:t>16,652,592</w:t>
            </w:r>
            <w:r>
              <w:rPr>
                <w:rFonts w:ascii="Arial" w:cs="Arial" w:eastAsia="Arial" w:hAnsi="Arial"/>
                <w:sz w:val="17"/>
                <w:szCs w:val="17"/>
                <w:color w:val="auto"/>
                <w:vertAlign w:val="superscript"/>
              </w:rPr>
              <w:t>(1)</w:t>
            </w:r>
          </w:p>
        </w:tc>
        <w:tc>
          <w:tcPr>
            <w:tcW w:w="1200" w:type="dxa"/>
            <w:vAlign w:val="bottom"/>
          </w:tcPr>
          <w:p>
            <w:pPr>
              <w:jc w:val="right"/>
              <w:ind w:right="294"/>
              <w:spacing w:after="0"/>
              <w:rPr>
                <w:sz w:val="20"/>
                <w:szCs w:val="20"/>
                <w:color w:val="auto"/>
              </w:rPr>
            </w:pPr>
            <w:r>
              <w:rPr>
                <w:rFonts w:ascii="Arial" w:cs="Arial" w:eastAsia="Arial" w:hAnsi="Arial"/>
                <w:sz w:val="14"/>
                <w:szCs w:val="14"/>
                <w:color w:val="auto"/>
              </w:rPr>
              <w:t>864,670</w:t>
            </w:r>
          </w:p>
        </w:tc>
        <w:tc>
          <w:tcPr>
            <w:tcW w:w="1200" w:type="dxa"/>
            <w:vAlign w:val="bottom"/>
          </w:tcPr>
          <w:p>
            <w:pPr>
              <w:jc w:val="right"/>
              <w:ind w:right="73"/>
              <w:spacing w:after="0"/>
              <w:rPr>
                <w:sz w:val="20"/>
                <w:szCs w:val="20"/>
                <w:color w:val="auto"/>
              </w:rPr>
            </w:pPr>
            <w:r>
              <w:rPr>
                <w:rFonts w:ascii="Arial" w:cs="Arial" w:eastAsia="Arial" w:hAnsi="Arial"/>
                <w:sz w:val="14"/>
                <w:szCs w:val="14"/>
                <w:color w:val="auto"/>
              </w:rPr>
              <w:t>40,872,951</w:t>
            </w:r>
            <w:r>
              <w:rPr>
                <w:rFonts w:ascii="Arial" w:cs="Arial" w:eastAsia="Arial" w:hAnsi="Arial"/>
                <w:sz w:val="17"/>
                <w:szCs w:val="17"/>
                <w:color w:val="auto"/>
                <w:vertAlign w:val="superscript"/>
              </w:rPr>
              <w:t>(2)</w:t>
            </w:r>
          </w:p>
        </w:tc>
      </w:tr>
      <w:tr>
        <w:trPr>
          <w:trHeight w:val="54"/>
        </w:trPr>
        <w:tc>
          <w:tcPr>
            <w:tcW w:w="43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306"/>
        </w:trPr>
        <w:tc>
          <w:tcPr>
            <w:tcW w:w="4380" w:type="dxa"/>
            <w:vAlign w:val="bottom"/>
            <w:shd w:val="clear" w:color="auto" w:fill="F7F7F7"/>
          </w:tcPr>
          <w:p>
            <w:pPr>
              <w:ind w:left="140"/>
              <w:spacing w:after="0"/>
              <w:rPr>
                <w:sz w:val="20"/>
                <w:szCs w:val="20"/>
                <w:color w:val="auto"/>
              </w:rPr>
            </w:pPr>
            <w:r>
              <w:rPr>
                <w:rFonts w:ascii="Arial" w:cs="Arial" w:eastAsia="Arial" w:hAnsi="Arial"/>
                <w:sz w:val="14"/>
                <w:szCs w:val="14"/>
                <w:color w:val="auto"/>
              </w:rPr>
              <w:t>Sherry House</w:t>
            </w:r>
          </w:p>
        </w:tc>
        <w:tc>
          <w:tcPr>
            <w:tcW w:w="1400" w:type="dxa"/>
            <w:vAlign w:val="bottom"/>
            <w:shd w:val="clear" w:color="auto" w:fill="F7F7F7"/>
          </w:tcPr>
          <w:p>
            <w:pPr>
              <w:jc w:val="right"/>
              <w:ind w:right="413"/>
              <w:spacing w:after="0"/>
              <w:rPr>
                <w:sz w:val="20"/>
                <w:szCs w:val="20"/>
                <w:color w:val="auto"/>
              </w:rPr>
            </w:pPr>
            <w:r>
              <w:rPr>
                <w:rFonts w:ascii="Arial" w:cs="Arial" w:eastAsia="Arial" w:hAnsi="Arial"/>
                <w:sz w:val="14"/>
                <w:szCs w:val="14"/>
                <w:color w:val="auto"/>
              </w:rPr>
              <w:t>—</w:t>
            </w:r>
          </w:p>
        </w:tc>
        <w:tc>
          <w:tcPr>
            <w:tcW w:w="1200" w:type="dxa"/>
            <w:vAlign w:val="bottom"/>
            <w:shd w:val="clear" w:color="auto" w:fill="F7F7F7"/>
          </w:tcPr>
          <w:p>
            <w:pPr>
              <w:jc w:val="right"/>
              <w:ind w:right="192"/>
              <w:spacing w:after="0"/>
              <w:rPr>
                <w:sz w:val="20"/>
                <w:szCs w:val="20"/>
                <w:color w:val="auto"/>
              </w:rPr>
            </w:pPr>
            <w:r>
              <w:rPr>
                <w:rFonts w:ascii="Arial" w:cs="Arial" w:eastAsia="Arial" w:hAnsi="Arial"/>
                <w:sz w:val="14"/>
                <w:szCs w:val="14"/>
                <w:color w:val="auto"/>
              </w:rPr>
              <w:t>—</w:t>
            </w:r>
          </w:p>
        </w:tc>
        <w:tc>
          <w:tcPr>
            <w:tcW w:w="1200" w:type="dxa"/>
            <w:vAlign w:val="bottom"/>
            <w:shd w:val="clear" w:color="auto" w:fill="F7F7F7"/>
          </w:tcPr>
          <w:p>
            <w:pPr>
              <w:jc w:val="right"/>
              <w:ind w:right="294"/>
              <w:spacing w:after="0"/>
              <w:rPr>
                <w:sz w:val="20"/>
                <w:szCs w:val="20"/>
                <w:color w:val="auto"/>
              </w:rPr>
            </w:pPr>
            <w:r>
              <w:rPr>
                <w:rFonts w:ascii="Arial" w:cs="Arial" w:eastAsia="Arial" w:hAnsi="Arial"/>
                <w:sz w:val="14"/>
                <w:szCs w:val="14"/>
                <w:color w:val="auto"/>
              </w:rPr>
              <w:t>—</w:t>
            </w:r>
          </w:p>
        </w:tc>
        <w:tc>
          <w:tcPr>
            <w:tcW w:w="1200" w:type="dxa"/>
            <w:vAlign w:val="bottom"/>
            <w:shd w:val="clear" w:color="auto" w:fill="F7F7F7"/>
          </w:tcPr>
          <w:p>
            <w:pPr>
              <w:jc w:val="right"/>
              <w:ind w:right="193"/>
              <w:spacing w:after="0"/>
              <w:rPr>
                <w:sz w:val="20"/>
                <w:szCs w:val="20"/>
                <w:color w:val="auto"/>
              </w:rPr>
            </w:pPr>
            <w:r>
              <w:rPr>
                <w:rFonts w:ascii="Arial" w:cs="Arial" w:eastAsia="Arial" w:hAnsi="Arial"/>
                <w:sz w:val="14"/>
                <w:szCs w:val="14"/>
                <w:color w:val="auto"/>
              </w:rPr>
              <w:t>—</w:t>
            </w:r>
          </w:p>
        </w:tc>
      </w:tr>
      <w:tr>
        <w:trPr>
          <w:trHeight w:val="93"/>
        </w:trPr>
        <w:tc>
          <w:tcPr>
            <w:tcW w:w="4380" w:type="dxa"/>
            <w:vAlign w:val="bottom"/>
            <w:tcBorders>
              <w:bottom w:val="single" w:sz="8" w:color="auto"/>
            </w:tcBorders>
            <w:shd w:val="clear" w:color="auto" w:fill="F7F7F7"/>
          </w:tcPr>
          <w:p>
            <w:pPr>
              <w:spacing w:after="0"/>
              <w:rPr>
                <w:sz w:val="8"/>
                <w:szCs w:val="8"/>
                <w:color w:val="auto"/>
              </w:rPr>
            </w:pPr>
          </w:p>
        </w:tc>
        <w:tc>
          <w:tcPr>
            <w:tcW w:w="1400" w:type="dxa"/>
            <w:vAlign w:val="bottom"/>
            <w:tcBorders>
              <w:bottom w:val="single" w:sz="8" w:color="auto"/>
            </w:tcBorders>
            <w:shd w:val="clear" w:color="auto" w:fill="F7F7F7"/>
          </w:tcPr>
          <w:p>
            <w:pPr>
              <w:spacing w:after="0"/>
              <w:rPr>
                <w:sz w:val="8"/>
                <w:szCs w:val="8"/>
                <w:color w:val="auto"/>
              </w:rPr>
            </w:pPr>
          </w:p>
        </w:tc>
        <w:tc>
          <w:tcPr>
            <w:tcW w:w="1200" w:type="dxa"/>
            <w:vAlign w:val="bottom"/>
            <w:tcBorders>
              <w:bottom w:val="single" w:sz="8" w:color="auto"/>
            </w:tcBorders>
            <w:shd w:val="clear" w:color="auto" w:fill="F7F7F7"/>
          </w:tcPr>
          <w:p>
            <w:pPr>
              <w:spacing w:after="0"/>
              <w:rPr>
                <w:sz w:val="8"/>
                <w:szCs w:val="8"/>
                <w:color w:val="auto"/>
              </w:rPr>
            </w:pPr>
          </w:p>
        </w:tc>
        <w:tc>
          <w:tcPr>
            <w:tcW w:w="1200" w:type="dxa"/>
            <w:vAlign w:val="bottom"/>
            <w:tcBorders>
              <w:bottom w:val="single" w:sz="8" w:color="auto"/>
            </w:tcBorders>
            <w:shd w:val="clear" w:color="auto" w:fill="F7F7F7"/>
          </w:tcPr>
          <w:p>
            <w:pPr>
              <w:spacing w:after="0"/>
              <w:rPr>
                <w:sz w:val="8"/>
                <w:szCs w:val="8"/>
                <w:color w:val="auto"/>
              </w:rPr>
            </w:pPr>
          </w:p>
        </w:tc>
        <w:tc>
          <w:tcPr>
            <w:tcW w:w="1200" w:type="dxa"/>
            <w:vAlign w:val="bottom"/>
            <w:tcBorders>
              <w:bottom w:val="single" w:sz="8" w:color="auto"/>
            </w:tcBorders>
            <w:shd w:val="clear" w:color="auto" w:fill="F7F7F7"/>
          </w:tcPr>
          <w:p>
            <w:pPr>
              <w:spacing w:after="0"/>
              <w:rPr>
                <w:sz w:val="8"/>
                <w:szCs w:val="8"/>
                <w:color w:val="auto"/>
              </w:rPr>
            </w:pPr>
          </w:p>
        </w:tc>
      </w:tr>
      <w:tr>
        <w:trPr>
          <w:trHeight w:val="344"/>
        </w:trPr>
        <w:tc>
          <w:tcPr>
            <w:tcW w:w="4380" w:type="dxa"/>
            <w:vAlign w:val="bottom"/>
          </w:tcPr>
          <w:p>
            <w:pPr>
              <w:ind w:left="140"/>
              <w:spacing w:after="0"/>
              <w:rPr>
                <w:sz w:val="20"/>
                <w:szCs w:val="20"/>
                <w:color w:val="auto"/>
              </w:rPr>
            </w:pPr>
            <w:r>
              <w:rPr>
                <w:rFonts w:ascii="Arial" w:cs="Arial" w:eastAsia="Arial" w:hAnsi="Arial"/>
                <w:sz w:val="14"/>
                <w:szCs w:val="14"/>
                <w:color w:val="auto"/>
              </w:rPr>
              <w:t>Eric Bach</w:t>
            </w:r>
          </w:p>
        </w:tc>
        <w:tc>
          <w:tcPr>
            <w:tcW w:w="1400" w:type="dxa"/>
            <w:vAlign w:val="bottom"/>
          </w:tcPr>
          <w:p>
            <w:pPr>
              <w:jc w:val="right"/>
              <w:ind w:right="413"/>
              <w:spacing w:after="0"/>
              <w:rPr>
                <w:sz w:val="20"/>
                <w:szCs w:val="20"/>
                <w:color w:val="auto"/>
              </w:rPr>
            </w:pPr>
            <w:r>
              <w:rPr>
                <w:rFonts w:ascii="Arial" w:cs="Arial" w:eastAsia="Arial" w:hAnsi="Arial"/>
                <w:sz w:val="14"/>
                <w:szCs w:val="14"/>
                <w:color w:val="auto"/>
              </w:rPr>
              <w:t>587,695</w:t>
            </w:r>
          </w:p>
        </w:tc>
        <w:tc>
          <w:tcPr>
            <w:tcW w:w="1200" w:type="dxa"/>
            <w:vAlign w:val="bottom"/>
          </w:tcPr>
          <w:p>
            <w:pPr>
              <w:jc w:val="right"/>
              <w:ind w:right="92"/>
              <w:spacing w:after="0"/>
              <w:rPr>
                <w:sz w:val="20"/>
                <w:szCs w:val="20"/>
                <w:color w:val="auto"/>
              </w:rPr>
            </w:pPr>
            <w:r>
              <w:rPr>
                <w:rFonts w:ascii="Arial" w:cs="Arial" w:eastAsia="Arial" w:hAnsi="Arial"/>
                <w:sz w:val="14"/>
                <w:szCs w:val="14"/>
                <w:color w:val="auto"/>
              </w:rPr>
              <w:t>8,945,373</w:t>
            </w:r>
            <w:r>
              <w:rPr>
                <w:rFonts w:ascii="Arial" w:cs="Arial" w:eastAsia="Arial" w:hAnsi="Arial"/>
                <w:sz w:val="17"/>
                <w:szCs w:val="17"/>
                <w:color w:val="auto"/>
                <w:vertAlign w:val="superscript"/>
              </w:rPr>
              <w:t>(2)</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54"/>
        </w:trPr>
        <w:tc>
          <w:tcPr>
            <w:tcW w:w="43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305"/>
        </w:trPr>
        <w:tc>
          <w:tcPr>
            <w:tcW w:w="4380" w:type="dxa"/>
            <w:vAlign w:val="bottom"/>
            <w:shd w:val="clear" w:color="auto" w:fill="F7F7F7"/>
          </w:tcPr>
          <w:p>
            <w:pPr>
              <w:ind w:left="140"/>
              <w:spacing w:after="0"/>
              <w:rPr>
                <w:sz w:val="20"/>
                <w:szCs w:val="20"/>
                <w:color w:val="auto"/>
              </w:rPr>
            </w:pPr>
            <w:r>
              <w:rPr>
                <w:rFonts w:ascii="Arial" w:cs="Arial" w:eastAsia="Arial" w:hAnsi="Arial"/>
                <w:sz w:val="14"/>
                <w:szCs w:val="14"/>
                <w:color w:val="auto"/>
              </w:rPr>
              <w:t>Michael Bell</w:t>
            </w:r>
          </w:p>
        </w:tc>
        <w:tc>
          <w:tcPr>
            <w:tcW w:w="1400" w:type="dxa"/>
            <w:vAlign w:val="bottom"/>
            <w:shd w:val="clear" w:color="auto" w:fill="F7F7F7"/>
          </w:tcPr>
          <w:p>
            <w:pPr>
              <w:jc w:val="right"/>
              <w:ind w:right="413"/>
              <w:spacing w:after="0"/>
              <w:rPr>
                <w:sz w:val="20"/>
                <w:szCs w:val="20"/>
                <w:color w:val="auto"/>
              </w:rPr>
            </w:pPr>
            <w:r>
              <w:rPr>
                <w:rFonts w:ascii="Arial" w:cs="Arial" w:eastAsia="Arial" w:hAnsi="Arial"/>
                <w:sz w:val="14"/>
                <w:szCs w:val="14"/>
                <w:color w:val="auto"/>
              </w:rPr>
              <w:t>—</w:t>
            </w:r>
          </w:p>
        </w:tc>
        <w:tc>
          <w:tcPr>
            <w:tcW w:w="1200" w:type="dxa"/>
            <w:vAlign w:val="bottom"/>
            <w:shd w:val="clear" w:color="auto" w:fill="F7F7F7"/>
          </w:tcPr>
          <w:p>
            <w:pPr>
              <w:jc w:val="right"/>
              <w:ind w:right="192"/>
              <w:spacing w:after="0"/>
              <w:rPr>
                <w:sz w:val="20"/>
                <w:szCs w:val="20"/>
                <w:color w:val="auto"/>
              </w:rPr>
            </w:pPr>
            <w:r>
              <w:rPr>
                <w:rFonts w:ascii="Arial" w:cs="Arial" w:eastAsia="Arial" w:hAnsi="Arial"/>
                <w:sz w:val="14"/>
                <w:szCs w:val="14"/>
                <w:color w:val="auto"/>
              </w:rPr>
              <w:t>—</w:t>
            </w:r>
          </w:p>
        </w:tc>
        <w:tc>
          <w:tcPr>
            <w:tcW w:w="1200" w:type="dxa"/>
            <w:vAlign w:val="bottom"/>
            <w:shd w:val="clear" w:color="auto" w:fill="F7F7F7"/>
          </w:tcPr>
          <w:p>
            <w:pPr>
              <w:jc w:val="right"/>
              <w:ind w:right="294"/>
              <w:spacing w:after="0"/>
              <w:rPr>
                <w:sz w:val="20"/>
                <w:szCs w:val="20"/>
                <w:color w:val="auto"/>
              </w:rPr>
            </w:pPr>
            <w:r>
              <w:rPr>
                <w:rFonts w:ascii="Arial" w:cs="Arial" w:eastAsia="Arial" w:hAnsi="Arial"/>
                <w:sz w:val="14"/>
                <w:szCs w:val="14"/>
                <w:color w:val="auto"/>
              </w:rPr>
              <w:t>—</w:t>
            </w:r>
          </w:p>
        </w:tc>
        <w:tc>
          <w:tcPr>
            <w:tcW w:w="1200" w:type="dxa"/>
            <w:vAlign w:val="bottom"/>
            <w:shd w:val="clear" w:color="auto" w:fill="F7F7F7"/>
          </w:tcPr>
          <w:p>
            <w:pPr>
              <w:jc w:val="right"/>
              <w:ind w:right="193"/>
              <w:spacing w:after="0"/>
              <w:rPr>
                <w:sz w:val="20"/>
                <w:szCs w:val="20"/>
                <w:color w:val="auto"/>
              </w:rPr>
            </w:pPr>
            <w:r>
              <w:rPr>
                <w:rFonts w:ascii="Arial" w:cs="Arial" w:eastAsia="Arial" w:hAnsi="Arial"/>
                <w:sz w:val="14"/>
                <w:szCs w:val="14"/>
                <w:color w:val="auto"/>
              </w:rPr>
              <w:t>—</w:t>
            </w:r>
          </w:p>
        </w:tc>
      </w:tr>
      <w:tr>
        <w:trPr>
          <w:trHeight w:val="93"/>
        </w:trPr>
        <w:tc>
          <w:tcPr>
            <w:tcW w:w="4380" w:type="dxa"/>
            <w:vAlign w:val="bottom"/>
            <w:tcBorders>
              <w:bottom w:val="single" w:sz="8" w:color="auto"/>
            </w:tcBorders>
            <w:shd w:val="clear" w:color="auto" w:fill="F7F7F7"/>
          </w:tcPr>
          <w:p>
            <w:pPr>
              <w:spacing w:after="0"/>
              <w:rPr>
                <w:sz w:val="8"/>
                <w:szCs w:val="8"/>
                <w:color w:val="auto"/>
              </w:rPr>
            </w:pPr>
          </w:p>
        </w:tc>
        <w:tc>
          <w:tcPr>
            <w:tcW w:w="1400" w:type="dxa"/>
            <w:vAlign w:val="bottom"/>
            <w:tcBorders>
              <w:bottom w:val="single" w:sz="8" w:color="auto"/>
            </w:tcBorders>
            <w:shd w:val="clear" w:color="auto" w:fill="F7F7F7"/>
          </w:tcPr>
          <w:p>
            <w:pPr>
              <w:spacing w:after="0"/>
              <w:rPr>
                <w:sz w:val="8"/>
                <w:szCs w:val="8"/>
                <w:color w:val="auto"/>
              </w:rPr>
            </w:pPr>
          </w:p>
        </w:tc>
        <w:tc>
          <w:tcPr>
            <w:tcW w:w="1200" w:type="dxa"/>
            <w:vAlign w:val="bottom"/>
            <w:tcBorders>
              <w:bottom w:val="single" w:sz="8" w:color="auto"/>
            </w:tcBorders>
            <w:shd w:val="clear" w:color="auto" w:fill="F7F7F7"/>
          </w:tcPr>
          <w:p>
            <w:pPr>
              <w:spacing w:after="0"/>
              <w:rPr>
                <w:sz w:val="8"/>
                <w:szCs w:val="8"/>
                <w:color w:val="auto"/>
              </w:rPr>
            </w:pPr>
          </w:p>
        </w:tc>
        <w:tc>
          <w:tcPr>
            <w:tcW w:w="1200" w:type="dxa"/>
            <w:vAlign w:val="bottom"/>
            <w:tcBorders>
              <w:bottom w:val="single" w:sz="8" w:color="auto"/>
            </w:tcBorders>
            <w:shd w:val="clear" w:color="auto" w:fill="F7F7F7"/>
          </w:tcPr>
          <w:p>
            <w:pPr>
              <w:spacing w:after="0"/>
              <w:rPr>
                <w:sz w:val="8"/>
                <w:szCs w:val="8"/>
                <w:color w:val="auto"/>
              </w:rPr>
            </w:pPr>
          </w:p>
        </w:tc>
        <w:tc>
          <w:tcPr>
            <w:tcW w:w="1200" w:type="dxa"/>
            <w:vAlign w:val="bottom"/>
            <w:tcBorders>
              <w:bottom w:val="single" w:sz="8" w:color="auto"/>
            </w:tcBorders>
            <w:shd w:val="clear" w:color="auto" w:fill="F7F7F7"/>
          </w:tcPr>
          <w:p>
            <w:pPr>
              <w:spacing w:after="0"/>
              <w:rPr>
                <w:sz w:val="8"/>
                <w:szCs w:val="8"/>
                <w:color w:val="auto"/>
              </w:rPr>
            </w:pPr>
          </w:p>
        </w:tc>
      </w:tr>
    </w:tbl>
    <w:p>
      <w:pPr>
        <w:spacing w:after="0" w:line="265" w:lineRule="exact"/>
        <w:rPr>
          <w:sz w:val="20"/>
          <w:szCs w:val="20"/>
          <w:color w:val="auto"/>
        </w:rPr>
      </w:pPr>
    </w:p>
    <w:p>
      <w:pPr>
        <w:ind w:left="780" w:hanging="126"/>
        <w:spacing w:after="0"/>
        <w:tabs>
          <w:tab w:leader="none" w:pos="780" w:val="left"/>
        </w:tabs>
        <w:numPr>
          <w:ilvl w:val="0"/>
          <w:numId w:val="42"/>
        </w:numPr>
        <w:rPr>
          <w:rFonts w:ascii="Arial" w:cs="Arial" w:eastAsia="Arial" w:hAnsi="Arial"/>
          <w:sz w:val="15"/>
          <w:szCs w:val="15"/>
          <w:color w:val="auto"/>
          <w:vertAlign w:val="superscript"/>
        </w:rPr>
      </w:pPr>
      <w:r>
        <w:rPr>
          <w:rFonts w:ascii="Arial" w:cs="Arial" w:eastAsia="Arial" w:hAnsi="Arial"/>
          <w:sz w:val="10"/>
          <w:szCs w:val="10"/>
          <w:color w:val="auto"/>
        </w:rPr>
        <w:t>Computed as the difference between the closing price of the underlying shares on the date of exercise and the exercise price of the options, and based on the following:</w:t>
      </w:r>
    </w:p>
    <w:p>
      <w:pPr>
        <w:spacing w:after="0" w:line="225" w:lineRule="exact"/>
        <w:rPr>
          <w:sz w:val="20"/>
          <w:szCs w:val="20"/>
          <w:color w:val="auto"/>
        </w:rPr>
      </w:pPr>
    </w:p>
    <w:tbl>
      <w:tblPr>
        <w:tblLayout w:type="fixed"/>
        <w:tblInd w:w="820" w:type="dxa"/>
        <w:tblCellMar>
          <w:top w:w="0" w:type="dxa"/>
          <w:left w:w="0" w:type="dxa"/>
          <w:bottom w:w="0" w:type="dxa"/>
          <w:right w:w="0" w:type="dxa"/>
        </w:tblCellMar>
      </w:tblPr>
      <w:tr>
        <w:trPr>
          <w:trHeight w:val="248"/>
        </w:trPr>
        <w:tc>
          <w:tcPr>
            <w:tcW w:w="1500" w:type="dxa"/>
            <w:vAlign w:val="bottom"/>
            <w:shd w:val="clear" w:color="auto" w:fill="000000"/>
          </w:tcPr>
          <w:p>
            <w:pPr>
              <w:jc w:val="right"/>
              <w:ind w:right="450"/>
              <w:spacing w:after="0"/>
              <w:rPr>
                <w:sz w:val="20"/>
                <w:szCs w:val="20"/>
                <w:color w:val="auto"/>
              </w:rPr>
            </w:pPr>
            <w:r>
              <w:rPr>
                <w:rFonts w:ascii="Arial" w:cs="Arial" w:eastAsia="Arial" w:hAnsi="Arial"/>
                <w:sz w:val="13"/>
                <w:szCs w:val="13"/>
                <w:b w:val="1"/>
                <w:bCs w:val="1"/>
                <w:color w:val="FEFEFE"/>
              </w:rPr>
              <w:t>Date of Award</w:t>
            </w:r>
          </w:p>
        </w:tc>
        <w:tc>
          <w:tcPr>
            <w:tcW w:w="1880" w:type="dxa"/>
            <w:vAlign w:val="bottom"/>
            <w:shd w:val="clear" w:color="auto" w:fill="000000"/>
          </w:tcPr>
          <w:p>
            <w:pPr>
              <w:jc w:val="right"/>
              <w:ind w:right="450"/>
              <w:spacing w:after="0"/>
              <w:rPr>
                <w:sz w:val="20"/>
                <w:szCs w:val="20"/>
                <w:color w:val="auto"/>
              </w:rPr>
            </w:pPr>
            <w:r>
              <w:rPr>
                <w:rFonts w:ascii="Arial" w:cs="Arial" w:eastAsia="Arial" w:hAnsi="Arial"/>
                <w:sz w:val="13"/>
                <w:szCs w:val="13"/>
                <w:b w:val="1"/>
                <w:bCs w:val="1"/>
                <w:color w:val="FEFEFE"/>
              </w:rPr>
              <w:t>Exercise Date</w:t>
            </w:r>
          </w:p>
        </w:tc>
        <w:tc>
          <w:tcPr>
            <w:tcW w:w="2200" w:type="dxa"/>
            <w:vAlign w:val="bottom"/>
            <w:shd w:val="clear" w:color="auto" w:fill="000000"/>
          </w:tcPr>
          <w:p>
            <w:pPr>
              <w:jc w:val="right"/>
              <w:ind w:right="472"/>
              <w:spacing w:after="0"/>
              <w:rPr>
                <w:sz w:val="20"/>
                <w:szCs w:val="20"/>
                <w:color w:val="auto"/>
              </w:rPr>
            </w:pPr>
            <w:r>
              <w:rPr>
                <w:rFonts w:ascii="Arial" w:cs="Arial" w:eastAsia="Arial" w:hAnsi="Arial"/>
                <w:sz w:val="13"/>
                <w:szCs w:val="13"/>
                <w:b w:val="1"/>
                <w:bCs w:val="1"/>
                <w:color w:val="FEFEFE"/>
              </w:rPr>
              <w:t>Number of Options</w:t>
            </w:r>
          </w:p>
        </w:tc>
        <w:tc>
          <w:tcPr>
            <w:tcW w:w="660" w:type="dxa"/>
            <w:vAlign w:val="bottom"/>
            <w:shd w:val="clear" w:color="auto" w:fill="000000"/>
          </w:tcPr>
          <w:p>
            <w:pPr>
              <w:spacing w:after="0"/>
              <w:rPr>
                <w:sz w:val="21"/>
                <w:szCs w:val="21"/>
                <w:color w:val="auto"/>
              </w:rPr>
            </w:pPr>
          </w:p>
        </w:tc>
        <w:tc>
          <w:tcPr>
            <w:tcW w:w="1380" w:type="dxa"/>
            <w:vAlign w:val="bottom"/>
            <w:shd w:val="clear" w:color="auto" w:fill="000000"/>
          </w:tcPr>
          <w:p>
            <w:pPr>
              <w:jc w:val="center"/>
              <w:ind w:right="630"/>
              <w:spacing w:after="0"/>
              <w:rPr>
                <w:sz w:val="20"/>
                <w:szCs w:val="20"/>
                <w:color w:val="auto"/>
              </w:rPr>
            </w:pPr>
            <w:r>
              <w:rPr>
                <w:rFonts w:ascii="Arial" w:cs="Arial" w:eastAsia="Arial" w:hAnsi="Arial"/>
                <w:sz w:val="13"/>
                <w:szCs w:val="13"/>
                <w:b w:val="1"/>
                <w:bCs w:val="1"/>
                <w:color w:val="FEFEFE"/>
                <w:w w:val="99"/>
              </w:rPr>
              <w:t>Aggregate</w:t>
            </w:r>
          </w:p>
        </w:tc>
        <w:tc>
          <w:tcPr>
            <w:tcW w:w="1600" w:type="dxa"/>
            <w:vAlign w:val="bottom"/>
            <w:gridSpan w:val="2"/>
            <w:shd w:val="clear" w:color="auto" w:fill="000000"/>
          </w:tcPr>
          <w:p>
            <w:pPr>
              <w:jc w:val="right"/>
              <w:ind w:right="268"/>
              <w:spacing w:after="0"/>
              <w:rPr>
                <w:sz w:val="20"/>
                <w:szCs w:val="20"/>
                <w:color w:val="auto"/>
              </w:rPr>
            </w:pPr>
            <w:r>
              <w:rPr>
                <w:rFonts w:ascii="Arial" w:cs="Arial" w:eastAsia="Arial" w:hAnsi="Arial"/>
                <w:sz w:val="13"/>
                <w:szCs w:val="13"/>
                <w:b w:val="1"/>
                <w:bCs w:val="1"/>
                <w:color w:val="FEFEFE"/>
              </w:rPr>
              <w:t>Aggregate</w:t>
            </w:r>
          </w:p>
        </w:tc>
      </w:tr>
      <w:tr>
        <w:trPr>
          <w:trHeight w:val="135"/>
        </w:trPr>
        <w:tc>
          <w:tcPr>
            <w:tcW w:w="1500" w:type="dxa"/>
            <w:vAlign w:val="bottom"/>
            <w:shd w:val="clear" w:color="auto" w:fill="000000"/>
          </w:tcPr>
          <w:p>
            <w:pPr>
              <w:spacing w:after="0"/>
              <w:rPr>
                <w:sz w:val="11"/>
                <w:szCs w:val="11"/>
                <w:color w:val="auto"/>
              </w:rPr>
            </w:pPr>
          </w:p>
        </w:tc>
        <w:tc>
          <w:tcPr>
            <w:tcW w:w="1880" w:type="dxa"/>
            <w:vAlign w:val="bottom"/>
            <w:shd w:val="clear" w:color="auto" w:fill="000000"/>
          </w:tcPr>
          <w:p>
            <w:pPr>
              <w:spacing w:after="0"/>
              <w:rPr>
                <w:sz w:val="11"/>
                <w:szCs w:val="11"/>
                <w:color w:val="auto"/>
              </w:rPr>
            </w:pPr>
          </w:p>
        </w:tc>
        <w:tc>
          <w:tcPr>
            <w:tcW w:w="2200" w:type="dxa"/>
            <w:vAlign w:val="bottom"/>
            <w:shd w:val="clear" w:color="auto" w:fill="000000"/>
          </w:tcPr>
          <w:p>
            <w:pPr>
              <w:jc w:val="right"/>
              <w:ind w:right="752"/>
              <w:spacing w:after="0" w:line="135" w:lineRule="exact"/>
              <w:rPr>
                <w:sz w:val="20"/>
                <w:szCs w:val="20"/>
                <w:color w:val="auto"/>
              </w:rPr>
            </w:pPr>
            <w:r>
              <w:rPr>
                <w:rFonts w:ascii="Arial" w:cs="Arial" w:eastAsia="Arial" w:hAnsi="Arial"/>
                <w:sz w:val="13"/>
                <w:szCs w:val="13"/>
                <w:b w:val="1"/>
                <w:bCs w:val="1"/>
                <w:color w:val="FEFEFE"/>
              </w:rPr>
              <w:t>Exercised</w:t>
            </w:r>
          </w:p>
        </w:tc>
        <w:tc>
          <w:tcPr>
            <w:tcW w:w="2040" w:type="dxa"/>
            <w:vAlign w:val="bottom"/>
            <w:gridSpan w:val="2"/>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7"/>
              </w:rPr>
              <w:t>Closing Price on</w:t>
            </w:r>
          </w:p>
        </w:tc>
        <w:tc>
          <w:tcPr>
            <w:tcW w:w="1600" w:type="dxa"/>
            <w:vAlign w:val="bottom"/>
            <w:gridSpan w:val="2"/>
            <w:shd w:val="clear" w:color="auto" w:fill="000000"/>
          </w:tcPr>
          <w:p>
            <w:pPr>
              <w:jc w:val="right"/>
              <w:ind w:right="128"/>
              <w:spacing w:after="0" w:line="135" w:lineRule="exact"/>
              <w:rPr>
                <w:sz w:val="20"/>
                <w:szCs w:val="20"/>
                <w:color w:val="auto"/>
              </w:rPr>
            </w:pPr>
            <w:r>
              <w:rPr>
                <w:rFonts w:ascii="Arial" w:cs="Arial" w:eastAsia="Arial" w:hAnsi="Arial"/>
                <w:sz w:val="13"/>
                <w:szCs w:val="13"/>
                <w:b w:val="1"/>
                <w:bCs w:val="1"/>
                <w:color w:val="FEFEFE"/>
              </w:rPr>
              <w:t>Exercise Price</w:t>
            </w:r>
          </w:p>
        </w:tc>
      </w:tr>
      <w:tr>
        <w:trPr>
          <w:trHeight w:val="168"/>
        </w:trPr>
        <w:tc>
          <w:tcPr>
            <w:tcW w:w="1500" w:type="dxa"/>
            <w:vAlign w:val="bottom"/>
            <w:shd w:val="clear" w:color="auto" w:fill="000000"/>
          </w:tcPr>
          <w:p>
            <w:pPr>
              <w:spacing w:after="0"/>
              <w:rPr>
                <w:sz w:val="14"/>
                <w:szCs w:val="14"/>
                <w:color w:val="auto"/>
              </w:rPr>
            </w:pPr>
          </w:p>
        </w:tc>
        <w:tc>
          <w:tcPr>
            <w:tcW w:w="1880" w:type="dxa"/>
            <w:vAlign w:val="bottom"/>
            <w:shd w:val="clear" w:color="auto" w:fill="000000"/>
          </w:tcPr>
          <w:p>
            <w:pPr>
              <w:spacing w:after="0"/>
              <w:rPr>
                <w:sz w:val="14"/>
                <w:szCs w:val="14"/>
                <w:color w:val="auto"/>
              </w:rPr>
            </w:pPr>
          </w:p>
        </w:tc>
        <w:tc>
          <w:tcPr>
            <w:tcW w:w="2200" w:type="dxa"/>
            <w:vAlign w:val="bottom"/>
            <w:shd w:val="clear" w:color="auto" w:fill="000000"/>
          </w:tcPr>
          <w:p>
            <w:pPr>
              <w:spacing w:after="0"/>
              <w:rPr>
                <w:sz w:val="14"/>
                <w:szCs w:val="14"/>
                <w:color w:val="auto"/>
              </w:rPr>
            </w:pPr>
          </w:p>
        </w:tc>
        <w:tc>
          <w:tcPr>
            <w:tcW w:w="2040" w:type="dxa"/>
            <w:vAlign w:val="bottom"/>
            <w:gridSpan w:val="2"/>
            <w:shd w:val="clear" w:color="auto" w:fill="000000"/>
          </w:tcPr>
          <w:p>
            <w:pPr>
              <w:jc w:val="center"/>
              <w:spacing w:after="0"/>
              <w:rPr>
                <w:sz w:val="20"/>
                <w:szCs w:val="20"/>
                <w:color w:val="auto"/>
              </w:rPr>
            </w:pPr>
            <w:r>
              <w:rPr>
                <w:rFonts w:ascii="Arial" w:cs="Arial" w:eastAsia="Arial" w:hAnsi="Arial"/>
                <w:sz w:val="13"/>
                <w:szCs w:val="13"/>
                <w:b w:val="1"/>
                <w:bCs w:val="1"/>
                <w:color w:val="FEFEFE"/>
                <w:w w:val="98"/>
              </w:rPr>
              <w:t>Exercise Date</w:t>
            </w:r>
          </w:p>
        </w:tc>
        <w:tc>
          <w:tcPr>
            <w:tcW w:w="760" w:type="dxa"/>
            <w:vAlign w:val="bottom"/>
            <w:shd w:val="clear" w:color="auto" w:fill="000000"/>
          </w:tcPr>
          <w:p>
            <w:pPr>
              <w:spacing w:after="0"/>
              <w:rPr>
                <w:sz w:val="14"/>
                <w:szCs w:val="14"/>
                <w:color w:val="auto"/>
              </w:rPr>
            </w:pPr>
          </w:p>
        </w:tc>
        <w:tc>
          <w:tcPr>
            <w:tcW w:w="840" w:type="dxa"/>
            <w:vAlign w:val="bottom"/>
            <w:shd w:val="clear" w:color="auto" w:fill="000000"/>
          </w:tcPr>
          <w:p>
            <w:pPr>
              <w:spacing w:after="0"/>
              <w:rPr>
                <w:sz w:val="14"/>
                <w:szCs w:val="14"/>
                <w:color w:val="auto"/>
              </w:rPr>
            </w:pPr>
          </w:p>
        </w:tc>
      </w:tr>
      <w:tr>
        <w:trPr>
          <w:trHeight w:val="124"/>
        </w:trPr>
        <w:tc>
          <w:tcPr>
            <w:tcW w:w="1500" w:type="dxa"/>
            <w:vAlign w:val="bottom"/>
            <w:shd w:val="clear" w:color="auto" w:fill="000000"/>
          </w:tcPr>
          <w:p>
            <w:pPr>
              <w:spacing w:after="0"/>
              <w:rPr>
                <w:sz w:val="10"/>
                <w:szCs w:val="10"/>
                <w:color w:val="auto"/>
              </w:rPr>
            </w:pPr>
          </w:p>
        </w:tc>
        <w:tc>
          <w:tcPr>
            <w:tcW w:w="1880" w:type="dxa"/>
            <w:vAlign w:val="bottom"/>
            <w:shd w:val="clear" w:color="auto" w:fill="000000"/>
          </w:tcPr>
          <w:p>
            <w:pPr>
              <w:spacing w:after="0"/>
              <w:rPr>
                <w:sz w:val="10"/>
                <w:szCs w:val="10"/>
                <w:color w:val="auto"/>
              </w:rPr>
            </w:pPr>
          </w:p>
        </w:tc>
        <w:tc>
          <w:tcPr>
            <w:tcW w:w="2200" w:type="dxa"/>
            <w:vAlign w:val="bottom"/>
            <w:shd w:val="clear" w:color="auto" w:fill="000000"/>
          </w:tcPr>
          <w:p>
            <w:pPr>
              <w:spacing w:after="0"/>
              <w:rPr>
                <w:sz w:val="10"/>
                <w:szCs w:val="10"/>
                <w:color w:val="auto"/>
              </w:rPr>
            </w:pPr>
          </w:p>
        </w:tc>
        <w:tc>
          <w:tcPr>
            <w:tcW w:w="660" w:type="dxa"/>
            <w:vAlign w:val="bottom"/>
            <w:shd w:val="clear" w:color="auto" w:fill="000000"/>
          </w:tcPr>
          <w:p>
            <w:pPr>
              <w:spacing w:after="0"/>
              <w:rPr>
                <w:sz w:val="10"/>
                <w:szCs w:val="10"/>
                <w:color w:val="auto"/>
              </w:rPr>
            </w:pPr>
          </w:p>
        </w:tc>
        <w:tc>
          <w:tcPr>
            <w:tcW w:w="1380" w:type="dxa"/>
            <w:vAlign w:val="bottom"/>
            <w:shd w:val="clear" w:color="auto" w:fill="000000"/>
          </w:tcPr>
          <w:p>
            <w:pPr>
              <w:spacing w:after="0"/>
              <w:rPr>
                <w:sz w:val="10"/>
                <w:szCs w:val="10"/>
                <w:color w:val="auto"/>
              </w:rPr>
            </w:pPr>
          </w:p>
        </w:tc>
        <w:tc>
          <w:tcPr>
            <w:tcW w:w="760" w:type="dxa"/>
            <w:vAlign w:val="bottom"/>
            <w:shd w:val="clear" w:color="auto" w:fill="000000"/>
          </w:tcPr>
          <w:p>
            <w:pPr>
              <w:spacing w:after="0"/>
              <w:rPr>
                <w:sz w:val="10"/>
                <w:szCs w:val="10"/>
                <w:color w:val="auto"/>
              </w:rPr>
            </w:pPr>
          </w:p>
        </w:tc>
        <w:tc>
          <w:tcPr>
            <w:tcW w:w="840" w:type="dxa"/>
            <w:vAlign w:val="bottom"/>
            <w:shd w:val="clear" w:color="auto" w:fill="000000"/>
          </w:tcPr>
          <w:p>
            <w:pPr>
              <w:spacing w:after="0"/>
              <w:rPr>
                <w:sz w:val="10"/>
                <w:szCs w:val="10"/>
                <w:color w:val="auto"/>
              </w:rPr>
            </w:pPr>
          </w:p>
        </w:tc>
      </w:tr>
      <w:tr>
        <w:trPr>
          <w:trHeight w:val="312"/>
        </w:trPr>
        <w:tc>
          <w:tcPr>
            <w:tcW w:w="1500" w:type="dxa"/>
            <w:vAlign w:val="bottom"/>
          </w:tcPr>
          <w:p>
            <w:pPr>
              <w:jc w:val="right"/>
              <w:ind w:right="530"/>
              <w:spacing w:after="0"/>
              <w:rPr>
                <w:sz w:val="20"/>
                <w:szCs w:val="20"/>
                <w:color w:val="auto"/>
              </w:rPr>
            </w:pPr>
            <w:r>
              <w:rPr>
                <w:rFonts w:ascii="Arial" w:cs="Arial" w:eastAsia="Arial" w:hAnsi="Arial"/>
                <w:sz w:val="14"/>
                <w:szCs w:val="14"/>
                <w:color w:val="auto"/>
              </w:rPr>
              <w:t>5/3/2013</w:t>
            </w:r>
          </w:p>
        </w:tc>
        <w:tc>
          <w:tcPr>
            <w:tcW w:w="1880" w:type="dxa"/>
            <w:vAlign w:val="bottom"/>
          </w:tcPr>
          <w:p>
            <w:pPr>
              <w:jc w:val="right"/>
              <w:ind w:right="450"/>
              <w:spacing w:after="0"/>
              <w:rPr>
                <w:sz w:val="20"/>
                <w:szCs w:val="20"/>
                <w:color w:val="auto"/>
              </w:rPr>
            </w:pPr>
            <w:r>
              <w:rPr>
                <w:rFonts w:ascii="Arial" w:cs="Arial" w:eastAsia="Arial" w:hAnsi="Arial"/>
                <w:sz w:val="14"/>
                <w:szCs w:val="14"/>
                <w:color w:val="auto"/>
              </w:rPr>
              <w:t>12/14/2021</w:t>
            </w:r>
          </w:p>
        </w:tc>
        <w:tc>
          <w:tcPr>
            <w:tcW w:w="2200" w:type="dxa"/>
            <w:vAlign w:val="bottom"/>
          </w:tcPr>
          <w:p>
            <w:pPr>
              <w:jc w:val="right"/>
              <w:ind w:right="772"/>
              <w:spacing w:after="0"/>
              <w:rPr>
                <w:sz w:val="20"/>
                <w:szCs w:val="20"/>
                <w:color w:val="auto"/>
              </w:rPr>
            </w:pPr>
            <w:r>
              <w:rPr>
                <w:rFonts w:ascii="Arial" w:cs="Arial" w:eastAsia="Arial" w:hAnsi="Arial"/>
                <w:sz w:val="14"/>
                <w:szCs w:val="14"/>
                <w:color w:val="auto"/>
              </w:rPr>
              <w:t>261,756</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510"/>
              <w:spacing w:after="0"/>
              <w:rPr>
                <w:sz w:val="20"/>
                <w:szCs w:val="20"/>
                <w:color w:val="auto"/>
              </w:rPr>
            </w:pPr>
            <w:r>
              <w:rPr>
                <w:rFonts w:ascii="Arial" w:cs="Arial" w:eastAsia="Arial" w:hAnsi="Arial"/>
                <w:sz w:val="14"/>
                <w:szCs w:val="14"/>
                <w:color w:val="auto"/>
              </w:rPr>
              <w:t>10,697,976</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8"/>
              <w:spacing w:after="0"/>
              <w:rPr>
                <w:sz w:val="20"/>
                <w:szCs w:val="20"/>
                <w:color w:val="auto"/>
              </w:rPr>
            </w:pPr>
            <w:r>
              <w:rPr>
                <w:rFonts w:ascii="Arial" w:cs="Arial" w:eastAsia="Arial" w:hAnsi="Arial"/>
                <w:sz w:val="14"/>
                <w:szCs w:val="14"/>
                <w:color w:val="auto"/>
              </w:rPr>
              <w:t>47,116</w:t>
            </w:r>
          </w:p>
        </w:tc>
      </w:tr>
      <w:tr>
        <w:trPr>
          <w:trHeight w:val="93"/>
        </w:trPr>
        <w:tc>
          <w:tcPr>
            <w:tcW w:w="150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r>
      <w:tr>
        <w:trPr>
          <w:trHeight w:val="292"/>
        </w:trPr>
        <w:tc>
          <w:tcPr>
            <w:tcW w:w="1500" w:type="dxa"/>
            <w:vAlign w:val="bottom"/>
            <w:shd w:val="clear" w:color="auto" w:fill="F7F7F7"/>
          </w:tcPr>
          <w:p>
            <w:pPr>
              <w:jc w:val="right"/>
              <w:ind w:right="530"/>
              <w:spacing w:after="0"/>
              <w:rPr>
                <w:sz w:val="20"/>
                <w:szCs w:val="20"/>
                <w:color w:val="auto"/>
              </w:rPr>
            </w:pPr>
            <w:r>
              <w:rPr>
                <w:rFonts w:ascii="Arial" w:cs="Arial" w:eastAsia="Arial" w:hAnsi="Arial"/>
                <w:sz w:val="14"/>
                <w:szCs w:val="14"/>
                <w:color w:val="auto"/>
              </w:rPr>
              <w:t>4/17/2015</w:t>
            </w:r>
          </w:p>
        </w:tc>
        <w:tc>
          <w:tcPr>
            <w:tcW w:w="1880" w:type="dxa"/>
            <w:vAlign w:val="bottom"/>
            <w:shd w:val="clear" w:color="auto" w:fill="F7F7F7"/>
          </w:tcPr>
          <w:p>
            <w:pPr>
              <w:jc w:val="right"/>
              <w:ind w:right="450"/>
              <w:spacing w:after="0"/>
              <w:rPr>
                <w:sz w:val="20"/>
                <w:szCs w:val="20"/>
                <w:color w:val="auto"/>
              </w:rPr>
            </w:pPr>
            <w:r>
              <w:rPr>
                <w:rFonts w:ascii="Arial" w:cs="Arial" w:eastAsia="Arial" w:hAnsi="Arial"/>
                <w:sz w:val="14"/>
                <w:szCs w:val="14"/>
                <w:color w:val="auto"/>
              </w:rPr>
              <w:t>12/14/2021</w:t>
            </w:r>
          </w:p>
        </w:tc>
        <w:tc>
          <w:tcPr>
            <w:tcW w:w="2200" w:type="dxa"/>
            <w:vAlign w:val="bottom"/>
            <w:shd w:val="clear" w:color="auto" w:fill="F7F7F7"/>
          </w:tcPr>
          <w:p>
            <w:pPr>
              <w:jc w:val="right"/>
              <w:ind w:right="772"/>
              <w:spacing w:after="0"/>
              <w:rPr>
                <w:sz w:val="20"/>
                <w:szCs w:val="20"/>
                <w:color w:val="auto"/>
              </w:rPr>
            </w:pPr>
            <w:r>
              <w:rPr>
                <w:rFonts w:ascii="Arial" w:cs="Arial" w:eastAsia="Arial" w:hAnsi="Arial"/>
                <w:sz w:val="14"/>
                <w:szCs w:val="14"/>
                <w:color w:val="auto"/>
              </w:rPr>
              <w:t>125,000</w:t>
            </w:r>
          </w:p>
        </w:tc>
        <w:tc>
          <w:tcPr>
            <w:tcW w:w="66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F7F7F7"/>
          </w:tcPr>
          <w:p>
            <w:pPr>
              <w:jc w:val="right"/>
              <w:ind w:right="510"/>
              <w:spacing w:after="0"/>
              <w:rPr>
                <w:sz w:val="20"/>
                <w:szCs w:val="20"/>
                <w:color w:val="auto"/>
              </w:rPr>
            </w:pPr>
            <w:r>
              <w:rPr>
                <w:rFonts w:ascii="Arial" w:cs="Arial" w:eastAsia="Arial" w:hAnsi="Arial"/>
                <w:sz w:val="14"/>
                <w:szCs w:val="14"/>
                <w:color w:val="auto"/>
              </w:rPr>
              <w:t>5,108,750</w:t>
            </w:r>
          </w:p>
        </w:tc>
        <w:tc>
          <w:tcPr>
            <w:tcW w:w="76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F7F7F7"/>
          </w:tcPr>
          <w:p>
            <w:pPr>
              <w:jc w:val="right"/>
              <w:ind w:right="288"/>
              <w:spacing w:after="0"/>
              <w:rPr>
                <w:sz w:val="20"/>
                <w:szCs w:val="20"/>
                <w:color w:val="auto"/>
              </w:rPr>
            </w:pPr>
            <w:r>
              <w:rPr>
                <w:rFonts w:ascii="Arial" w:cs="Arial" w:eastAsia="Arial" w:hAnsi="Arial"/>
                <w:sz w:val="14"/>
                <w:szCs w:val="14"/>
                <w:color w:val="auto"/>
              </w:rPr>
              <w:t>46,250</w:t>
            </w:r>
          </w:p>
        </w:tc>
      </w:tr>
      <w:tr>
        <w:trPr>
          <w:trHeight w:val="93"/>
        </w:trPr>
        <w:tc>
          <w:tcPr>
            <w:tcW w:w="1500" w:type="dxa"/>
            <w:vAlign w:val="bottom"/>
            <w:tcBorders>
              <w:bottom w:val="single" w:sz="8" w:color="auto"/>
            </w:tcBorders>
            <w:shd w:val="clear" w:color="auto" w:fill="F7F7F7"/>
          </w:tcPr>
          <w:p>
            <w:pPr>
              <w:spacing w:after="0"/>
              <w:rPr>
                <w:sz w:val="8"/>
                <w:szCs w:val="8"/>
                <w:color w:val="auto"/>
              </w:rPr>
            </w:pPr>
          </w:p>
        </w:tc>
        <w:tc>
          <w:tcPr>
            <w:tcW w:w="1880" w:type="dxa"/>
            <w:vAlign w:val="bottom"/>
            <w:tcBorders>
              <w:bottom w:val="single" w:sz="8" w:color="auto"/>
            </w:tcBorders>
            <w:shd w:val="clear" w:color="auto" w:fill="F7F7F7"/>
          </w:tcPr>
          <w:p>
            <w:pPr>
              <w:spacing w:after="0"/>
              <w:rPr>
                <w:sz w:val="8"/>
                <w:szCs w:val="8"/>
                <w:color w:val="auto"/>
              </w:rPr>
            </w:pPr>
          </w:p>
        </w:tc>
        <w:tc>
          <w:tcPr>
            <w:tcW w:w="2200" w:type="dxa"/>
            <w:vAlign w:val="bottom"/>
            <w:tcBorders>
              <w:bottom w:val="single" w:sz="8" w:color="auto"/>
            </w:tcBorders>
            <w:shd w:val="clear" w:color="auto" w:fill="F7F7F7"/>
          </w:tcPr>
          <w:p>
            <w:pPr>
              <w:spacing w:after="0"/>
              <w:rPr>
                <w:sz w:val="8"/>
                <w:szCs w:val="8"/>
                <w:color w:val="auto"/>
              </w:rPr>
            </w:pPr>
          </w:p>
        </w:tc>
        <w:tc>
          <w:tcPr>
            <w:tcW w:w="660" w:type="dxa"/>
            <w:vAlign w:val="bottom"/>
            <w:tcBorders>
              <w:bottom w:val="single" w:sz="8" w:color="auto"/>
            </w:tcBorders>
            <w:shd w:val="clear" w:color="auto" w:fill="F7F7F7"/>
          </w:tcPr>
          <w:p>
            <w:pPr>
              <w:spacing w:after="0"/>
              <w:rPr>
                <w:sz w:val="8"/>
                <w:szCs w:val="8"/>
                <w:color w:val="auto"/>
              </w:rPr>
            </w:pPr>
          </w:p>
        </w:tc>
        <w:tc>
          <w:tcPr>
            <w:tcW w:w="1380" w:type="dxa"/>
            <w:vAlign w:val="bottom"/>
            <w:tcBorders>
              <w:bottom w:val="single" w:sz="8" w:color="auto"/>
            </w:tcBorders>
            <w:shd w:val="clear" w:color="auto" w:fill="F7F7F7"/>
          </w:tcPr>
          <w:p>
            <w:pPr>
              <w:spacing w:after="0"/>
              <w:rPr>
                <w:sz w:val="8"/>
                <w:szCs w:val="8"/>
                <w:color w:val="auto"/>
              </w:rPr>
            </w:pPr>
          </w:p>
        </w:tc>
        <w:tc>
          <w:tcPr>
            <w:tcW w:w="760" w:type="dxa"/>
            <w:vAlign w:val="bottom"/>
            <w:tcBorders>
              <w:bottom w:val="single" w:sz="8" w:color="auto"/>
            </w:tcBorders>
            <w:shd w:val="clear" w:color="auto" w:fill="F7F7F7"/>
          </w:tcPr>
          <w:p>
            <w:pPr>
              <w:spacing w:after="0"/>
              <w:rPr>
                <w:sz w:val="8"/>
                <w:szCs w:val="8"/>
                <w:color w:val="auto"/>
              </w:rPr>
            </w:pPr>
          </w:p>
        </w:tc>
        <w:tc>
          <w:tcPr>
            <w:tcW w:w="840" w:type="dxa"/>
            <w:vAlign w:val="bottom"/>
            <w:tcBorders>
              <w:bottom w:val="single" w:sz="8" w:color="auto"/>
            </w:tcBorders>
            <w:shd w:val="clear" w:color="auto" w:fill="F7F7F7"/>
          </w:tcPr>
          <w:p>
            <w:pPr>
              <w:spacing w:after="0"/>
              <w:rPr>
                <w:sz w:val="8"/>
                <w:szCs w:val="8"/>
                <w:color w:val="auto"/>
              </w:rPr>
            </w:pPr>
          </w:p>
        </w:tc>
      </w:tr>
      <w:tr>
        <w:trPr>
          <w:trHeight w:val="292"/>
        </w:trPr>
        <w:tc>
          <w:tcPr>
            <w:tcW w:w="1500" w:type="dxa"/>
            <w:vAlign w:val="bottom"/>
          </w:tcPr>
          <w:p>
            <w:pPr>
              <w:jc w:val="right"/>
              <w:ind w:right="530"/>
              <w:spacing w:after="0"/>
              <w:rPr>
                <w:sz w:val="20"/>
                <w:szCs w:val="20"/>
                <w:color w:val="auto"/>
              </w:rPr>
            </w:pPr>
            <w:r>
              <w:rPr>
                <w:rFonts w:ascii="Arial" w:cs="Arial" w:eastAsia="Arial" w:hAnsi="Arial"/>
                <w:sz w:val="14"/>
                <w:szCs w:val="14"/>
                <w:color w:val="auto"/>
              </w:rPr>
              <w:t>4/17/2015</w:t>
            </w:r>
          </w:p>
        </w:tc>
        <w:tc>
          <w:tcPr>
            <w:tcW w:w="1880" w:type="dxa"/>
            <w:vAlign w:val="bottom"/>
          </w:tcPr>
          <w:p>
            <w:pPr>
              <w:jc w:val="right"/>
              <w:ind w:right="450"/>
              <w:spacing w:after="0"/>
              <w:rPr>
                <w:sz w:val="20"/>
                <w:szCs w:val="20"/>
                <w:color w:val="auto"/>
              </w:rPr>
            </w:pPr>
            <w:r>
              <w:rPr>
                <w:rFonts w:ascii="Arial" w:cs="Arial" w:eastAsia="Arial" w:hAnsi="Arial"/>
                <w:sz w:val="14"/>
                <w:szCs w:val="14"/>
                <w:color w:val="auto"/>
              </w:rPr>
              <w:t>12/15/2021</w:t>
            </w:r>
          </w:p>
        </w:tc>
        <w:tc>
          <w:tcPr>
            <w:tcW w:w="2200" w:type="dxa"/>
            <w:vAlign w:val="bottom"/>
          </w:tcPr>
          <w:p>
            <w:pPr>
              <w:jc w:val="right"/>
              <w:ind w:right="772"/>
              <w:spacing w:after="0"/>
              <w:rPr>
                <w:sz w:val="20"/>
                <w:szCs w:val="20"/>
                <w:color w:val="auto"/>
              </w:rPr>
            </w:pPr>
            <w:r>
              <w:rPr>
                <w:rFonts w:ascii="Arial" w:cs="Arial" w:eastAsia="Arial" w:hAnsi="Arial"/>
                <w:sz w:val="14"/>
                <w:szCs w:val="14"/>
                <w:color w:val="auto"/>
              </w:rPr>
              <w:t>21,000</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510"/>
              <w:spacing w:after="0"/>
              <w:rPr>
                <w:sz w:val="20"/>
                <w:szCs w:val="20"/>
                <w:color w:val="auto"/>
              </w:rPr>
            </w:pPr>
            <w:r>
              <w:rPr>
                <w:rFonts w:ascii="Arial" w:cs="Arial" w:eastAsia="Arial" w:hAnsi="Arial"/>
                <w:sz w:val="14"/>
                <w:szCs w:val="14"/>
                <w:color w:val="auto"/>
              </w:rPr>
              <w:t>857,010</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8"/>
              <w:spacing w:after="0"/>
              <w:rPr>
                <w:sz w:val="20"/>
                <w:szCs w:val="20"/>
                <w:color w:val="auto"/>
              </w:rPr>
            </w:pPr>
            <w:r>
              <w:rPr>
                <w:rFonts w:ascii="Arial" w:cs="Arial" w:eastAsia="Arial" w:hAnsi="Arial"/>
                <w:sz w:val="14"/>
                <w:szCs w:val="14"/>
                <w:color w:val="auto"/>
              </w:rPr>
              <w:t>7,770</w:t>
            </w:r>
          </w:p>
        </w:tc>
      </w:tr>
      <w:tr>
        <w:trPr>
          <w:trHeight w:val="93"/>
        </w:trPr>
        <w:tc>
          <w:tcPr>
            <w:tcW w:w="150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r>
    </w:tbl>
    <w:p>
      <w:pPr>
        <w:spacing w:after="0" w:line="294" w:lineRule="exact"/>
        <w:rPr>
          <w:sz w:val="20"/>
          <w:szCs w:val="20"/>
          <w:color w:val="auto"/>
        </w:rPr>
      </w:pPr>
    </w:p>
    <w:p>
      <w:pPr>
        <w:ind w:left="780" w:right="340" w:hanging="126"/>
        <w:spacing w:after="0" w:line="209" w:lineRule="auto"/>
        <w:tabs>
          <w:tab w:leader="none" w:pos="780" w:val="left"/>
        </w:tabs>
        <w:numPr>
          <w:ilvl w:val="0"/>
          <w:numId w:val="43"/>
        </w:numPr>
        <w:rPr>
          <w:rFonts w:ascii="Arial" w:cs="Arial" w:eastAsia="Arial" w:hAnsi="Arial"/>
          <w:sz w:val="15"/>
          <w:szCs w:val="15"/>
          <w:color w:val="auto"/>
          <w:vertAlign w:val="superscript"/>
        </w:rPr>
      </w:pPr>
      <w:r>
        <w:rPr>
          <w:rFonts w:ascii="Arial" w:cs="Arial" w:eastAsia="Arial" w:hAnsi="Arial"/>
          <w:sz w:val="10"/>
          <w:szCs w:val="10"/>
          <w:color w:val="auto"/>
        </w:rPr>
        <w:t>Computed as the aggregate dollar amount realized upon the vesting of CEO Time-Based RSUs, determined by multiplying the number of units by the closing price of our common stock on December 3, 2021, the trading prior to the vesting date of December 5, 2021.</w:t>
      </w:r>
    </w:p>
    <w:p>
      <w:pPr>
        <w:spacing w:after="0" w:line="44" w:lineRule="exact"/>
        <w:rPr>
          <w:rFonts w:ascii="Arial" w:cs="Arial" w:eastAsia="Arial" w:hAnsi="Arial"/>
          <w:sz w:val="15"/>
          <w:szCs w:val="15"/>
          <w:color w:val="auto"/>
          <w:vertAlign w:val="superscript"/>
        </w:rPr>
      </w:pPr>
    </w:p>
    <w:p>
      <w:pPr>
        <w:ind w:left="780" w:hanging="126"/>
        <w:spacing w:after="0"/>
        <w:tabs>
          <w:tab w:leader="none" w:pos="780" w:val="left"/>
        </w:tabs>
        <w:numPr>
          <w:ilvl w:val="0"/>
          <w:numId w:val="43"/>
        </w:numPr>
        <w:rPr>
          <w:rFonts w:ascii="Arial" w:cs="Arial" w:eastAsia="Arial" w:hAnsi="Arial"/>
          <w:sz w:val="15"/>
          <w:szCs w:val="15"/>
          <w:color w:val="auto"/>
          <w:vertAlign w:val="superscript"/>
        </w:rPr>
      </w:pPr>
      <w:r>
        <w:rPr>
          <w:rFonts w:ascii="Arial" w:cs="Arial" w:eastAsia="Arial" w:hAnsi="Arial"/>
          <w:sz w:val="10"/>
          <w:szCs w:val="10"/>
          <w:color w:val="auto"/>
        </w:rPr>
        <w:t>Computed as the difference between the fair market value of the underlying shares on the date of exercise and the exercise price of the options, and based on the following:</w:t>
      </w:r>
    </w:p>
    <w:p>
      <w:pPr>
        <w:spacing w:after="0" w:line="225" w:lineRule="exact"/>
        <w:rPr>
          <w:sz w:val="20"/>
          <w:szCs w:val="20"/>
          <w:color w:val="auto"/>
        </w:rPr>
      </w:pPr>
    </w:p>
    <w:tbl>
      <w:tblPr>
        <w:tblLayout w:type="fixed"/>
        <w:tblInd w:w="820" w:type="dxa"/>
        <w:tblCellMar>
          <w:top w:w="0" w:type="dxa"/>
          <w:left w:w="0" w:type="dxa"/>
          <w:bottom w:w="0" w:type="dxa"/>
          <w:right w:w="0" w:type="dxa"/>
        </w:tblCellMar>
      </w:tblPr>
      <w:tr>
        <w:trPr>
          <w:trHeight w:val="248"/>
        </w:trPr>
        <w:tc>
          <w:tcPr>
            <w:tcW w:w="1520" w:type="dxa"/>
            <w:vAlign w:val="bottom"/>
            <w:shd w:val="clear" w:color="auto" w:fill="000000"/>
          </w:tcPr>
          <w:p>
            <w:pPr>
              <w:jc w:val="right"/>
              <w:ind w:right="470"/>
              <w:spacing w:after="0"/>
              <w:rPr>
                <w:sz w:val="20"/>
                <w:szCs w:val="20"/>
                <w:color w:val="auto"/>
              </w:rPr>
            </w:pPr>
            <w:r>
              <w:rPr>
                <w:rFonts w:ascii="Arial" w:cs="Arial" w:eastAsia="Arial" w:hAnsi="Arial"/>
                <w:sz w:val="13"/>
                <w:szCs w:val="13"/>
                <w:b w:val="1"/>
                <w:bCs w:val="1"/>
                <w:color w:val="FEFEFE"/>
              </w:rPr>
              <w:t>Date of Award</w:t>
            </w:r>
          </w:p>
        </w:tc>
        <w:tc>
          <w:tcPr>
            <w:tcW w:w="1880" w:type="dxa"/>
            <w:vAlign w:val="bottom"/>
            <w:shd w:val="clear" w:color="auto" w:fill="000000"/>
          </w:tcPr>
          <w:p>
            <w:pPr>
              <w:jc w:val="right"/>
              <w:ind w:right="470"/>
              <w:spacing w:after="0"/>
              <w:rPr>
                <w:sz w:val="20"/>
                <w:szCs w:val="20"/>
                <w:color w:val="auto"/>
              </w:rPr>
            </w:pPr>
            <w:r>
              <w:rPr>
                <w:rFonts w:ascii="Arial" w:cs="Arial" w:eastAsia="Arial" w:hAnsi="Arial"/>
                <w:sz w:val="13"/>
                <w:szCs w:val="13"/>
                <w:b w:val="1"/>
                <w:bCs w:val="1"/>
                <w:color w:val="FEFEFE"/>
              </w:rPr>
              <w:t>Exercise Date</w:t>
            </w:r>
          </w:p>
        </w:tc>
        <w:tc>
          <w:tcPr>
            <w:tcW w:w="2200" w:type="dxa"/>
            <w:vAlign w:val="bottom"/>
            <w:shd w:val="clear" w:color="auto" w:fill="000000"/>
          </w:tcPr>
          <w:p>
            <w:pPr>
              <w:jc w:val="right"/>
              <w:ind w:right="471"/>
              <w:spacing w:after="0"/>
              <w:rPr>
                <w:sz w:val="20"/>
                <w:szCs w:val="20"/>
                <w:color w:val="auto"/>
              </w:rPr>
            </w:pPr>
            <w:r>
              <w:rPr>
                <w:rFonts w:ascii="Arial" w:cs="Arial" w:eastAsia="Arial" w:hAnsi="Arial"/>
                <w:sz w:val="13"/>
                <w:szCs w:val="13"/>
                <w:b w:val="1"/>
                <w:bCs w:val="1"/>
                <w:color w:val="FEFEFE"/>
              </w:rPr>
              <w:t>Number of Options</w:t>
            </w:r>
          </w:p>
        </w:tc>
        <w:tc>
          <w:tcPr>
            <w:tcW w:w="2020" w:type="dxa"/>
            <w:vAlign w:val="bottom"/>
            <w:gridSpan w:val="2"/>
            <w:shd w:val="clear" w:color="auto" w:fill="000000"/>
          </w:tcPr>
          <w:p>
            <w:pPr>
              <w:jc w:val="center"/>
              <w:spacing w:after="0"/>
              <w:rPr>
                <w:sz w:val="20"/>
                <w:szCs w:val="20"/>
                <w:color w:val="auto"/>
              </w:rPr>
            </w:pPr>
            <w:r>
              <w:rPr>
                <w:rFonts w:ascii="Arial" w:cs="Arial" w:eastAsia="Arial" w:hAnsi="Arial"/>
                <w:sz w:val="13"/>
                <w:szCs w:val="13"/>
                <w:b w:val="1"/>
                <w:bCs w:val="1"/>
                <w:color w:val="FEFEFE"/>
                <w:w w:val="98"/>
              </w:rPr>
              <w:t>Aggregate Fair</w:t>
            </w:r>
          </w:p>
        </w:tc>
        <w:tc>
          <w:tcPr>
            <w:tcW w:w="1600" w:type="dxa"/>
            <w:vAlign w:val="bottom"/>
            <w:gridSpan w:val="2"/>
            <w:shd w:val="clear" w:color="auto" w:fill="000000"/>
          </w:tcPr>
          <w:p>
            <w:pPr>
              <w:ind w:left="640"/>
              <w:spacing w:after="0"/>
              <w:rPr>
                <w:sz w:val="20"/>
                <w:szCs w:val="20"/>
                <w:color w:val="auto"/>
              </w:rPr>
            </w:pPr>
            <w:r>
              <w:rPr>
                <w:rFonts w:ascii="Arial" w:cs="Arial" w:eastAsia="Arial" w:hAnsi="Arial"/>
                <w:sz w:val="13"/>
                <w:szCs w:val="13"/>
                <w:b w:val="1"/>
                <w:bCs w:val="1"/>
                <w:color w:val="FEFEFE"/>
              </w:rPr>
              <w:t>Aggregate</w:t>
            </w:r>
          </w:p>
        </w:tc>
      </w:tr>
      <w:tr>
        <w:trPr>
          <w:trHeight w:val="135"/>
        </w:trPr>
        <w:tc>
          <w:tcPr>
            <w:tcW w:w="1520" w:type="dxa"/>
            <w:vAlign w:val="bottom"/>
            <w:shd w:val="clear" w:color="auto" w:fill="000000"/>
          </w:tcPr>
          <w:p>
            <w:pPr>
              <w:spacing w:after="0"/>
              <w:rPr>
                <w:sz w:val="11"/>
                <w:szCs w:val="11"/>
                <w:color w:val="auto"/>
              </w:rPr>
            </w:pPr>
          </w:p>
        </w:tc>
        <w:tc>
          <w:tcPr>
            <w:tcW w:w="1880" w:type="dxa"/>
            <w:vAlign w:val="bottom"/>
            <w:shd w:val="clear" w:color="auto" w:fill="000000"/>
          </w:tcPr>
          <w:p>
            <w:pPr>
              <w:spacing w:after="0"/>
              <w:rPr>
                <w:sz w:val="11"/>
                <w:szCs w:val="11"/>
                <w:color w:val="auto"/>
              </w:rPr>
            </w:pPr>
          </w:p>
        </w:tc>
        <w:tc>
          <w:tcPr>
            <w:tcW w:w="2200" w:type="dxa"/>
            <w:vAlign w:val="bottom"/>
            <w:shd w:val="clear" w:color="auto" w:fill="000000"/>
          </w:tcPr>
          <w:p>
            <w:pPr>
              <w:jc w:val="right"/>
              <w:ind w:right="731"/>
              <w:spacing w:after="0" w:line="135" w:lineRule="exact"/>
              <w:rPr>
                <w:sz w:val="20"/>
                <w:szCs w:val="20"/>
                <w:color w:val="auto"/>
              </w:rPr>
            </w:pPr>
            <w:r>
              <w:rPr>
                <w:rFonts w:ascii="Arial" w:cs="Arial" w:eastAsia="Arial" w:hAnsi="Arial"/>
                <w:sz w:val="13"/>
                <w:szCs w:val="13"/>
                <w:b w:val="1"/>
                <w:bCs w:val="1"/>
                <w:color w:val="FEFEFE"/>
              </w:rPr>
              <w:t>Exercised</w:t>
            </w:r>
          </w:p>
        </w:tc>
        <w:tc>
          <w:tcPr>
            <w:tcW w:w="2020" w:type="dxa"/>
            <w:vAlign w:val="bottom"/>
            <w:gridSpan w:val="2"/>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6"/>
              </w:rPr>
              <w:t>Market Value on</w:t>
            </w:r>
          </w:p>
        </w:tc>
        <w:tc>
          <w:tcPr>
            <w:tcW w:w="1600" w:type="dxa"/>
            <w:vAlign w:val="bottom"/>
            <w:gridSpan w:val="2"/>
            <w:shd w:val="clear" w:color="auto" w:fill="000000"/>
          </w:tcPr>
          <w:p>
            <w:pPr>
              <w:jc w:val="right"/>
              <w:ind w:right="128"/>
              <w:spacing w:after="0" w:line="135" w:lineRule="exact"/>
              <w:rPr>
                <w:sz w:val="20"/>
                <w:szCs w:val="20"/>
                <w:color w:val="auto"/>
              </w:rPr>
            </w:pPr>
            <w:r>
              <w:rPr>
                <w:rFonts w:ascii="Arial" w:cs="Arial" w:eastAsia="Arial" w:hAnsi="Arial"/>
                <w:sz w:val="13"/>
                <w:szCs w:val="13"/>
                <w:b w:val="1"/>
                <w:bCs w:val="1"/>
                <w:color w:val="FEFEFE"/>
              </w:rPr>
              <w:t>Exercise Price</w:t>
            </w:r>
          </w:p>
        </w:tc>
      </w:tr>
      <w:tr>
        <w:trPr>
          <w:trHeight w:val="168"/>
        </w:trPr>
        <w:tc>
          <w:tcPr>
            <w:tcW w:w="1520" w:type="dxa"/>
            <w:vAlign w:val="bottom"/>
            <w:shd w:val="clear" w:color="auto" w:fill="000000"/>
          </w:tcPr>
          <w:p>
            <w:pPr>
              <w:spacing w:after="0"/>
              <w:rPr>
                <w:sz w:val="14"/>
                <w:szCs w:val="14"/>
                <w:color w:val="auto"/>
              </w:rPr>
            </w:pPr>
          </w:p>
        </w:tc>
        <w:tc>
          <w:tcPr>
            <w:tcW w:w="1880" w:type="dxa"/>
            <w:vAlign w:val="bottom"/>
            <w:shd w:val="clear" w:color="auto" w:fill="000000"/>
          </w:tcPr>
          <w:p>
            <w:pPr>
              <w:spacing w:after="0"/>
              <w:rPr>
                <w:sz w:val="14"/>
                <w:szCs w:val="14"/>
                <w:color w:val="auto"/>
              </w:rPr>
            </w:pPr>
          </w:p>
        </w:tc>
        <w:tc>
          <w:tcPr>
            <w:tcW w:w="2200" w:type="dxa"/>
            <w:vAlign w:val="bottom"/>
            <w:shd w:val="clear" w:color="auto" w:fill="000000"/>
          </w:tcPr>
          <w:p>
            <w:pPr>
              <w:spacing w:after="0"/>
              <w:rPr>
                <w:sz w:val="14"/>
                <w:szCs w:val="14"/>
                <w:color w:val="auto"/>
              </w:rPr>
            </w:pPr>
          </w:p>
        </w:tc>
        <w:tc>
          <w:tcPr>
            <w:tcW w:w="2020" w:type="dxa"/>
            <w:vAlign w:val="bottom"/>
            <w:gridSpan w:val="2"/>
            <w:shd w:val="clear" w:color="auto" w:fill="000000"/>
          </w:tcPr>
          <w:p>
            <w:pPr>
              <w:jc w:val="center"/>
              <w:spacing w:after="0"/>
              <w:rPr>
                <w:sz w:val="20"/>
                <w:szCs w:val="20"/>
                <w:color w:val="auto"/>
              </w:rPr>
            </w:pPr>
            <w:r>
              <w:rPr>
                <w:rFonts w:ascii="Arial" w:cs="Arial" w:eastAsia="Arial" w:hAnsi="Arial"/>
                <w:sz w:val="13"/>
                <w:szCs w:val="13"/>
                <w:b w:val="1"/>
                <w:bCs w:val="1"/>
                <w:color w:val="FEFEFE"/>
                <w:w w:val="96"/>
              </w:rPr>
              <w:t>Exercise Date</w:t>
            </w:r>
          </w:p>
        </w:tc>
        <w:tc>
          <w:tcPr>
            <w:tcW w:w="740" w:type="dxa"/>
            <w:vAlign w:val="bottom"/>
            <w:shd w:val="clear" w:color="auto" w:fill="000000"/>
          </w:tcPr>
          <w:p>
            <w:pPr>
              <w:spacing w:after="0"/>
              <w:rPr>
                <w:sz w:val="14"/>
                <w:szCs w:val="14"/>
                <w:color w:val="auto"/>
              </w:rPr>
            </w:pPr>
          </w:p>
        </w:tc>
        <w:tc>
          <w:tcPr>
            <w:tcW w:w="860" w:type="dxa"/>
            <w:vAlign w:val="bottom"/>
            <w:shd w:val="clear" w:color="auto" w:fill="000000"/>
          </w:tcPr>
          <w:p>
            <w:pPr>
              <w:spacing w:after="0"/>
              <w:rPr>
                <w:sz w:val="14"/>
                <w:szCs w:val="14"/>
                <w:color w:val="auto"/>
              </w:rPr>
            </w:pPr>
          </w:p>
        </w:tc>
      </w:tr>
      <w:tr>
        <w:trPr>
          <w:trHeight w:val="124"/>
        </w:trPr>
        <w:tc>
          <w:tcPr>
            <w:tcW w:w="1520" w:type="dxa"/>
            <w:vAlign w:val="bottom"/>
            <w:shd w:val="clear" w:color="auto" w:fill="000000"/>
          </w:tcPr>
          <w:p>
            <w:pPr>
              <w:spacing w:after="0"/>
              <w:rPr>
                <w:sz w:val="10"/>
                <w:szCs w:val="10"/>
                <w:color w:val="auto"/>
              </w:rPr>
            </w:pPr>
          </w:p>
        </w:tc>
        <w:tc>
          <w:tcPr>
            <w:tcW w:w="1880" w:type="dxa"/>
            <w:vAlign w:val="bottom"/>
            <w:shd w:val="clear" w:color="auto" w:fill="000000"/>
          </w:tcPr>
          <w:p>
            <w:pPr>
              <w:spacing w:after="0"/>
              <w:rPr>
                <w:sz w:val="10"/>
                <w:szCs w:val="10"/>
                <w:color w:val="auto"/>
              </w:rPr>
            </w:pPr>
          </w:p>
        </w:tc>
        <w:tc>
          <w:tcPr>
            <w:tcW w:w="2200" w:type="dxa"/>
            <w:vAlign w:val="bottom"/>
            <w:shd w:val="clear" w:color="auto" w:fill="000000"/>
          </w:tcPr>
          <w:p>
            <w:pPr>
              <w:spacing w:after="0"/>
              <w:rPr>
                <w:sz w:val="10"/>
                <w:szCs w:val="10"/>
                <w:color w:val="auto"/>
              </w:rPr>
            </w:pPr>
          </w:p>
        </w:tc>
        <w:tc>
          <w:tcPr>
            <w:tcW w:w="720" w:type="dxa"/>
            <w:vAlign w:val="bottom"/>
            <w:shd w:val="clear" w:color="auto" w:fill="000000"/>
          </w:tcPr>
          <w:p>
            <w:pPr>
              <w:spacing w:after="0"/>
              <w:rPr>
                <w:sz w:val="10"/>
                <w:szCs w:val="10"/>
                <w:color w:val="auto"/>
              </w:rPr>
            </w:pPr>
          </w:p>
        </w:tc>
        <w:tc>
          <w:tcPr>
            <w:tcW w:w="1300" w:type="dxa"/>
            <w:vAlign w:val="bottom"/>
            <w:shd w:val="clear" w:color="auto" w:fill="000000"/>
          </w:tcPr>
          <w:p>
            <w:pPr>
              <w:spacing w:after="0"/>
              <w:rPr>
                <w:sz w:val="10"/>
                <w:szCs w:val="10"/>
                <w:color w:val="auto"/>
              </w:rPr>
            </w:pPr>
          </w:p>
        </w:tc>
        <w:tc>
          <w:tcPr>
            <w:tcW w:w="740" w:type="dxa"/>
            <w:vAlign w:val="bottom"/>
            <w:shd w:val="clear" w:color="auto" w:fill="000000"/>
          </w:tcPr>
          <w:p>
            <w:pPr>
              <w:spacing w:after="0"/>
              <w:rPr>
                <w:sz w:val="10"/>
                <w:szCs w:val="10"/>
                <w:color w:val="auto"/>
              </w:rPr>
            </w:pPr>
          </w:p>
        </w:tc>
        <w:tc>
          <w:tcPr>
            <w:tcW w:w="860" w:type="dxa"/>
            <w:vAlign w:val="bottom"/>
            <w:shd w:val="clear" w:color="auto" w:fill="000000"/>
          </w:tcPr>
          <w:p>
            <w:pPr>
              <w:spacing w:after="0"/>
              <w:rPr>
                <w:sz w:val="10"/>
                <w:szCs w:val="10"/>
                <w:color w:val="auto"/>
              </w:rPr>
            </w:pPr>
          </w:p>
        </w:tc>
      </w:tr>
      <w:tr>
        <w:trPr>
          <w:trHeight w:val="312"/>
        </w:trPr>
        <w:tc>
          <w:tcPr>
            <w:tcW w:w="1520" w:type="dxa"/>
            <w:vAlign w:val="bottom"/>
          </w:tcPr>
          <w:p>
            <w:pPr>
              <w:jc w:val="right"/>
              <w:ind w:right="450"/>
              <w:spacing w:after="0"/>
              <w:rPr>
                <w:sz w:val="20"/>
                <w:szCs w:val="20"/>
                <w:color w:val="auto"/>
              </w:rPr>
            </w:pPr>
            <w:r>
              <w:rPr>
                <w:rFonts w:ascii="Arial" w:cs="Arial" w:eastAsia="Arial" w:hAnsi="Arial"/>
                <w:sz w:val="14"/>
                <w:szCs w:val="14"/>
                <w:color w:val="auto"/>
              </w:rPr>
              <w:t>6/02/2015</w:t>
            </w:r>
          </w:p>
        </w:tc>
        <w:tc>
          <w:tcPr>
            <w:tcW w:w="1880" w:type="dxa"/>
            <w:vAlign w:val="bottom"/>
          </w:tcPr>
          <w:p>
            <w:pPr>
              <w:jc w:val="right"/>
              <w:ind w:right="490"/>
              <w:spacing w:after="0"/>
              <w:rPr>
                <w:sz w:val="20"/>
                <w:szCs w:val="20"/>
                <w:color w:val="auto"/>
              </w:rPr>
            </w:pPr>
            <w:r>
              <w:rPr>
                <w:rFonts w:ascii="Arial" w:cs="Arial" w:eastAsia="Arial" w:hAnsi="Arial"/>
                <w:sz w:val="14"/>
                <w:szCs w:val="14"/>
                <w:color w:val="auto"/>
              </w:rPr>
              <w:t>2/04/2021</w:t>
            </w:r>
          </w:p>
        </w:tc>
        <w:tc>
          <w:tcPr>
            <w:tcW w:w="2200" w:type="dxa"/>
            <w:vAlign w:val="bottom"/>
          </w:tcPr>
          <w:p>
            <w:pPr>
              <w:jc w:val="right"/>
              <w:ind w:right="771"/>
              <w:spacing w:after="0"/>
              <w:rPr>
                <w:sz w:val="20"/>
                <w:szCs w:val="20"/>
                <w:color w:val="auto"/>
              </w:rPr>
            </w:pPr>
            <w:r>
              <w:rPr>
                <w:rFonts w:ascii="Arial" w:cs="Arial" w:eastAsia="Arial" w:hAnsi="Arial"/>
                <w:sz w:val="14"/>
                <w:szCs w:val="14"/>
                <w:color w:val="auto"/>
              </w:rPr>
              <w:t>253,051</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568"/>
              <w:spacing w:after="0"/>
              <w:rPr>
                <w:sz w:val="20"/>
                <w:szCs w:val="20"/>
                <w:color w:val="auto"/>
              </w:rPr>
            </w:pPr>
            <w:r>
              <w:rPr>
                <w:rFonts w:ascii="Arial" w:cs="Arial" w:eastAsia="Arial" w:hAnsi="Arial"/>
                <w:sz w:val="14"/>
                <w:szCs w:val="14"/>
                <w:color w:val="auto"/>
              </w:rPr>
              <w:t>1,816,763</w:t>
            </w:r>
          </w:p>
        </w:tc>
        <w:tc>
          <w:tcPr>
            <w:tcW w:w="740" w:type="dxa"/>
            <w:vAlign w:val="bottom"/>
          </w:tcPr>
          <w:p>
            <w:pPr>
              <w:spacing w:after="0"/>
              <w:rPr>
                <w:sz w:val="24"/>
                <w:szCs w:val="24"/>
                <w:color w:val="auto"/>
              </w:rPr>
            </w:pPr>
          </w:p>
        </w:tc>
        <w:tc>
          <w:tcPr>
            <w:tcW w:w="860" w:type="dxa"/>
            <w:vAlign w:val="bottom"/>
          </w:tcPr>
          <w:p>
            <w:pPr>
              <w:jc w:val="right"/>
              <w:ind w:right="248"/>
              <w:spacing w:after="0"/>
              <w:rPr>
                <w:sz w:val="20"/>
                <w:szCs w:val="20"/>
                <w:color w:val="auto"/>
              </w:rPr>
            </w:pPr>
            <w:r>
              <w:rPr>
                <w:rFonts w:ascii="Arial" w:cs="Arial" w:eastAsia="Arial" w:hAnsi="Arial"/>
                <w:sz w:val="14"/>
                <w:szCs w:val="14"/>
                <w:color w:val="auto"/>
              </w:rPr>
              <w:t>93,621</w:t>
            </w:r>
          </w:p>
        </w:tc>
      </w:tr>
      <w:tr>
        <w:trPr>
          <w:trHeight w:val="93"/>
        </w:trPr>
        <w:tc>
          <w:tcPr>
            <w:tcW w:w="152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r>
      <w:tr>
        <w:trPr>
          <w:trHeight w:val="292"/>
        </w:trPr>
        <w:tc>
          <w:tcPr>
            <w:tcW w:w="1520" w:type="dxa"/>
            <w:vAlign w:val="bottom"/>
            <w:shd w:val="clear" w:color="auto" w:fill="F7F7F7"/>
          </w:tcPr>
          <w:p>
            <w:pPr>
              <w:jc w:val="right"/>
              <w:ind w:right="450"/>
              <w:spacing w:after="0"/>
              <w:rPr>
                <w:sz w:val="20"/>
                <w:szCs w:val="20"/>
                <w:color w:val="auto"/>
              </w:rPr>
            </w:pPr>
            <w:r>
              <w:rPr>
                <w:rFonts w:ascii="Arial" w:cs="Arial" w:eastAsia="Arial" w:hAnsi="Arial"/>
                <w:sz w:val="14"/>
                <w:szCs w:val="14"/>
                <w:color w:val="auto"/>
              </w:rPr>
              <w:t>6/02/2015</w:t>
            </w:r>
          </w:p>
        </w:tc>
        <w:tc>
          <w:tcPr>
            <w:tcW w:w="1880" w:type="dxa"/>
            <w:vAlign w:val="bottom"/>
            <w:shd w:val="clear" w:color="auto" w:fill="F7F7F7"/>
          </w:tcPr>
          <w:p>
            <w:pPr>
              <w:jc w:val="right"/>
              <w:ind w:right="490"/>
              <w:spacing w:after="0"/>
              <w:rPr>
                <w:sz w:val="20"/>
                <w:szCs w:val="20"/>
                <w:color w:val="auto"/>
              </w:rPr>
            </w:pPr>
            <w:r>
              <w:rPr>
                <w:rFonts w:ascii="Arial" w:cs="Arial" w:eastAsia="Arial" w:hAnsi="Arial"/>
                <w:sz w:val="14"/>
                <w:szCs w:val="14"/>
                <w:color w:val="auto"/>
              </w:rPr>
              <w:t>2/25/2021</w:t>
            </w:r>
          </w:p>
        </w:tc>
        <w:tc>
          <w:tcPr>
            <w:tcW w:w="2200" w:type="dxa"/>
            <w:vAlign w:val="bottom"/>
            <w:shd w:val="clear" w:color="auto" w:fill="F7F7F7"/>
          </w:tcPr>
          <w:p>
            <w:pPr>
              <w:jc w:val="right"/>
              <w:ind w:right="771"/>
              <w:spacing w:after="0"/>
              <w:rPr>
                <w:sz w:val="20"/>
                <w:szCs w:val="20"/>
                <w:color w:val="auto"/>
              </w:rPr>
            </w:pPr>
            <w:r>
              <w:rPr>
                <w:rFonts w:ascii="Arial" w:cs="Arial" w:eastAsia="Arial" w:hAnsi="Arial"/>
                <w:sz w:val="14"/>
                <w:szCs w:val="14"/>
                <w:color w:val="auto"/>
              </w:rPr>
              <w:t>134,543</w:t>
            </w:r>
          </w:p>
        </w:tc>
        <w:tc>
          <w:tcPr>
            <w:tcW w:w="72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F7F7F7"/>
          </w:tcPr>
          <w:p>
            <w:pPr>
              <w:jc w:val="right"/>
              <w:ind w:right="568"/>
              <w:spacing w:after="0"/>
              <w:rPr>
                <w:sz w:val="20"/>
                <w:szCs w:val="20"/>
                <w:color w:val="auto"/>
              </w:rPr>
            </w:pPr>
            <w:r>
              <w:rPr>
                <w:rFonts w:ascii="Arial" w:cs="Arial" w:eastAsia="Arial" w:hAnsi="Arial"/>
                <w:sz w:val="14"/>
                <w:szCs w:val="14"/>
                <w:color w:val="auto"/>
              </w:rPr>
              <w:t>3,275,651</w:t>
            </w:r>
          </w:p>
        </w:tc>
        <w:tc>
          <w:tcPr>
            <w:tcW w:w="740" w:type="dxa"/>
            <w:vAlign w:val="bottom"/>
            <w:shd w:val="clear" w:color="auto" w:fill="F7F7F7"/>
          </w:tcPr>
          <w:p>
            <w:pPr>
              <w:spacing w:after="0"/>
              <w:rPr>
                <w:sz w:val="24"/>
                <w:szCs w:val="24"/>
                <w:color w:val="auto"/>
              </w:rPr>
            </w:pPr>
          </w:p>
        </w:tc>
        <w:tc>
          <w:tcPr>
            <w:tcW w:w="860" w:type="dxa"/>
            <w:vAlign w:val="bottom"/>
            <w:shd w:val="clear" w:color="auto" w:fill="F7F7F7"/>
          </w:tcPr>
          <w:p>
            <w:pPr>
              <w:jc w:val="right"/>
              <w:ind w:right="248"/>
              <w:spacing w:after="0"/>
              <w:rPr>
                <w:sz w:val="20"/>
                <w:szCs w:val="20"/>
                <w:color w:val="auto"/>
              </w:rPr>
            </w:pPr>
            <w:r>
              <w:rPr>
                <w:rFonts w:ascii="Arial" w:cs="Arial" w:eastAsia="Arial" w:hAnsi="Arial"/>
                <w:sz w:val="14"/>
                <w:szCs w:val="14"/>
                <w:color w:val="auto"/>
              </w:rPr>
              <w:t>53,111</w:t>
            </w:r>
          </w:p>
        </w:tc>
      </w:tr>
      <w:tr>
        <w:trPr>
          <w:trHeight w:val="93"/>
        </w:trPr>
        <w:tc>
          <w:tcPr>
            <w:tcW w:w="1520" w:type="dxa"/>
            <w:vAlign w:val="bottom"/>
            <w:tcBorders>
              <w:bottom w:val="single" w:sz="8" w:color="auto"/>
            </w:tcBorders>
            <w:shd w:val="clear" w:color="auto" w:fill="F7F7F7"/>
          </w:tcPr>
          <w:p>
            <w:pPr>
              <w:spacing w:after="0"/>
              <w:rPr>
                <w:sz w:val="8"/>
                <w:szCs w:val="8"/>
                <w:color w:val="auto"/>
              </w:rPr>
            </w:pPr>
          </w:p>
        </w:tc>
        <w:tc>
          <w:tcPr>
            <w:tcW w:w="1880" w:type="dxa"/>
            <w:vAlign w:val="bottom"/>
            <w:tcBorders>
              <w:bottom w:val="single" w:sz="8" w:color="auto"/>
            </w:tcBorders>
            <w:shd w:val="clear" w:color="auto" w:fill="F7F7F7"/>
          </w:tcPr>
          <w:p>
            <w:pPr>
              <w:spacing w:after="0"/>
              <w:rPr>
                <w:sz w:val="8"/>
                <w:szCs w:val="8"/>
                <w:color w:val="auto"/>
              </w:rPr>
            </w:pPr>
          </w:p>
        </w:tc>
        <w:tc>
          <w:tcPr>
            <w:tcW w:w="2200" w:type="dxa"/>
            <w:vAlign w:val="bottom"/>
            <w:tcBorders>
              <w:bottom w:val="single" w:sz="8" w:color="auto"/>
            </w:tcBorders>
            <w:shd w:val="clear" w:color="auto" w:fill="F7F7F7"/>
          </w:tcPr>
          <w:p>
            <w:pPr>
              <w:spacing w:after="0"/>
              <w:rPr>
                <w:sz w:val="8"/>
                <w:szCs w:val="8"/>
                <w:color w:val="auto"/>
              </w:rPr>
            </w:pPr>
          </w:p>
        </w:tc>
        <w:tc>
          <w:tcPr>
            <w:tcW w:w="720" w:type="dxa"/>
            <w:vAlign w:val="bottom"/>
            <w:tcBorders>
              <w:bottom w:val="single" w:sz="8" w:color="auto"/>
            </w:tcBorders>
            <w:shd w:val="clear" w:color="auto" w:fill="F7F7F7"/>
          </w:tcPr>
          <w:p>
            <w:pPr>
              <w:spacing w:after="0"/>
              <w:rPr>
                <w:sz w:val="8"/>
                <w:szCs w:val="8"/>
                <w:color w:val="auto"/>
              </w:rPr>
            </w:pPr>
          </w:p>
        </w:tc>
        <w:tc>
          <w:tcPr>
            <w:tcW w:w="1300" w:type="dxa"/>
            <w:vAlign w:val="bottom"/>
            <w:tcBorders>
              <w:bottom w:val="single" w:sz="8" w:color="auto"/>
            </w:tcBorders>
            <w:shd w:val="clear" w:color="auto" w:fill="F7F7F7"/>
          </w:tcPr>
          <w:p>
            <w:pPr>
              <w:spacing w:after="0"/>
              <w:rPr>
                <w:sz w:val="8"/>
                <w:szCs w:val="8"/>
                <w:color w:val="auto"/>
              </w:rPr>
            </w:pPr>
          </w:p>
        </w:tc>
        <w:tc>
          <w:tcPr>
            <w:tcW w:w="740" w:type="dxa"/>
            <w:vAlign w:val="bottom"/>
            <w:tcBorders>
              <w:bottom w:val="single" w:sz="8" w:color="auto"/>
            </w:tcBorders>
            <w:shd w:val="clear" w:color="auto" w:fill="F7F7F7"/>
          </w:tcPr>
          <w:p>
            <w:pPr>
              <w:spacing w:after="0"/>
              <w:rPr>
                <w:sz w:val="8"/>
                <w:szCs w:val="8"/>
                <w:color w:val="auto"/>
              </w:rPr>
            </w:pPr>
          </w:p>
        </w:tc>
        <w:tc>
          <w:tcPr>
            <w:tcW w:w="860" w:type="dxa"/>
            <w:vAlign w:val="bottom"/>
            <w:tcBorders>
              <w:bottom w:val="single" w:sz="8" w:color="auto"/>
            </w:tcBorders>
            <w:shd w:val="clear" w:color="auto" w:fill="F7F7F7"/>
          </w:tcPr>
          <w:p>
            <w:pPr>
              <w:spacing w:after="0"/>
              <w:rPr>
                <w:sz w:val="8"/>
                <w:szCs w:val="8"/>
                <w:color w:val="auto"/>
              </w:rPr>
            </w:pPr>
          </w:p>
        </w:tc>
      </w:tr>
      <w:tr>
        <w:trPr>
          <w:trHeight w:val="292"/>
        </w:trPr>
        <w:tc>
          <w:tcPr>
            <w:tcW w:w="1520" w:type="dxa"/>
            <w:vAlign w:val="bottom"/>
          </w:tcPr>
          <w:p>
            <w:pPr>
              <w:jc w:val="right"/>
              <w:ind w:right="450"/>
              <w:spacing w:after="0"/>
              <w:rPr>
                <w:sz w:val="20"/>
                <w:szCs w:val="20"/>
                <w:color w:val="auto"/>
              </w:rPr>
            </w:pPr>
            <w:r>
              <w:rPr>
                <w:rFonts w:ascii="Arial" w:cs="Arial" w:eastAsia="Arial" w:hAnsi="Arial"/>
                <w:sz w:val="14"/>
                <w:szCs w:val="14"/>
                <w:color w:val="auto"/>
              </w:rPr>
              <w:t>12/17/2015</w:t>
            </w:r>
          </w:p>
        </w:tc>
        <w:tc>
          <w:tcPr>
            <w:tcW w:w="1880" w:type="dxa"/>
            <w:vAlign w:val="bottom"/>
          </w:tcPr>
          <w:p>
            <w:pPr>
              <w:jc w:val="right"/>
              <w:ind w:right="490"/>
              <w:spacing w:after="0"/>
              <w:rPr>
                <w:sz w:val="20"/>
                <w:szCs w:val="20"/>
                <w:color w:val="auto"/>
              </w:rPr>
            </w:pPr>
            <w:r>
              <w:rPr>
                <w:rFonts w:ascii="Arial" w:cs="Arial" w:eastAsia="Arial" w:hAnsi="Arial"/>
                <w:sz w:val="14"/>
                <w:szCs w:val="14"/>
                <w:color w:val="auto"/>
              </w:rPr>
              <w:t>2/04/2021</w:t>
            </w:r>
          </w:p>
        </w:tc>
        <w:tc>
          <w:tcPr>
            <w:tcW w:w="2200" w:type="dxa"/>
            <w:vAlign w:val="bottom"/>
          </w:tcPr>
          <w:p>
            <w:pPr>
              <w:jc w:val="right"/>
              <w:ind w:right="771"/>
              <w:spacing w:after="0"/>
              <w:rPr>
                <w:sz w:val="20"/>
                <w:szCs w:val="20"/>
                <w:color w:val="auto"/>
              </w:rPr>
            </w:pPr>
            <w:r>
              <w:rPr>
                <w:rFonts w:ascii="Arial" w:cs="Arial" w:eastAsia="Arial" w:hAnsi="Arial"/>
                <w:sz w:val="14"/>
                <w:szCs w:val="14"/>
                <w:color w:val="auto"/>
              </w:rPr>
              <w:t>13,220</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568"/>
              <w:spacing w:after="0"/>
              <w:rPr>
                <w:sz w:val="20"/>
                <w:szCs w:val="20"/>
                <w:color w:val="auto"/>
              </w:rPr>
            </w:pPr>
            <w:r>
              <w:rPr>
                <w:rFonts w:ascii="Arial" w:cs="Arial" w:eastAsia="Arial" w:hAnsi="Arial"/>
                <w:sz w:val="14"/>
                <w:szCs w:val="14"/>
                <w:color w:val="auto"/>
              </w:rPr>
              <w:t>94,920</w:t>
            </w:r>
          </w:p>
        </w:tc>
        <w:tc>
          <w:tcPr>
            <w:tcW w:w="740" w:type="dxa"/>
            <w:vAlign w:val="bottom"/>
          </w:tcPr>
          <w:p>
            <w:pPr>
              <w:ind w:left="6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48"/>
              <w:spacing w:after="0"/>
              <w:rPr>
                <w:sz w:val="20"/>
                <w:szCs w:val="20"/>
                <w:color w:val="auto"/>
              </w:rPr>
            </w:pPr>
            <w:r>
              <w:rPr>
                <w:rFonts w:ascii="Arial" w:cs="Arial" w:eastAsia="Arial" w:hAnsi="Arial"/>
                <w:sz w:val="14"/>
                <w:szCs w:val="14"/>
                <w:color w:val="auto"/>
              </w:rPr>
              <w:t>7,721</w:t>
            </w:r>
          </w:p>
        </w:tc>
      </w:tr>
      <w:tr>
        <w:trPr>
          <w:trHeight w:val="93"/>
        </w:trPr>
        <w:tc>
          <w:tcPr>
            <w:tcW w:w="152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r>
      <w:tr>
        <w:trPr>
          <w:trHeight w:val="292"/>
        </w:trPr>
        <w:tc>
          <w:tcPr>
            <w:tcW w:w="1520" w:type="dxa"/>
            <w:vAlign w:val="bottom"/>
            <w:shd w:val="clear" w:color="auto" w:fill="F7F7F7"/>
          </w:tcPr>
          <w:p>
            <w:pPr>
              <w:jc w:val="right"/>
              <w:ind w:right="450"/>
              <w:spacing w:after="0"/>
              <w:rPr>
                <w:sz w:val="20"/>
                <w:szCs w:val="20"/>
                <w:color w:val="auto"/>
              </w:rPr>
            </w:pPr>
            <w:r>
              <w:rPr>
                <w:rFonts w:ascii="Arial" w:cs="Arial" w:eastAsia="Arial" w:hAnsi="Arial"/>
                <w:sz w:val="14"/>
                <w:szCs w:val="14"/>
                <w:color w:val="auto"/>
              </w:rPr>
              <w:t>4/22/2019</w:t>
            </w:r>
          </w:p>
        </w:tc>
        <w:tc>
          <w:tcPr>
            <w:tcW w:w="1880" w:type="dxa"/>
            <w:vAlign w:val="bottom"/>
            <w:shd w:val="clear" w:color="auto" w:fill="F7F7F7"/>
          </w:tcPr>
          <w:p>
            <w:pPr>
              <w:jc w:val="right"/>
              <w:ind w:right="490"/>
              <w:spacing w:after="0"/>
              <w:rPr>
                <w:sz w:val="20"/>
                <w:szCs w:val="20"/>
                <w:color w:val="auto"/>
              </w:rPr>
            </w:pPr>
            <w:r>
              <w:rPr>
                <w:rFonts w:ascii="Arial" w:cs="Arial" w:eastAsia="Arial" w:hAnsi="Arial"/>
                <w:sz w:val="14"/>
                <w:szCs w:val="14"/>
                <w:color w:val="auto"/>
              </w:rPr>
              <w:t>2/25/2021</w:t>
            </w:r>
          </w:p>
        </w:tc>
        <w:tc>
          <w:tcPr>
            <w:tcW w:w="2200" w:type="dxa"/>
            <w:vAlign w:val="bottom"/>
            <w:shd w:val="clear" w:color="auto" w:fill="F7F7F7"/>
          </w:tcPr>
          <w:p>
            <w:pPr>
              <w:jc w:val="right"/>
              <w:ind w:right="771"/>
              <w:spacing w:after="0"/>
              <w:rPr>
                <w:sz w:val="20"/>
                <w:szCs w:val="20"/>
                <w:color w:val="auto"/>
              </w:rPr>
            </w:pPr>
            <w:r>
              <w:rPr>
                <w:rFonts w:ascii="Arial" w:cs="Arial" w:eastAsia="Arial" w:hAnsi="Arial"/>
                <w:sz w:val="14"/>
                <w:szCs w:val="14"/>
                <w:color w:val="auto"/>
              </w:rPr>
              <w:t>51,177</w:t>
            </w:r>
          </w:p>
        </w:tc>
        <w:tc>
          <w:tcPr>
            <w:tcW w:w="72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F7F7F7"/>
          </w:tcPr>
          <w:p>
            <w:pPr>
              <w:jc w:val="right"/>
              <w:ind w:right="568"/>
              <w:spacing w:after="0"/>
              <w:rPr>
                <w:sz w:val="20"/>
                <w:szCs w:val="20"/>
                <w:color w:val="auto"/>
              </w:rPr>
            </w:pPr>
            <w:r>
              <w:rPr>
                <w:rFonts w:ascii="Arial" w:cs="Arial" w:eastAsia="Arial" w:hAnsi="Arial"/>
                <w:sz w:val="14"/>
                <w:szCs w:val="14"/>
                <w:color w:val="auto"/>
              </w:rPr>
              <w:t>1,304,779</w:t>
            </w:r>
          </w:p>
        </w:tc>
        <w:tc>
          <w:tcPr>
            <w:tcW w:w="740" w:type="dxa"/>
            <w:vAlign w:val="bottom"/>
            <w:shd w:val="clear" w:color="auto" w:fill="F7F7F7"/>
          </w:tcPr>
          <w:p>
            <w:pPr>
              <w:ind w:left="620"/>
              <w:spacing w:after="0"/>
              <w:rPr>
                <w:sz w:val="20"/>
                <w:szCs w:val="20"/>
                <w:color w:val="auto"/>
              </w:rPr>
            </w:pPr>
            <w:r>
              <w:rPr>
                <w:rFonts w:ascii="Arial" w:cs="Arial" w:eastAsia="Arial" w:hAnsi="Arial"/>
                <w:sz w:val="14"/>
                <w:szCs w:val="14"/>
                <w:color w:val="auto"/>
              </w:rPr>
              <w:t>$</w:t>
            </w:r>
          </w:p>
        </w:tc>
        <w:tc>
          <w:tcPr>
            <w:tcW w:w="860" w:type="dxa"/>
            <w:vAlign w:val="bottom"/>
            <w:shd w:val="clear" w:color="auto" w:fill="F7F7F7"/>
          </w:tcPr>
          <w:p>
            <w:pPr>
              <w:jc w:val="right"/>
              <w:ind w:right="248"/>
              <w:spacing w:after="0"/>
              <w:rPr>
                <w:sz w:val="20"/>
                <w:szCs w:val="20"/>
                <w:color w:val="auto"/>
              </w:rPr>
            </w:pPr>
            <w:r>
              <w:rPr>
                <w:rFonts w:ascii="Arial" w:cs="Arial" w:eastAsia="Arial" w:hAnsi="Arial"/>
                <w:sz w:val="14"/>
                <w:szCs w:val="14"/>
                <w:color w:val="auto"/>
              </w:rPr>
              <w:t>47,457</w:t>
            </w:r>
          </w:p>
        </w:tc>
      </w:tr>
      <w:tr>
        <w:trPr>
          <w:trHeight w:val="93"/>
        </w:trPr>
        <w:tc>
          <w:tcPr>
            <w:tcW w:w="1520" w:type="dxa"/>
            <w:vAlign w:val="bottom"/>
            <w:tcBorders>
              <w:bottom w:val="single" w:sz="8" w:color="auto"/>
            </w:tcBorders>
            <w:shd w:val="clear" w:color="auto" w:fill="F7F7F7"/>
          </w:tcPr>
          <w:p>
            <w:pPr>
              <w:spacing w:after="0"/>
              <w:rPr>
                <w:sz w:val="8"/>
                <w:szCs w:val="8"/>
                <w:color w:val="auto"/>
              </w:rPr>
            </w:pPr>
          </w:p>
        </w:tc>
        <w:tc>
          <w:tcPr>
            <w:tcW w:w="1880" w:type="dxa"/>
            <w:vAlign w:val="bottom"/>
            <w:tcBorders>
              <w:bottom w:val="single" w:sz="8" w:color="auto"/>
            </w:tcBorders>
            <w:shd w:val="clear" w:color="auto" w:fill="F7F7F7"/>
          </w:tcPr>
          <w:p>
            <w:pPr>
              <w:spacing w:after="0"/>
              <w:rPr>
                <w:sz w:val="8"/>
                <w:szCs w:val="8"/>
                <w:color w:val="auto"/>
              </w:rPr>
            </w:pPr>
          </w:p>
        </w:tc>
        <w:tc>
          <w:tcPr>
            <w:tcW w:w="2200" w:type="dxa"/>
            <w:vAlign w:val="bottom"/>
            <w:tcBorders>
              <w:bottom w:val="single" w:sz="8" w:color="auto"/>
            </w:tcBorders>
            <w:shd w:val="clear" w:color="auto" w:fill="F7F7F7"/>
          </w:tcPr>
          <w:p>
            <w:pPr>
              <w:spacing w:after="0"/>
              <w:rPr>
                <w:sz w:val="8"/>
                <w:szCs w:val="8"/>
                <w:color w:val="auto"/>
              </w:rPr>
            </w:pPr>
          </w:p>
        </w:tc>
        <w:tc>
          <w:tcPr>
            <w:tcW w:w="720" w:type="dxa"/>
            <w:vAlign w:val="bottom"/>
            <w:tcBorders>
              <w:bottom w:val="single" w:sz="8" w:color="auto"/>
            </w:tcBorders>
            <w:shd w:val="clear" w:color="auto" w:fill="F7F7F7"/>
          </w:tcPr>
          <w:p>
            <w:pPr>
              <w:spacing w:after="0"/>
              <w:rPr>
                <w:sz w:val="8"/>
                <w:szCs w:val="8"/>
                <w:color w:val="auto"/>
              </w:rPr>
            </w:pPr>
          </w:p>
        </w:tc>
        <w:tc>
          <w:tcPr>
            <w:tcW w:w="1300" w:type="dxa"/>
            <w:vAlign w:val="bottom"/>
            <w:tcBorders>
              <w:bottom w:val="single" w:sz="8" w:color="auto"/>
            </w:tcBorders>
            <w:shd w:val="clear" w:color="auto" w:fill="F7F7F7"/>
          </w:tcPr>
          <w:p>
            <w:pPr>
              <w:spacing w:after="0"/>
              <w:rPr>
                <w:sz w:val="8"/>
                <w:szCs w:val="8"/>
                <w:color w:val="auto"/>
              </w:rPr>
            </w:pPr>
          </w:p>
        </w:tc>
        <w:tc>
          <w:tcPr>
            <w:tcW w:w="740" w:type="dxa"/>
            <w:vAlign w:val="bottom"/>
            <w:tcBorders>
              <w:bottom w:val="single" w:sz="8" w:color="auto"/>
            </w:tcBorders>
            <w:shd w:val="clear" w:color="auto" w:fill="F7F7F7"/>
          </w:tcPr>
          <w:p>
            <w:pPr>
              <w:spacing w:after="0"/>
              <w:rPr>
                <w:sz w:val="8"/>
                <w:szCs w:val="8"/>
                <w:color w:val="auto"/>
              </w:rPr>
            </w:pPr>
          </w:p>
        </w:tc>
        <w:tc>
          <w:tcPr>
            <w:tcW w:w="860" w:type="dxa"/>
            <w:vAlign w:val="bottom"/>
            <w:tcBorders>
              <w:bottom w:val="single" w:sz="8" w:color="auto"/>
            </w:tcBorders>
            <w:shd w:val="clear" w:color="auto" w:fill="F7F7F7"/>
          </w:tcPr>
          <w:p>
            <w:pPr>
              <w:spacing w:after="0"/>
              <w:rPr>
                <w:sz w:val="8"/>
                <w:szCs w:val="8"/>
                <w:color w:val="auto"/>
              </w:rPr>
            </w:pPr>
          </w:p>
        </w:tc>
      </w:tr>
      <w:tr>
        <w:trPr>
          <w:trHeight w:val="292"/>
        </w:trPr>
        <w:tc>
          <w:tcPr>
            <w:tcW w:w="1520" w:type="dxa"/>
            <w:vAlign w:val="bottom"/>
          </w:tcPr>
          <w:p>
            <w:pPr>
              <w:jc w:val="right"/>
              <w:ind w:right="450"/>
              <w:spacing w:after="0"/>
              <w:rPr>
                <w:sz w:val="20"/>
                <w:szCs w:val="20"/>
                <w:color w:val="auto"/>
              </w:rPr>
            </w:pPr>
            <w:r>
              <w:rPr>
                <w:rFonts w:ascii="Arial" w:cs="Arial" w:eastAsia="Arial" w:hAnsi="Arial"/>
                <w:sz w:val="14"/>
                <w:szCs w:val="14"/>
                <w:color w:val="auto"/>
              </w:rPr>
              <w:t>4/22/2019</w:t>
            </w:r>
          </w:p>
        </w:tc>
        <w:tc>
          <w:tcPr>
            <w:tcW w:w="1880" w:type="dxa"/>
            <w:vAlign w:val="bottom"/>
          </w:tcPr>
          <w:p>
            <w:pPr>
              <w:jc w:val="right"/>
              <w:ind w:right="490"/>
              <w:spacing w:after="0"/>
              <w:rPr>
                <w:sz w:val="20"/>
                <w:szCs w:val="20"/>
                <w:color w:val="auto"/>
              </w:rPr>
            </w:pPr>
            <w:r>
              <w:rPr>
                <w:rFonts w:ascii="Arial" w:cs="Arial" w:eastAsia="Arial" w:hAnsi="Arial"/>
                <w:sz w:val="14"/>
                <w:szCs w:val="14"/>
                <w:color w:val="auto"/>
              </w:rPr>
              <w:t>3/01/2021</w:t>
            </w:r>
          </w:p>
        </w:tc>
        <w:tc>
          <w:tcPr>
            <w:tcW w:w="2200" w:type="dxa"/>
            <w:vAlign w:val="bottom"/>
          </w:tcPr>
          <w:p>
            <w:pPr>
              <w:jc w:val="right"/>
              <w:ind w:right="771"/>
              <w:spacing w:after="0"/>
              <w:rPr>
                <w:sz w:val="20"/>
                <w:szCs w:val="20"/>
                <w:color w:val="auto"/>
              </w:rPr>
            </w:pPr>
            <w:r>
              <w:rPr>
                <w:rFonts w:ascii="Arial" w:cs="Arial" w:eastAsia="Arial" w:hAnsi="Arial"/>
                <w:sz w:val="14"/>
                <w:szCs w:val="14"/>
                <w:color w:val="auto"/>
              </w:rPr>
              <w:t>120,724</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568"/>
              <w:spacing w:after="0"/>
              <w:rPr>
                <w:sz w:val="20"/>
                <w:szCs w:val="20"/>
                <w:color w:val="auto"/>
              </w:rPr>
            </w:pPr>
            <w:r>
              <w:rPr>
                <w:rFonts w:ascii="Arial" w:cs="Arial" w:eastAsia="Arial" w:hAnsi="Arial"/>
                <w:sz w:val="14"/>
                <w:szCs w:val="14"/>
                <w:color w:val="auto"/>
              </w:rPr>
              <w:t>2,754,922</w:t>
            </w:r>
          </w:p>
        </w:tc>
        <w:tc>
          <w:tcPr>
            <w:tcW w:w="740" w:type="dxa"/>
            <w:vAlign w:val="bottom"/>
          </w:tcPr>
          <w:p>
            <w:pPr>
              <w:ind w:left="6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48"/>
              <w:spacing w:after="0"/>
              <w:rPr>
                <w:sz w:val="20"/>
                <w:szCs w:val="20"/>
                <w:color w:val="auto"/>
              </w:rPr>
            </w:pPr>
            <w:r>
              <w:rPr>
                <w:rFonts w:ascii="Arial" w:cs="Arial" w:eastAsia="Arial" w:hAnsi="Arial"/>
                <w:sz w:val="14"/>
                <w:szCs w:val="14"/>
                <w:color w:val="auto"/>
              </w:rPr>
              <w:t>100,201</w:t>
            </w:r>
          </w:p>
        </w:tc>
      </w:tr>
      <w:tr>
        <w:trPr>
          <w:trHeight w:val="93"/>
        </w:trPr>
        <w:tc>
          <w:tcPr>
            <w:tcW w:w="152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ectPr>
          <w:pgSz w:w="11900" w:h="16838" w:orient="portrait"/>
          <w:cols w:equalWidth="0" w:num="1">
            <w:col w:w="10040"/>
          </w:cols>
          <w:pgMar w:left="580" w:top="132"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60"/>
        <w:spacing w:after="0"/>
        <w:tabs>
          <w:tab w:leader="none" w:pos="9880" w:val="left"/>
        </w:tabs>
        <w:rPr>
          <w:sz w:val="20"/>
          <w:szCs w:val="20"/>
          <w:color w:val="auto"/>
        </w:rPr>
      </w:pPr>
      <w:r>
        <w:rPr>
          <w:rFonts w:ascii="Arial" w:cs="Arial" w:eastAsia="Arial" w:hAnsi="Arial"/>
          <w:sz w:val="13"/>
          <w:szCs w:val="13"/>
          <w:color w:val="auto"/>
        </w:rPr>
        <w:t>2022 Proxy Statement</w:t>
      </w:r>
      <w:r>
        <w:rPr>
          <w:sz w:val="20"/>
          <w:szCs w:val="20"/>
          <w:color w:val="auto"/>
        </w:rPr>
        <w:tab/>
      </w:r>
      <w:r>
        <w:rPr>
          <w:rFonts w:ascii="Arial" w:cs="Arial" w:eastAsia="Arial" w:hAnsi="Arial"/>
          <w:sz w:val="12"/>
          <w:szCs w:val="12"/>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type w:val="continuous"/>
        </w:sectPr>
      </w:pPr>
    </w:p>
    <w:bookmarkStart w:id="70" w:name="page71"/>
    <w:bookmarkEnd w:id="70"/>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33"/>
          <w:szCs w:val="33"/>
          <w:b w:val="1"/>
          <w:bCs w:val="1"/>
          <w:color w:val="auto"/>
        </w:rPr>
        <w:t>Potential Payments Upon Termination or Change in Control</w:t>
      </w:r>
    </w:p>
    <w:p>
      <w:pPr>
        <w:spacing w:after="0" w:line="200" w:lineRule="exact"/>
        <w:rPr>
          <w:sz w:val="20"/>
          <w:szCs w:val="20"/>
          <w:color w:val="auto"/>
        </w:rPr>
      </w:pPr>
    </w:p>
    <w:p>
      <w:pPr>
        <w:spacing w:after="0" w:line="244" w:lineRule="exact"/>
        <w:rPr>
          <w:sz w:val="20"/>
          <w:szCs w:val="20"/>
          <w:color w:val="auto"/>
        </w:rPr>
      </w:pPr>
    </w:p>
    <w:p>
      <w:pPr>
        <w:jc w:val="both"/>
        <w:ind w:left="660" w:right="240"/>
        <w:spacing w:after="0" w:line="288" w:lineRule="auto"/>
        <w:rPr>
          <w:sz w:val="20"/>
          <w:szCs w:val="20"/>
          <w:color w:val="auto"/>
        </w:rPr>
      </w:pPr>
      <w:r>
        <w:rPr>
          <w:rFonts w:ascii="Arial" w:cs="Arial" w:eastAsia="Arial" w:hAnsi="Arial"/>
          <w:sz w:val="16"/>
          <w:szCs w:val="16"/>
          <w:color w:val="auto"/>
        </w:rPr>
        <w:t>The table below sets forth the amounts of the payments and benefits that each NEO would have been entitled to receive upon a qualifying termination of employment by the Company and/or the occurrence of a change in control, in each case assuming the relevant event occurred on December 31, 2021.</w:t>
      </w:r>
    </w:p>
    <w:p>
      <w:pPr>
        <w:spacing w:after="0" w:line="240"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2880" w:type="dxa"/>
            <w:vAlign w:val="bottom"/>
            <w:shd w:val="clear" w:color="auto" w:fill="000000"/>
          </w:tcPr>
          <w:p>
            <w:pPr>
              <w:ind w:left="140"/>
              <w:spacing w:after="0"/>
              <w:rPr>
                <w:sz w:val="20"/>
                <w:szCs w:val="20"/>
                <w:color w:val="auto"/>
              </w:rPr>
            </w:pPr>
            <w:r>
              <w:rPr>
                <w:rFonts w:ascii="Arial" w:cs="Arial" w:eastAsia="Arial" w:hAnsi="Arial"/>
                <w:sz w:val="13"/>
                <w:szCs w:val="13"/>
                <w:b w:val="1"/>
                <w:bCs w:val="1"/>
                <w:color w:val="FEFEFE"/>
              </w:rPr>
              <w:t>Name</w:t>
            </w:r>
          </w:p>
        </w:tc>
        <w:tc>
          <w:tcPr>
            <w:tcW w:w="2520" w:type="dxa"/>
            <w:vAlign w:val="bottom"/>
            <w:shd w:val="clear" w:color="auto" w:fill="000000"/>
          </w:tcPr>
          <w:p>
            <w:pPr>
              <w:ind w:left="120"/>
              <w:spacing w:after="0"/>
              <w:rPr>
                <w:sz w:val="20"/>
                <w:szCs w:val="20"/>
                <w:color w:val="auto"/>
              </w:rPr>
            </w:pPr>
            <w:r>
              <w:rPr>
                <w:rFonts w:ascii="Arial" w:cs="Arial" w:eastAsia="Arial" w:hAnsi="Arial"/>
                <w:sz w:val="13"/>
                <w:szCs w:val="13"/>
                <w:b w:val="1"/>
                <w:bCs w:val="1"/>
                <w:color w:val="FEFEFE"/>
              </w:rPr>
              <w:t>Benefit</w:t>
            </w:r>
          </w:p>
        </w:tc>
        <w:tc>
          <w:tcPr>
            <w:tcW w:w="460" w:type="dxa"/>
            <w:vAlign w:val="bottom"/>
            <w:shd w:val="clear" w:color="auto" w:fill="000000"/>
          </w:tcPr>
          <w:p>
            <w:pPr>
              <w:spacing w:after="0"/>
              <w:rPr>
                <w:sz w:val="21"/>
                <w:szCs w:val="21"/>
                <w:color w:val="auto"/>
              </w:rPr>
            </w:pPr>
          </w:p>
        </w:tc>
        <w:tc>
          <w:tcPr>
            <w:tcW w:w="1080" w:type="dxa"/>
            <w:vAlign w:val="bottom"/>
            <w:shd w:val="clear" w:color="auto" w:fill="000000"/>
          </w:tcPr>
          <w:p>
            <w:pPr>
              <w:jc w:val="center"/>
              <w:ind w:right="291"/>
              <w:spacing w:after="0"/>
              <w:rPr>
                <w:sz w:val="20"/>
                <w:szCs w:val="20"/>
                <w:color w:val="auto"/>
              </w:rPr>
            </w:pPr>
            <w:r>
              <w:rPr>
                <w:rFonts w:ascii="Arial" w:cs="Arial" w:eastAsia="Arial" w:hAnsi="Arial"/>
                <w:sz w:val="13"/>
                <w:szCs w:val="13"/>
                <w:b w:val="1"/>
                <w:bCs w:val="1"/>
                <w:color w:val="FEFEFE"/>
                <w:w w:val="96"/>
              </w:rPr>
              <w:t>Termination</w:t>
            </w:r>
          </w:p>
        </w:tc>
        <w:tc>
          <w:tcPr>
            <w:tcW w:w="260" w:type="dxa"/>
            <w:vAlign w:val="bottom"/>
            <w:shd w:val="clear" w:color="auto" w:fill="000000"/>
          </w:tcPr>
          <w:p>
            <w:pPr>
              <w:spacing w:after="0"/>
              <w:rPr>
                <w:sz w:val="21"/>
                <w:szCs w:val="21"/>
                <w:color w:val="auto"/>
              </w:rPr>
            </w:pPr>
          </w:p>
        </w:tc>
        <w:tc>
          <w:tcPr>
            <w:tcW w:w="1080" w:type="dxa"/>
            <w:vAlign w:val="bottom"/>
            <w:shd w:val="clear" w:color="auto" w:fill="000000"/>
          </w:tcPr>
          <w:p>
            <w:pPr>
              <w:jc w:val="center"/>
              <w:ind w:right="229"/>
              <w:spacing w:after="0"/>
              <w:rPr>
                <w:sz w:val="20"/>
                <w:szCs w:val="20"/>
                <w:color w:val="auto"/>
              </w:rPr>
            </w:pPr>
            <w:r>
              <w:rPr>
                <w:rFonts w:ascii="Arial" w:cs="Arial" w:eastAsia="Arial" w:hAnsi="Arial"/>
                <w:sz w:val="13"/>
                <w:szCs w:val="13"/>
                <w:b w:val="1"/>
                <w:bCs w:val="1"/>
                <w:color w:val="FEFEFE"/>
                <w:w w:val="94"/>
              </w:rPr>
              <w:t>Termination</w:t>
            </w:r>
          </w:p>
        </w:tc>
        <w:tc>
          <w:tcPr>
            <w:tcW w:w="160" w:type="dxa"/>
            <w:vAlign w:val="bottom"/>
            <w:shd w:val="clear" w:color="auto" w:fill="000000"/>
          </w:tcPr>
          <w:p>
            <w:pPr>
              <w:spacing w:after="0"/>
              <w:rPr>
                <w:sz w:val="21"/>
                <w:szCs w:val="21"/>
                <w:color w:val="auto"/>
              </w:rPr>
            </w:pPr>
          </w:p>
        </w:tc>
        <w:tc>
          <w:tcPr>
            <w:tcW w:w="940" w:type="dxa"/>
            <w:vAlign w:val="bottom"/>
            <w:shd w:val="clear" w:color="auto" w:fill="000000"/>
          </w:tcPr>
          <w:p>
            <w:pPr>
              <w:jc w:val="right"/>
              <w:ind w:right="289"/>
              <w:spacing w:after="0"/>
              <w:rPr>
                <w:sz w:val="20"/>
                <w:szCs w:val="20"/>
                <w:color w:val="auto"/>
              </w:rPr>
            </w:pPr>
            <w:r>
              <w:rPr>
                <w:rFonts w:ascii="Arial" w:cs="Arial" w:eastAsia="Arial" w:hAnsi="Arial"/>
                <w:sz w:val="13"/>
                <w:szCs w:val="13"/>
                <w:b w:val="1"/>
                <w:bCs w:val="1"/>
                <w:color w:val="FEFEFE"/>
              </w:rPr>
              <w:t>Death or</w:t>
            </w:r>
          </w:p>
        </w:tc>
      </w:tr>
      <w:tr>
        <w:trPr>
          <w:trHeight w:val="140"/>
        </w:trPr>
        <w:tc>
          <w:tcPr>
            <w:tcW w:w="2880" w:type="dxa"/>
            <w:vAlign w:val="bottom"/>
            <w:shd w:val="clear" w:color="auto" w:fill="000000"/>
          </w:tcPr>
          <w:p>
            <w:pPr>
              <w:spacing w:after="0"/>
              <w:rPr>
                <w:sz w:val="12"/>
                <w:szCs w:val="12"/>
                <w:color w:val="auto"/>
              </w:rPr>
            </w:pPr>
          </w:p>
        </w:tc>
        <w:tc>
          <w:tcPr>
            <w:tcW w:w="2520" w:type="dxa"/>
            <w:vAlign w:val="bottom"/>
            <w:shd w:val="clear" w:color="auto" w:fill="000000"/>
          </w:tcPr>
          <w:p>
            <w:pPr>
              <w:spacing w:after="0"/>
              <w:rPr>
                <w:sz w:val="12"/>
                <w:szCs w:val="12"/>
                <w:color w:val="auto"/>
              </w:rPr>
            </w:pPr>
          </w:p>
        </w:tc>
        <w:tc>
          <w:tcPr>
            <w:tcW w:w="1540" w:type="dxa"/>
            <w:vAlign w:val="bottom"/>
            <w:gridSpan w:val="2"/>
            <w:shd w:val="clear" w:color="auto" w:fill="000000"/>
          </w:tcPr>
          <w:p>
            <w:pPr>
              <w:jc w:val="center"/>
              <w:ind w:left="31"/>
              <w:spacing w:after="0" w:line="140" w:lineRule="exact"/>
              <w:rPr>
                <w:sz w:val="20"/>
                <w:szCs w:val="20"/>
                <w:color w:val="auto"/>
              </w:rPr>
            </w:pPr>
            <w:r>
              <w:rPr>
                <w:rFonts w:ascii="Arial" w:cs="Arial" w:eastAsia="Arial" w:hAnsi="Arial"/>
                <w:sz w:val="13"/>
                <w:szCs w:val="13"/>
                <w:b w:val="1"/>
                <w:bCs w:val="1"/>
                <w:color w:val="FEFEFE"/>
                <w:w w:val="96"/>
              </w:rPr>
              <w:t>Without Cause or</w:t>
            </w:r>
          </w:p>
        </w:tc>
        <w:tc>
          <w:tcPr>
            <w:tcW w:w="1340" w:type="dxa"/>
            <w:vAlign w:val="bottom"/>
            <w:gridSpan w:val="2"/>
            <w:shd w:val="clear" w:color="auto" w:fill="000000"/>
          </w:tcPr>
          <w:p>
            <w:pPr>
              <w:jc w:val="center"/>
              <w:spacing w:after="0" w:line="140" w:lineRule="exact"/>
              <w:rPr>
                <w:sz w:val="20"/>
                <w:szCs w:val="20"/>
                <w:color w:val="auto"/>
              </w:rPr>
            </w:pPr>
            <w:r>
              <w:rPr>
                <w:rFonts w:ascii="Arial" w:cs="Arial" w:eastAsia="Arial" w:hAnsi="Arial"/>
                <w:sz w:val="13"/>
                <w:szCs w:val="13"/>
                <w:b w:val="1"/>
                <w:bCs w:val="1"/>
                <w:color w:val="FEFEFE"/>
                <w:w w:val="96"/>
              </w:rPr>
              <w:t>Without Cause or</w:t>
            </w:r>
          </w:p>
        </w:tc>
        <w:tc>
          <w:tcPr>
            <w:tcW w:w="1100" w:type="dxa"/>
            <w:vAlign w:val="bottom"/>
            <w:gridSpan w:val="2"/>
            <w:shd w:val="clear" w:color="auto" w:fill="000000"/>
          </w:tcPr>
          <w:p>
            <w:pPr>
              <w:jc w:val="right"/>
              <w:ind w:right="209"/>
              <w:spacing w:after="0" w:line="140" w:lineRule="exact"/>
              <w:rPr>
                <w:sz w:val="20"/>
                <w:szCs w:val="20"/>
                <w:color w:val="auto"/>
              </w:rPr>
            </w:pPr>
            <w:r>
              <w:rPr>
                <w:rFonts w:ascii="Arial" w:cs="Arial" w:eastAsia="Arial" w:hAnsi="Arial"/>
                <w:sz w:val="13"/>
                <w:szCs w:val="13"/>
                <w:b w:val="1"/>
                <w:bCs w:val="1"/>
                <w:color w:val="FEFEFE"/>
              </w:rPr>
              <w:t>Disability</w:t>
            </w:r>
            <w:r>
              <w:rPr>
                <w:rFonts w:ascii="Arial" w:cs="Arial" w:eastAsia="Arial" w:hAnsi="Arial"/>
                <w:sz w:val="16"/>
                <w:szCs w:val="16"/>
                <w:b w:val="1"/>
                <w:bCs w:val="1"/>
                <w:color w:val="FEFEFE"/>
                <w:vertAlign w:val="superscript"/>
              </w:rPr>
              <w:t>(1)</w:t>
            </w:r>
          </w:p>
        </w:tc>
      </w:tr>
      <w:tr>
        <w:trPr>
          <w:trHeight w:val="135"/>
        </w:trPr>
        <w:tc>
          <w:tcPr>
            <w:tcW w:w="2880" w:type="dxa"/>
            <w:vAlign w:val="bottom"/>
            <w:shd w:val="clear" w:color="auto" w:fill="000000"/>
          </w:tcPr>
          <w:p>
            <w:pPr>
              <w:spacing w:after="0"/>
              <w:rPr>
                <w:sz w:val="11"/>
                <w:szCs w:val="11"/>
                <w:color w:val="auto"/>
              </w:rPr>
            </w:pPr>
          </w:p>
        </w:tc>
        <w:tc>
          <w:tcPr>
            <w:tcW w:w="2520" w:type="dxa"/>
            <w:vAlign w:val="bottom"/>
            <w:shd w:val="clear" w:color="auto" w:fill="000000"/>
          </w:tcPr>
          <w:p>
            <w:pPr>
              <w:spacing w:after="0"/>
              <w:rPr>
                <w:sz w:val="11"/>
                <w:szCs w:val="11"/>
                <w:color w:val="auto"/>
              </w:rPr>
            </w:pPr>
          </w:p>
        </w:tc>
        <w:tc>
          <w:tcPr>
            <w:tcW w:w="1540" w:type="dxa"/>
            <w:vAlign w:val="bottom"/>
            <w:gridSpan w:val="2"/>
            <w:shd w:val="clear" w:color="auto" w:fill="000000"/>
          </w:tcPr>
          <w:p>
            <w:pPr>
              <w:ind w:left="360"/>
              <w:spacing w:after="0" w:line="135" w:lineRule="exact"/>
              <w:rPr>
                <w:sz w:val="20"/>
                <w:szCs w:val="20"/>
                <w:color w:val="auto"/>
              </w:rPr>
            </w:pPr>
            <w:r>
              <w:rPr>
                <w:rFonts w:ascii="Arial" w:cs="Arial" w:eastAsia="Arial" w:hAnsi="Arial"/>
                <w:sz w:val="13"/>
                <w:szCs w:val="13"/>
                <w:b w:val="1"/>
                <w:bCs w:val="1"/>
                <w:color w:val="FEFEFE"/>
              </w:rPr>
              <w:t>Resignation for</w:t>
            </w:r>
          </w:p>
        </w:tc>
        <w:tc>
          <w:tcPr>
            <w:tcW w:w="1340" w:type="dxa"/>
            <w:vAlign w:val="bottom"/>
            <w:gridSpan w:val="2"/>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8"/>
              </w:rPr>
              <w:t>Resignation for</w:t>
            </w:r>
          </w:p>
        </w:tc>
        <w:tc>
          <w:tcPr>
            <w:tcW w:w="160" w:type="dxa"/>
            <w:vAlign w:val="bottom"/>
            <w:shd w:val="clear" w:color="auto" w:fill="000000"/>
          </w:tcPr>
          <w:p>
            <w:pPr>
              <w:spacing w:after="0"/>
              <w:rPr>
                <w:sz w:val="11"/>
                <w:szCs w:val="11"/>
                <w:color w:val="auto"/>
              </w:rPr>
            </w:pPr>
          </w:p>
        </w:tc>
        <w:tc>
          <w:tcPr>
            <w:tcW w:w="940" w:type="dxa"/>
            <w:vAlign w:val="bottom"/>
            <w:shd w:val="clear" w:color="auto" w:fill="000000"/>
          </w:tcPr>
          <w:p>
            <w:pPr>
              <w:spacing w:after="0"/>
              <w:rPr>
                <w:sz w:val="11"/>
                <w:szCs w:val="11"/>
                <w:color w:val="auto"/>
              </w:rPr>
            </w:pPr>
          </w:p>
        </w:tc>
      </w:tr>
      <w:tr>
        <w:trPr>
          <w:trHeight w:val="135"/>
        </w:trPr>
        <w:tc>
          <w:tcPr>
            <w:tcW w:w="2880" w:type="dxa"/>
            <w:vAlign w:val="bottom"/>
            <w:shd w:val="clear" w:color="auto" w:fill="000000"/>
          </w:tcPr>
          <w:p>
            <w:pPr>
              <w:spacing w:after="0"/>
              <w:rPr>
                <w:sz w:val="11"/>
                <w:szCs w:val="11"/>
                <w:color w:val="auto"/>
              </w:rPr>
            </w:pPr>
          </w:p>
        </w:tc>
        <w:tc>
          <w:tcPr>
            <w:tcW w:w="2520" w:type="dxa"/>
            <w:vAlign w:val="bottom"/>
            <w:shd w:val="clear" w:color="auto" w:fill="000000"/>
          </w:tcPr>
          <w:p>
            <w:pPr>
              <w:spacing w:after="0"/>
              <w:rPr>
                <w:sz w:val="11"/>
                <w:szCs w:val="11"/>
                <w:color w:val="auto"/>
              </w:rPr>
            </w:pPr>
          </w:p>
        </w:tc>
        <w:tc>
          <w:tcPr>
            <w:tcW w:w="1540" w:type="dxa"/>
            <w:vAlign w:val="bottom"/>
            <w:gridSpan w:val="2"/>
            <w:shd w:val="clear" w:color="auto" w:fill="000000"/>
          </w:tcPr>
          <w:p>
            <w:pPr>
              <w:jc w:val="center"/>
              <w:ind w:left="51"/>
              <w:spacing w:after="0" w:line="135" w:lineRule="exact"/>
              <w:rPr>
                <w:sz w:val="20"/>
                <w:szCs w:val="20"/>
                <w:color w:val="auto"/>
              </w:rPr>
            </w:pPr>
            <w:r>
              <w:rPr>
                <w:rFonts w:ascii="Arial" w:cs="Arial" w:eastAsia="Arial" w:hAnsi="Arial"/>
                <w:sz w:val="13"/>
                <w:szCs w:val="13"/>
                <w:b w:val="1"/>
                <w:bCs w:val="1"/>
                <w:color w:val="FEFEFE"/>
                <w:w w:val="96"/>
              </w:rPr>
              <w:t>Good Reason Other</w:t>
            </w:r>
          </w:p>
        </w:tc>
        <w:tc>
          <w:tcPr>
            <w:tcW w:w="1340" w:type="dxa"/>
            <w:vAlign w:val="bottom"/>
            <w:gridSpan w:val="2"/>
            <w:shd w:val="clear" w:color="auto" w:fill="000000"/>
          </w:tcPr>
          <w:p>
            <w:pPr>
              <w:ind w:left="160"/>
              <w:spacing w:after="0" w:line="135" w:lineRule="exact"/>
              <w:rPr>
                <w:sz w:val="20"/>
                <w:szCs w:val="20"/>
                <w:color w:val="auto"/>
              </w:rPr>
            </w:pPr>
            <w:r>
              <w:rPr>
                <w:rFonts w:ascii="Arial" w:cs="Arial" w:eastAsia="Arial" w:hAnsi="Arial"/>
                <w:sz w:val="13"/>
                <w:szCs w:val="13"/>
                <w:b w:val="1"/>
                <w:bCs w:val="1"/>
                <w:color w:val="FEFEFE"/>
              </w:rPr>
              <w:t>Good Reason in</w:t>
            </w:r>
          </w:p>
        </w:tc>
        <w:tc>
          <w:tcPr>
            <w:tcW w:w="160" w:type="dxa"/>
            <w:vAlign w:val="bottom"/>
            <w:shd w:val="clear" w:color="auto" w:fill="000000"/>
          </w:tcPr>
          <w:p>
            <w:pPr>
              <w:spacing w:after="0"/>
              <w:rPr>
                <w:sz w:val="11"/>
                <w:szCs w:val="11"/>
                <w:color w:val="auto"/>
              </w:rPr>
            </w:pPr>
          </w:p>
        </w:tc>
        <w:tc>
          <w:tcPr>
            <w:tcW w:w="940" w:type="dxa"/>
            <w:vAlign w:val="bottom"/>
            <w:shd w:val="clear" w:color="auto" w:fill="000000"/>
          </w:tcPr>
          <w:p>
            <w:pPr>
              <w:spacing w:after="0"/>
              <w:rPr>
                <w:sz w:val="11"/>
                <w:szCs w:val="11"/>
                <w:color w:val="auto"/>
              </w:rPr>
            </w:pPr>
          </w:p>
        </w:tc>
      </w:tr>
      <w:tr>
        <w:trPr>
          <w:trHeight w:val="135"/>
        </w:trPr>
        <w:tc>
          <w:tcPr>
            <w:tcW w:w="2880" w:type="dxa"/>
            <w:vAlign w:val="bottom"/>
            <w:shd w:val="clear" w:color="auto" w:fill="000000"/>
          </w:tcPr>
          <w:p>
            <w:pPr>
              <w:spacing w:after="0"/>
              <w:rPr>
                <w:sz w:val="11"/>
                <w:szCs w:val="11"/>
                <w:color w:val="auto"/>
              </w:rPr>
            </w:pPr>
          </w:p>
        </w:tc>
        <w:tc>
          <w:tcPr>
            <w:tcW w:w="2520" w:type="dxa"/>
            <w:vAlign w:val="bottom"/>
            <w:shd w:val="clear" w:color="auto" w:fill="000000"/>
          </w:tcPr>
          <w:p>
            <w:pPr>
              <w:spacing w:after="0"/>
              <w:rPr>
                <w:sz w:val="11"/>
                <w:szCs w:val="11"/>
                <w:color w:val="auto"/>
              </w:rPr>
            </w:pPr>
          </w:p>
        </w:tc>
        <w:tc>
          <w:tcPr>
            <w:tcW w:w="1540" w:type="dxa"/>
            <w:vAlign w:val="bottom"/>
            <w:gridSpan w:val="2"/>
            <w:shd w:val="clear" w:color="auto" w:fill="000000"/>
          </w:tcPr>
          <w:p>
            <w:pPr>
              <w:ind w:left="360"/>
              <w:spacing w:after="0" w:line="135" w:lineRule="exact"/>
              <w:rPr>
                <w:sz w:val="20"/>
                <w:szCs w:val="20"/>
                <w:color w:val="auto"/>
              </w:rPr>
            </w:pPr>
            <w:r>
              <w:rPr>
                <w:rFonts w:ascii="Arial" w:cs="Arial" w:eastAsia="Arial" w:hAnsi="Arial"/>
                <w:sz w:val="13"/>
                <w:szCs w:val="13"/>
                <w:b w:val="1"/>
                <w:bCs w:val="1"/>
                <w:color w:val="FEFEFE"/>
              </w:rPr>
              <w:t>than Change in</w:t>
            </w:r>
          </w:p>
        </w:tc>
        <w:tc>
          <w:tcPr>
            <w:tcW w:w="1340" w:type="dxa"/>
            <w:vAlign w:val="bottom"/>
            <w:gridSpan w:val="2"/>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8"/>
              </w:rPr>
              <w:t>Connection with a</w:t>
            </w:r>
          </w:p>
        </w:tc>
        <w:tc>
          <w:tcPr>
            <w:tcW w:w="160" w:type="dxa"/>
            <w:vAlign w:val="bottom"/>
            <w:shd w:val="clear" w:color="auto" w:fill="000000"/>
          </w:tcPr>
          <w:p>
            <w:pPr>
              <w:spacing w:after="0"/>
              <w:rPr>
                <w:sz w:val="11"/>
                <w:szCs w:val="11"/>
                <w:color w:val="auto"/>
              </w:rPr>
            </w:pPr>
          </w:p>
        </w:tc>
        <w:tc>
          <w:tcPr>
            <w:tcW w:w="940" w:type="dxa"/>
            <w:vAlign w:val="bottom"/>
            <w:shd w:val="clear" w:color="auto" w:fill="000000"/>
          </w:tcPr>
          <w:p>
            <w:pPr>
              <w:spacing w:after="0"/>
              <w:rPr>
                <w:sz w:val="11"/>
                <w:szCs w:val="11"/>
                <w:color w:val="auto"/>
              </w:rPr>
            </w:pPr>
          </w:p>
        </w:tc>
      </w:tr>
      <w:tr>
        <w:trPr>
          <w:trHeight w:val="168"/>
        </w:trPr>
        <w:tc>
          <w:tcPr>
            <w:tcW w:w="2880" w:type="dxa"/>
            <w:vAlign w:val="bottom"/>
            <w:shd w:val="clear" w:color="auto" w:fill="000000"/>
          </w:tcPr>
          <w:p>
            <w:pPr>
              <w:spacing w:after="0"/>
              <w:rPr>
                <w:sz w:val="14"/>
                <w:szCs w:val="14"/>
                <w:color w:val="auto"/>
              </w:rPr>
            </w:pPr>
          </w:p>
        </w:tc>
        <w:tc>
          <w:tcPr>
            <w:tcW w:w="2520" w:type="dxa"/>
            <w:vAlign w:val="bottom"/>
            <w:shd w:val="clear" w:color="auto" w:fill="000000"/>
          </w:tcPr>
          <w:p>
            <w:pPr>
              <w:spacing w:after="0"/>
              <w:rPr>
                <w:sz w:val="14"/>
                <w:szCs w:val="14"/>
                <w:color w:val="auto"/>
              </w:rPr>
            </w:pPr>
          </w:p>
        </w:tc>
        <w:tc>
          <w:tcPr>
            <w:tcW w:w="460" w:type="dxa"/>
            <w:vAlign w:val="bottom"/>
            <w:shd w:val="clear" w:color="auto" w:fill="000000"/>
          </w:tcPr>
          <w:p>
            <w:pPr>
              <w:spacing w:after="0"/>
              <w:rPr>
                <w:sz w:val="14"/>
                <w:szCs w:val="14"/>
                <w:color w:val="auto"/>
              </w:rPr>
            </w:pPr>
          </w:p>
        </w:tc>
        <w:tc>
          <w:tcPr>
            <w:tcW w:w="1080" w:type="dxa"/>
            <w:vAlign w:val="bottom"/>
            <w:shd w:val="clear" w:color="auto" w:fill="000000"/>
          </w:tcPr>
          <w:p>
            <w:pPr>
              <w:jc w:val="center"/>
              <w:ind w:right="291"/>
              <w:spacing w:after="0"/>
              <w:rPr>
                <w:sz w:val="20"/>
                <w:szCs w:val="20"/>
                <w:color w:val="auto"/>
              </w:rPr>
            </w:pPr>
            <w:r>
              <w:rPr>
                <w:rFonts w:ascii="Arial" w:cs="Arial" w:eastAsia="Arial" w:hAnsi="Arial"/>
                <w:sz w:val="13"/>
                <w:szCs w:val="13"/>
                <w:b w:val="1"/>
                <w:bCs w:val="1"/>
                <w:color w:val="FEFEFE"/>
                <w:w w:val="95"/>
              </w:rPr>
              <w:t>Control</w:t>
            </w:r>
          </w:p>
        </w:tc>
        <w:tc>
          <w:tcPr>
            <w:tcW w:w="1340" w:type="dxa"/>
            <w:vAlign w:val="bottom"/>
            <w:gridSpan w:val="2"/>
            <w:shd w:val="clear" w:color="auto" w:fill="000000"/>
          </w:tcPr>
          <w:p>
            <w:pPr>
              <w:jc w:val="center"/>
              <w:spacing w:after="0"/>
              <w:rPr>
                <w:sz w:val="20"/>
                <w:szCs w:val="20"/>
                <w:color w:val="auto"/>
              </w:rPr>
            </w:pPr>
            <w:r>
              <w:rPr>
                <w:rFonts w:ascii="Arial" w:cs="Arial" w:eastAsia="Arial" w:hAnsi="Arial"/>
                <w:sz w:val="13"/>
                <w:szCs w:val="13"/>
                <w:b w:val="1"/>
                <w:bCs w:val="1"/>
                <w:color w:val="FEFEFE"/>
                <w:w w:val="97"/>
              </w:rPr>
              <w:t>Change in Control</w:t>
            </w:r>
          </w:p>
        </w:tc>
        <w:tc>
          <w:tcPr>
            <w:tcW w:w="160" w:type="dxa"/>
            <w:vAlign w:val="bottom"/>
            <w:shd w:val="clear" w:color="auto" w:fill="000000"/>
          </w:tcPr>
          <w:p>
            <w:pPr>
              <w:spacing w:after="0"/>
              <w:rPr>
                <w:sz w:val="14"/>
                <w:szCs w:val="14"/>
                <w:color w:val="auto"/>
              </w:rPr>
            </w:pPr>
          </w:p>
        </w:tc>
        <w:tc>
          <w:tcPr>
            <w:tcW w:w="940" w:type="dxa"/>
            <w:vAlign w:val="bottom"/>
            <w:shd w:val="clear" w:color="auto" w:fill="000000"/>
          </w:tcPr>
          <w:p>
            <w:pPr>
              <w:spacing w:after="0"/>
              <w:rPr>
                <w:sz w:val="14"/>
                <w:szCs w:val="14"/>
                <w:color w:val="auto"/>
              </w:rPr>
            </w:pPr>
          </w:p>
        </w:tc>
      </w:tr>
      <w:tr>
        <w:trPr>
          <w:trHeight w:val="124"/>
        </w:trPr>
        <w:tc>
          <w:tcPr>
            <w:tcW w:w="2880" w:type="dxa"/>
            <w:vAlign w:val="bottom"/>
            <w:shd w:val="clear" w:color="auto" w:fill="000000"/>
          </w:tcPr>
          <w:p>
            <w:pPr>
              <w:spacing w:after="0"/>
              <w:rPr>
                <w:sz w:val="10"/>
                <w:szCs w:val="10"/>
                <w:color w:val="auto"/>
              </w:rPr>
            </w:pPr>
          </w:p>
        </w:tc>
        <w:tc>
          <w:tcPr>
            <w:tcW w:w="2520" w:type="dxa"/>
            <w:vAlign w:val="bottom"/>
            <w:shd w:val="clear" w:color="auto" w:fill="000000"/>
          </w:tcPr>
          <w:p>
            <w:pPr>
              <w:spacing w:after="0"/>
              <w:rPr>
                <w:sz w:val="10"/>
                <w:szCs w:val="10"/>
                <w:color w:val="auto"/>
              </w:rPr>
            </w:pPr>
          </w:p>
        </w:tc>
        <w:tc>
          <w:tcPr>
            <w:tcW w:w="460" w:type="dxa"/>
            <w:vAlign w:val="bottom"/>
            <w:shd w:val="clear" w:color="auto" w:fill="000000"/>
          </w:tcPr>
          <w:p>
            <w:pPr>
              <w:spacing w:after="0"/>
              <w:rPr>
                <w:sz w:val="10"/>
                <w:szCs w:val="10"/>
                <w:color w:val="auto"/>
              </w:rPr>
            </w:pPr>
          </w:p>
        </w:tc>
        <w:tc>
          <w:tcPr>
            <w:tcW w:w="1080" w:type="dxa"/>
            <w:vAlign w:val="bottom"/>
            <w:shd w:val="clear" w:color="auto" w:fill="000000"/>
          </w:tcPr>
          <w:p>
            <w:pPr>
              <w:spacing w:after="0"/>
              <w:rPr>
                <w:sz w:val="10"/>
                <w:szCs w:val="10"/>
                <w:color w:val="auto"/>
              </w:rPr>
            </w:pPr>
          </w:p>
        </w:tc>
        <w:tc>
          <w:tcPr>
            <w:tcW w:w="260" w:type="dxa"/>
            <w:vAlign w:val="bottom"/>
            <w:shd w:val="clear" w:color="auto" w:fill="000000"/>
          </w:tcPr>
          <w:p>
            <w:pPr>
              <w:spacing w:after="0"/>
              <w:rPr>
                <w:sz w:val="10"/>
                <w:szCs w:val="10"/>
                <w:color w:val="auto"/>
              </w:rPr>
            </w:pPr>
          </w:p>
        </w:tc>
        <w:tc>
          <w:tcPr>
            <w:tcW w:w="1080" w:type="dxa"/>
            <w:vAlign w:val="bottom"/>
            <w:shd w:val="clear" w:color="auto" w:fill="000000"/>
          </w:tcPr>
          <w:p>
            <w:pPr>
              <w:spacing w:after="0"/>
              <w:rPr>
                <w:sz w:val="10"/>
                <w:szCs w:val="10"/>
                <w:color w:val="auto"/>
              </w:rPr>
            </w:pPr>
          </w:p>
        </w:tc>
        <w:tc>
          <w:tcPr>
            <w:tcW w:w="160" w:type="dxa"/>
            <w:vAlign w:val="bottom"/>
            <w:shd w:val="clear" w:color="auto" w:fill="000000"/>
          </w:tcPr>
          <w:p>
            <w:pPr>
              <w:spacing w:after="0"/>
              <w:rPr>
                <w:sz w:val="10"/>
                <w:szCs w:val="10"/>
                <w:color w:val="auto"/>
              </w:rPr>
            </w:pPr>
          </w:p>
        </w:tc>
        <w:tc>
          <w:tcPr>
            <w:tcW w:w="940" w:type="dxa"/>
            <w:vAlign w:val="bottom"/>
            <w:shd w:val="clear" w:color="auto" w:fill="000000"/>
          </w:tcPr>
          <w:p>
            <w:pPr>
              <w:spacing w:after="0"/>
              <w:rPr>
                <w:sz w:val="10"/>
                <w:szCs w:val="10"/>
                <w:color w:val="auto"/>
              </w:rPr>
            </w:pPr>
          </w:p>
        </w:tc>
      </w:tr>
      <w:tr>
        <w:trPr>
          <w:trHeight w:val="325"/>
        </w:trPr>
        <w:tc>
          <w:tcPr>
            <w:tcW w:w="2880" w:type="dxa"/>
            <w:vAlign w:val="bottom"/>
          </w:tcPr>
          <w:p>
            <w:pPr>
              <w:ind w:left="140"/>
              <w:spacing w:after="0"/>
              <w:rPr>
                <w:sz w:val="20"/>
                <w:szCs w:val="20"/>
                <w:color w:val="auto"/>
              </w:rPr>
            </w:pPr>
            <w:r>
              <w:rPr>
                <w:rFonts w:ascii="Arial" w:cs="Arial" w:eastAsia="Arial" w:hAnsi="Arial"/>
                <w:sz w:val="14"/>
                <w:szCs w:val="14"/>
                <w:color w:val="auto"/>
              </w:rPr>
              <w:t>Peter Rawlinson</w:t>
            </w:r>
          </w:p>
        </w:tc>
        <w:tc>
          <w:tcPr>
            <w:tcW w:w="2520" w:type="dxa"/>
            <w:vAlign w:val="bottom"/>
          </w:tcPr>
          <w:p>
            <w:pPr>
              <w:ind w:left="120"/>
              <w:spacing w:after="0"/>
              <w:rPr>
                <w:sz w:val="20"/>
                <w:szCs w:val="20"/>
                <w:color w:val="auto"/>
              </w:rPr>
            </w:pPr>
            <w:r>
              <w:rPr>
                <w:rFonts w:ascii="Arial" w:cs="Arial" w:eastAsia="Arial" w:hAnsi="Arial"/>
                <w:sz w:val="14"/>
                <w:szCs w:val="14"/>
                <w:color w:val="auto"/>
              </w:rPr>
              <w:t>Cash severance</w:t>
            </w:r>
          </w:p>
        </w:tc>
        <w:tc>
          <w:tcPr>
            <w:tcW w:w="460" w:type="dxa"/>
            <w:vAlign w:val="bottom"/>
          </w:tcPr>
          <w:p>
            <w:pPr>
              <w:ind w:left="380"/>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211"/>
              <w:spacing w:after="0"/>
              <w:rPr>
                <w:sz w:val="20"/>
                <w:szCs w:val="20"/>
                <w:color w:val="auto"/>
              </w:rPr>
            </w:pPr>
            <w:r>
              <w:rPr>
                <w:rFonts w:ascii="Arial" w:cs="Arial" w:eastAsia="Arial" w:hAnsi="Arial"/>
                <w:sz w:val="14"/>
                <w:szCs w:val="14"/>
                <w:color w:val="auto"/>
              </w:rPr>
              <w:t>575,000</w:t>
            </w:r>
          </w:p>
        </w:tc>
        <w:tc>
          <w:tcPr>
            <w:tcW w:w="260" w:type="dxa"/>
            <w:vAlign w:val="bottom"/>
          </w:tcPr>
          <w:p>
            <w:pPr>
              <w:ind w:left="1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862,500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9"/>
              <w:spacing w:after="0"/>
              <w:rPr>
                <w:sz w:val="20"/>
                <w:szCs w:val="20"/>
                <w:color w:val="auto"/>
              </w:rPr>
            </w:pPr>
            <w:r>
              <w:rPr>
                <w:rFonts w:ascii="Arial" w:cs="Arial" w:eastAsia="Arial" w:hAnsi="Arial"/>
                <w:sz w:val="14"/>
                <w:szCs w:val="14"/>
                <w:color w:val="auto"/>
              </w:rPr>
              <w:t>—</w:t>
            </w:r>
          </w:p>
        </w:tc>
      </w:tr>
      <w:tr>
        <w:trPr>
          <w:trHeight w:val="107"/>
        </w:trPr>
        <w:tc>
          <w:tcPr>
            <w:tcW w:w="2880" w:type="dxa"/>
            <w:vAlign w:val="bottom"/>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r>
      <w:tr>
        <w:trPr>
          <w:trHeight w:val="361"/>
        </w:trPr>
        <w:tc>
          <w:tcPr>
            <w:tcW w:w="2880" w:type="dxa"/>
            <w:vAlign w:val="bottom"/>
          </w:tcPr>
          <w:p>
            <w:pPr>
              <w:spacing w:after="0"/>
              <w:rPr>
                <w:sz w:val="24"/>
                <w:szCs w:val="24"/>
                <w:color w:val="auto"/>
              </w:rPr>
            </w:pPr>
          </w:p>
        </w:tc>
        <w:tc>
          <w:tcPr>
            <w:tcW w:w="2520" w:type="dxa"/>
            <w:vAlign w:val="bottom"/>
          </w:tcPr>
          <w:p>
            <w:pPr>
              <w:ind w:left="120"/>
              <w:spacing w:after="0"/>
              <w:rPr>
                <w:sz w:val="20"/>
                <w:szCs w:val="20"/>
                <w:color w:val="auto"/>
              </w:rPr>
            </w:pPr>
            <w:r>
              <w:rPr>
                <w:rFonts w:ascii="Arial" w:cs="Arial" w:eastAsia="Arial" w:hAnsi="Arial"/>
                <w:sz w:val="14"/>
                <w:szCs w:val="14"/>
                <w:color w:val="auto"/>
              </w:rPr>
              <w:t>Accelerated Vesting of Equity Awards</w:t>
            </w:r>
          </w:p>
        </w:tc>
        <w:tc>
          <w:tcPr>
            <w:tcW w:w="460" w:type="dxa"/>
            <w:vAlign w:val="bottom"/>
          </w:tcPr>
          <w:p>
            <w:pPr>
              <w:spacing w:after="0"/>
              <w:rPr>
                <w:sz w:val="24"/>
                <w:szCs w:val="24"/>
                <w:color w:val="auto"/>
              </w:rPr>
            </w:pPr>
          </w:p>
        </w:tc>
        <w:tc>
          <w:tcPr>
            <w:tcW w:w="1080" w:type="dxa"/>
            <w:vAlign w:val="bottom"/>
          </w:tcPr>
          <w:p>
            <w:pPr>
              <w:jc w:val="right"/>
              <w:ind w:right="91"/>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9"/>
                <w:szCs w:val="9"/>
                <w:color w:val="auto"/>
              </w:rPr>
              <w:t>(2)</w:t>
            </w:r>
          </w:p>
        </w:tc>
        <w:tc>
          <w:tcPr>
            <w:tcW w:w="260" w:type="dxa"/>
            <w:vAlign w:val="bottom"/>
          </w:tcPr>
          <w:p>
            <w:pPr>
              <w:spacing w:after="0"/>
              <w:rPr>
                <w:sz w:val="24"/>
                <w:szCs w:val="24"/>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493,511,468</w:t>
            </w:r>
            <w:r>
              <w:rPr>
                <w:rFonts w:ascii="Arial" w:cs="Arial" w:eastAsia="Arial" w:hAnsi="Arial"/>
                <w:sz w:val="17"/>
                <w:szCs w:val="17"/>
                <w:color w:val="auto"/>
                <w:vertAlign w:val="superscript"/>
              </w:rPr>
              <w:t>(3)</w:t>
            </w:r>
          </w:p>
        </w:tc>
        <w:tc>
          <w:tcPr>
            <w:tcW w:w="160" w:type="dxa"/>
            <w:vAlign w:val="bottom"/>
          </w:tcPr>
          <w:p>
            <w:pPr>
              <w:spacing w:after="0"/>
              <w:rPr>
                <w:sz w:val="24"/>
                <w:szCs w:val="24"/>
                <w:color w:val="auto"/>
              </w:rPr>
            </w:pPr>
          </w:p>
        </w:tc>
        <w:tc>
          <w:tcPr>
            <w:tcW w:w="940" w:type="dxa"/>
            <w:vAlign w:val="bottom"/>
          </w:tcPr>
          <w:p>
            <w:pPr>
              <w:jc w:val="right"/>
              <w:ind w:right="129"/>
              <w:spacing w:after="0"/>
              <w:rPr>
                <w:sz w:val="20"/>
                <w:szCs w:val="20"/>
                <w:color w:val="auto"/>
              </w:rPr>
            </w:pPr>
            <w:r>
              <w:rPr>
                <w:rFonts w:ascii="Arial" w:cs="Arial" w:eastAsia="Arial" w:hAnsi="Arial"/>
                <w:sz w:val="14"/>
                <w:szCs w:val="14"/>
                <w:color w:val="auto"/>
              </w:rPr>
              <w:t>—</w:t>
            </w:r>
          </w:p>
        </w:tc>
      </w:tr>
      <w:tr>
        <w:trPr>
          <w:trHeight w:val="37"/>
        </w:trPr>
        <w:tc>
          <w:tcPr>
            <w:tcW w:w="2880" w:type="dxa"/>
            <w:vAlign w:val="bottom"/>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92"/>
        </w:trPr>
        <w:tc>
          <w:tcPr>
            <w:tcW w:w="2880" w:type="dxa"/>
            <w:vAlign w:val="bottom"/>
          </w:tcPr>
          <w:p>
            <w:pPr>
              <w:spacing w:after="0"/>
              <w:rPr>
                <w:sz w:val="24"/>
                <w:szCs w:val="24"/>
                <w:color w:val="auto"/>
              </w:rPr>
            </w:pPr>
          </w:p>
        </w:tc>
        <w:tc>
          <w:tcPr>
            <w:tcW w:w="2520" w:type="dxa"/>
            <w:vAlign w:val="bottom"/>
          </w:tcPr>
          <w:p>
            <w:pPr>
              <w:ind w:left="120"/>
              <w:spacing w:after="0"/>
              <w:rPr>
                <w:sz w:val="20"/>
                <w:szCs w:val="20"/>
                <w:color w:val="auto"/>
              </w:rPr>
            </w:pPr>
            <w:r>
              <w:rPr>
                <w:rFonts w:ascii="Arial" w:cs="Arial" w:eastAsia="Arial" w:hAnsi="Arial"/>
                <w:sz w:val="14"/>
                <w:szCs w:val="14"/>
                <w:color w:val="auto"/>
              </w:rPr>
              <w:t>Health Benefits</w:t>
            </w:r>
          </w:p>
        </w:tc>
        <w:tc>
          <w:tcPr>
            <w:tcW w:w="460" w:type="dxa"/>
            <w:vAlign w:val="bottom"/>
          </w:tcPr>
          <w:p>
            <w:pPr>
              <w:spacing w:after="0"/>
              <w:rPr>
                <w:sz w:val="24"/>
                <w:szCs w:val="24"/>
                <w:color w:val="auto"/>
              </w:rPr>
            </w:pPr>
          </w:p>
        </w:tc>
        <w:tc>
          <w:tcPr>
            <w:tcW w:w="1080" w:type="dxa"/>
            <w:vAlign w:val="bottom"/>
          </w:tcPr>
          <w:p>
            <w:pPr>
              <w:jc w:val="right"/>
              <w:ind w:right="211"/>
              <w:spacing w:after="0"/>
              <w:rPr>
                <w:sz w:val="20"/>
                <w:szCs w:val="20"/>
                <w:color w:val="auto"/>
              </w:rPr>
            </w:pPr>
            <w:r>
              <w:rPr>
                <w:rFonts w:ascii="Arial" w:cs="Arial" w:eastAsia="Arial" w:hAnsi="Arial"/>
                <w:sz w:val="14"/>
                <w:szCs w:val="14"/>
                <w:color w:val="auto"/>
              </w:rPr>
              <w:t>9,792</w:t>
            </w:r>
          </w:p>
        </w:tc>
        <w:tc>
          <w:tcPr>
            <w:tcW w:w="260" w:type="dxa"/>
            <w:vAlign w:val="bottom"/>
          </w:tcPr>
          <w:p>
            <w:pPr>
              <w:spacing w:after="0"/>
              <w:rPr>
                <w:sz w:val="24"/>
                <w:szCs w:val="24"/>
                <w:color w:val="auto"/>
              </w:rPr>
            </w:pP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14,688</w:t>
            </w:r>
          </w:p>
        </w:tc>
        <w:tc>
          <w:tcPr>
            <w:tcW w:w="160" w:type="dxa"/>
            <w:vAlign w:val="bottom"/>
          </w:tcPr>
          <w:p>
            <w:pPr>
              <w:spacing w:after="0"/>
              <w:rPr>
                <w:sz w:val="24"/>
                <w:szCs w:val="24"/>
                <w:color w:val="auto"/>
              </w:rPr>
            </w:pPr>
          </w:p>
        </w:tc>
        <w:tc>
          <w:tcPr>
            <w:tcW w:w="940" w:type="dxa"/>
            <w:vAlign w:val="bottom"/>
          </w:tcPr>
          <w:p>
            <w:pPr>
              <w:jc w:val="right"/>
              <w:ind w:right="129"/>
              <w:spacing w:after="0"/>
              <w:rPr>
                <w:sz w:val="20"/>
                <w:szCs w:val="20"/>
                <w:color w:val="auto"/>
              </w:rPr>
            </w:pPr>
            <w:r>
              <w:rPr>
                <w:rFonts w:ascii="Arial" w:cs="Arial" w:eastAsia="Arial" w:hAnsi="Arial"/>
                <w:sz w:val="14"/>
                <w:szCs w:val="14"/>
                <w:color w:val="auto"/>
              </w:rPr>
              <w:t>—</w:t>
            </w:r>
          </w:p>
        </w:tc>
      </w:tr>
      <w:tr>
        <w:trPr>
          <w:trHeight w:val="107"/>
        </w:trPr>
        <w:tc>
          <w:tcPr>
            <w:tcW w:w="2880" w:type="dxa"/>
            <w:vAlign w:val="bottom"/>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r>
      <w:tr>
        <w:trPr>
          <w:trHeight w:val="331"/>
        </w:trPr>
        <w:tc>
          <w:tcPr>
            <w:tcW w:w="2880" w:type="dxa"/>
            <w:vAlign w:val="bottom"/>
          </w:tcPr>
          <w:p>
            <w:pPr>
              <w:spacing w:after="0"/>
              <w:rPr>
                <w:sz w:val="24"/>
                <w:szCs w:val="24"/>
                <w:color w:val="auto"/>
              </w:rPr>
            </w:pPr>
          </w:p>
        </w:tc>
        <w:tc>
          <w:tcPr>
            <w:tcW w:w="2520" w:type="dxa"/>
            <w:vAlign w:val="bottom"/>
          </w:tcPr>
          <w:p>
            <w:pPr>
              <w:ind w:left="120"/>
              <w:spacing w:after="0"/>
              <w:rPr>
                <w:sz w:val="20"/>
                <w:szCs w:val="20"/>
                <w:color w:val="auto"/>
              </w:rPr>
            </w:pPr>
            <w:r>
              <w:rPr>
                <w:rFonts w:ascii="Arial" w:cs="Arial" w:eastAsia="Arial" w:hAnsi="Arial"/>
                <w:sz w:val="14"/>
                <w:szCs w:val="14"/>
                <w:color w:val="auto"/>
              </w:rPr>
              <w:t>Total</w:t>
            </w:r>
          </w:p>
        </w:tc>
        <w:tc>
          <w:tcPr>
            <w:tcW w:w="460" w:type="dxa"/>
            <w:vAlign w:val="bottom"/>
          </w:tcPr>
          <w:p>
            <w:pPr>
              <w:ind w:left="380"/>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91"/>
              <w:spacing w:after="0"/>
              <w:rPr>
                <w:sz w:val="20"/>
                <w:szCs w:val="20"/>
                <w:color w:val="auto"/>
              </w:rPr>
            </w:pPr>
            <w:r>
              <w:rPr>
                <w:rFonts w:ascii="Arial" w:cs="Arial" w:eastAsia="Arial" w:hAnsi="Arial"/>
                <w:sz w:val="14"/>
                <w:szCs w:val="14"/>
                <w:color w:val="auto"/>
              </w:rPr>
              <w:t>584,792</w:t>
            </w:r>
            <w:r>
              <w:rPr>
                <w:rFonts w:ascii="Arial" w:cs="Arial" w:eastAsia="Arial" w:hAnsi="Arial"/>
                <w:sz w:val="17"/>
                <w:szCs w:val="17"/>
                <w:color w:val="auto"/>
                <w:vertAlign w:val="superscript"/>
              </w:rPr>
              <w:t>(2)</w:t>
            </w:r>
          </w:p>
        </w:tc>
        <w:tc>
          <w:tcPr>
            <w:tcW w:w="260" w:type="dxa"/>
            <w:vAlign w:val="bottom"/>
          </w:tcPr>
          <w:p>
            <w:pPr>
              <w:ind w:left="1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494,388,656</w:t>
            </w:r>
            <w:r>
              <w:rPr>
                <w:rFonts w:ascii="Arial" w:cs="Arial" w:eastAsia="Arial" w:hAnsi="Arial"/>
                <w:sz w:val="17"/>
                <w:szCs w:val="17"/>
                <w:color w:val="auto"/>
                <w:vertAlign w:val="superscript"/>
              </w:rPr>
              <w:t>(3)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9"/>
              <w:spacing w:after="0"/>
              <w:rPr>
                <w:sz w:val="20"/>
                <w:szCs w:val="20"/>
                <w:color w:val="auto"/>
              </w:rPr>
            </w:pPr>
            <w:r>
              <w:rPr>
                <w:rFonts w:ascii="Arial" w:cs="Arial" w:eastAsia="Arial" w:hAnsi="Arial"/>
                <w:sz w:val="14"/>
                <w:szCs w:val="14"/>
                <w:color w:val="auto"/>
              </w:rPr>
              <w:t>—</w:t>
            </w:r>
          </w:p>
        </w:tc>
      </w:tr>
      <w:tr>
        <w:trPr>
          <w:trHeight w:val="68"/>
        </w:trPr>
        <w:tc>
          <w:tcPr>
            <w:tcW w:w="2880" w:type="dxa"/>
            <w:vAlign w:val="bottom"/>
            <w:tcBorders>
              <w:bottom w:val="single" w:sz="8" w:color="auto"/>
            </w:tcBorders>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305"/>
        </w:trPr>
        <w:tc>
          <w:tcPr>
            <w:tcW w:w="2880" w:type="dxa"/>
            <w:vAlign w:val="bottom"/>
            <w:shd w:val="clear" w:color="auto" w:fill="F7F7F7"/>
          </w:tcPr>
          <w:p>
            <w:pPr>
              <w:ind w:left="140"/>
              <w:spacing w:after="0"/>
              <w:rPr>
                <w:sz w:val="20"/>
                <w:szCs w:val="20"/>
                <w:color w:val="auto"/>
              </w:rPr>
            </w:pPr>
            <w:r>
              <w:rPr>
                <w:rFonts w:ascii="Arial" w:cs="Arial" w:eastAsia="Arial" w:hAnsi="Arial"/>
                <w:sz w:val="14"/>
                <w:szCs w:val="14"/>
                <w:color w:val="auto"/>
              </w:rPr>
              <w:t>Sherry House</w:t>
            </w:r>
          </w:p>
        </w:tc>
        <w:tc>
          <w:tcPr>
            <w:tcW w:w="2520" w:type="dxa"/>
            <w:vAlign w:val="bottom"/>
            <w:shd w:val="clear" w:color="auto" w:fill="F7F7F7"/>
          </w:tcPr>
          <w:p>
            <w:pPr>
              <w:ind w:left="120"/>
              <w:spacing w:after="0"/>
              <w:rPr>
                <w:sz w:val="20"/>
                <w:szCs w:val="20"/>
                <w:color w:val="auto"/>
              </w:rPr>
            </w:pPr>
            <w:r>
              <w:rPr>
                <w:rFonts w:ascii="Arial" w:cs="Arial" w:eastAsia="Arial" w:hAnsi="Arial"/>
                <w:sz w:val="14"/>
                <w:szCs w:val="14"/>
                <w:color w:val="auto"/>
              </w:rPr>
              <w:t>Cash Severance</w:t>
            </w:r>
          </w:p>
        </w:tc>
        <w:tc>
          <w:tcPr>
            <w:tcW w:w="460" w:type="dxa"/>
            <w:vAlign w:val="bottom"/>
            <w:shd w:val="clear" w:color="auto" w:fill="F7F7F7"/>
          </w:tcPr>
          <w:p>
            <w:pPr>
              <w:ind w:left="380"/>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F7F7F7"/>
          </w:tcPr>
          <w:p>
            <w:pPr>
              <w:jc w:val="right"/>
              <w:ind w:right="211"/>
              <w:spacing w:after="0"/>
              <w:rPr>
                <w:sz w:val="20"/>
                <w:szCs w:val="20"/>
                <w:color w:val="auto"/>
              </w:rPr>
            </w:pPr>
            <w:r>
              <w:rPr>
                <w:rFonts w:ascii="Arial" w:cs="Arial" w:eastAsia="Arial" w:hAnsi="Arial"/>
                <w:sz w:val="14"/>
                <w:szCs w:val="14"/>
                <w:color w:val="auto"/>
              </w:rPr>
              <w:t>333,333</w:t>
            </w:r>
          </w:p>
        </w:tc>
        <w:tc>
          <w:tcPr>
            <w:tcW w:w="260" w:type="dxa"/>
            <w:vAlign w:val="bottom"/>
            <w:shd w:val="clear" w:color="auto" w:fill="F7F7F7"/>
          </w:tcPr>
          <w:p>
            <w:pPr>
              <w:ind w:left="1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F7F7F7"/>
          </w:tcPr>
          <w:p>
            <w:pPr>
              <w:jc w:val="right"/>
              <w:ind w:right="149"/>
              <w:spacing w:after="0"/>
              <w:rPr>
                <w:sz w:val="20"/>
                <w:szCs w:val="20"/>
                <w:color w:val="auto"/>
              </w:rPr>
            </w:pPr>
            <w:r>
              <w:rPr>
                <w:rFonts w:ascii="Arial" w:cs="Arial" w:eastAsia="Arial" w:hAnsi="Arial"/>
                <w:sz w:val="14"/>
                <w:szCs w:val="14"/>
                <w:color w:val="auto"/>
              </w:rPr>
              <w:t>500,000</w:t>
            </w:r>
          </w:p>
        </w:tc>
        <w:tc>
          <w:tcPr>
            <w:tcW w:w="16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F7F7F7"/>
          </w:tcPr>
          <w:p>
            <w:pPr>
              <w:jc w:val="right"/>
              <w:ind w:right="129"/>
              <w:spacing w:after="0"/>
              <w:rPr>
                <w:sz w:val="20"/>
                <w:szCs w:val="20"/>
                <w:color w:val="auto"/>
              </w:rPr>
            </w:pPr>
            <w:r>
              <w:rPr>
                <w:rFonts w:ascii="Arial" w:cs="Arial" w:eastAsia="Arial" w:hAnsi="Arial"/>
                <w:sz w:val="14"/>
                <w:szCs w:val="14"/>
                <w:color w:val="auto"/>
              </w:rPr>
              <w:t>—</w:t>
            </w:r>
          </w:p>
        </w:tc>
      </w:tr>
      <w:tr>
        <w:trPr>
          <w:trHeight w:val="107"/>
        </w:trPr>
        <w:tc>
          <w:tcPr>
            <w:tcW w:w="2880" w:type="dxa"/>
            <w:vAlign w:val="bottom"/>
            <w:tcBorders>
              <w:bottom w:val="single" w:sz="8" w:color="F7F7F7"/>
            </w:tcBorders>
            <w:shd w:val="clear" w:color="auto" w:fill="F7F7F7"/>
          </w:tcPr>
          <w:p>
            <w:pPr>
              <w:spacing w:after="0"/>
              <w:rPr>
                <w:sz w:val="9"/>
                <w:szCs w:val="9"/>
                <w:color w:val="auto"/>
              </w:rPr>
            </w:pPr>
          </w:p>
        </w:tc>
        <w:tc>
          <w:tcPr>
            <w:tcW w:w="2520" w:type="dxa"/>
            <w:vAlign w:val="bottom"/>
            <w:tcBorders>
              <w:bottom w:val="single" w:sz="8" w:color="auto"/>
            </w:tcBorders>
            <w:shd w:val="clear" w:color="auto" w:fill="F7F7F7"/>
          </w:tcPr>
          <w:p>
            <w:pPr>
              <w:spacing w:after="0"/>
              <w:rPr>
                <w:sz w:val="9"/>
                <w:szCs w:val="9"/>
                <w:color w:val="auto"/>
              </w:rPr>
            </w:pPr>
          </w:p>
        </w:tc>
        <w:tc>
          <w:tcPr>
            <w:tcW w:w="460" w:type="dxa"/>
            <w:vAlign w:val="bottom"/>
            <w:tcBorders>
              <w:bottom w:val="single" w:sz="8" w:color="auto"/>
            </w:tcBorders>
            <w:shd w:val="clear" w:color="auto" w:fill="F7F7F7"/>
          </w:tcPr>
          <w:p>
            <w:pPr>
              <w:spacing w:after="0"/>
              <w:rPr>
                <w:sz w:val="9"/>
                <w:szCs w:val="9"/>
                <w:color w:val="auto"/>
              </w:rPr>
            </w:pPr>
          </w:p>
        </w:tc>
        <w:tc>
          <w:tcPr>
            <w:tcW w:w="1080" w:type="dxa"/>
            <w:vAlign w:val="bottom"/>
            <w:tcBorders>
              <w:bottom w:val="single" w:sz="8" w:color="auto"/>
            </w:tcBorders>
            <w:shd w:val="clear" w:color="auto" w:fill="F7F7F7"/>
          </w:tcPr>
          <w:p>
            <w:pPr>
              <w:spacing w:after="0"/>
              <w:rPr>
                <w:sz w:val="9"/>
                <w:szCs w:val="9"/>
                <w:color w:val="auto"/>
              </w:rPr>
            </w:pPr>
          </w:p>
        </w:tc>
        <w:tc>
          <w:tcPr>
            <w:tcW w:w="260" w:type="dxa"/>
            <w:vAlign w:val="bottom"/>
            <w:tcBorders>
              <w:bottom w:val="single" w:sz="8" w:color="auto"/>
            </w:tcBorders>
            <w:shd w:val="clear" w:color="auto" w:fill="F7F7F7"/>
          </w:tcPr>
          <w:p>
            <w:pPr>
              <w:spacing w:after="0"/>
              <w:rPr>
                <w:sz w:val="9"/>
                <w:szCs w:val="9"/>
                <w:color w:val="auto"/>
              </w:rPr>
            </w:pPr>
          </w:p>
        </w:tc>
        <w:tc>
          <w:tcPr>
            <w:tcW w:w="1080" w:type="dxa"/>
            <w:vAlign w:val="bottom"/>
            <w:tcBorders>
              <w:bottom w:val="single" w:sz="8" w:color="auto"/>
            </w:tcBorders>
            <w:shd w:val="clear" w:color="auto" w:fill="F7F7F7"/>
          </w:tcPr>
          <w:p>
            <w:pPr>
              <w:spacing w:after="0"/>
              <w:rPr>
                <w:sz w:val="9"/>
                <w:szCs w:val="9"/>
                <w:color w:val="auto"/>
              </w:rPr>
            </w:pPr>
          </w:p>
        </w:tc>
        <w:tc>
          <w:tcPr>
            <w:tcW w:w="160" w:type="dxa"/>
            <w:vAlign w:val="bottom"/>
            <w:tcBorders>
              <w:bottom w:val="single" w:sz="8" w:color="auto"/>
            </w:tcBorders>
            <w:shd w:val="clear" w:color="auto" w:fill="F7F7F7"/>
          </w:tcPr>
          <w:p>
            <w:pPr>
              <w:spacing w:after="0"/>
              <w:rPr>
                <w:sz w:val="9"/>
                <w:szCs w:val="9"/>
                <w:color w:val="auto"/>
              </w:rPr>
            </w:pPr>
          </w:p>
        </w:tc>
        <w:tc>
          <w:tcPr>
            <w:tcW w:w="940" w:type="dxa"/>
            <w:vAlign w:val="bottom"/>
            <w:tcBorders>
              <w:bottom w:val="single" w:sz="8" w:color="auto"/>
            </w:tcBorders>
            <w:shd w:val="clear" w:color="auto" w:fill="F7F7F7"/>
          </w:tcPr>
          <w:p>
            <w:pPr>
              <w:spacing w:after="0"/>
              <w:rPr>
                <w:sz w:val="9"/>
                <w:szCs w:val="9"/>
                <w:color w:val="auto"/>
              </w:rPr>
            </w:pPr>
          </w:p>
        </w:tc>
      </w:tr>
      <w:tr>
        <w:trPr>
          <w:trHeight w:val="292"/>
        </w:trPr>
        <w:tc>
          <w:tcPr>
            <w:tcW w:w="2880" w:type="dxa"/>
            <w:vAlign w:val="bottom"/>
            <w:shd w:val="clear" w:color="auto" w:fill="F7F7F7"/>
          </w:tcPr>
          <w:p>
            <w:pPr>
              <w:spacing w:after="0"/>
              <w:rPr>
                <w:sz w:val="24"/>
                <w:szCs w:val="24"/>
                <w:color w:val="auto"/>
              </w:rPr>
            </w:pPr>
          </w:p>
        </w:tc>
        <w:tc>
          <w:tcPr>
            <w:tcW w:w="2520" w:type="dxa"/>
            <w:vAlign w:val="bottom"/>
            <w:shd w:val="clear" w:color="auto" w:fill="F7F7F7"/>
          </w:tcPr>
          <w:p>
            <w:pPr>
              <w:ind w:left="120"/>
              <w:spacing w:after="0"/>
              <w:rPr>
                <w:sz w:val="20"/>
                <w:szCs w:val="20"/>
                <w:color w:val="auto"/>
              </w:rPr>
            </w:pPr>
            <w:r>
              <w:rPr>
                <w:rFonts w:ascii="Arial" w:cs="Arial" w:eastAsia="Arial" w:hAnsi="Arial"/>
                <w:sz w:val="14"/>
                <w:szCs w:val="14"/>
                <w:color w:val="auto"/>
              </w:rPr>
              <w:t>Accelerated Vesting of Equity Awards</w:t>
            </w:r>
          </w:p>
        </w:tc>
        <w:tc>
          <w:tcPr>
            <w:tcW w:w="460" w:type="dxa"/>
            <w:vAlign w:val="bottom"/>
            <w:shd w:val="clear" w:color="auto" w:fill="F7F7F7"/>
          </w:tcPr>
          <w:p>
            <w:pPr>
              <w:spacing w:after="0"/>
              <w:rPr>
                <w:sz w:val="24"/>
                <w:szCs w:val="24"/>
                <w:color w:val="auto"/>
              </w:rPr>
            </w:pPr>
          </w:p>
        </w:tc>
        <w:tc>
          <w:tcPr>
            <w:tcW w:w="1080" w:type="dxa"/>
            <w:vAlign w:val="bottom"/>
            <w:shd w:val="clear" w:color="auto" w:fill="F7F7F7"/>
          </w:tcPr>
          <w:p>
            <w:pPr>
              <w:jc w:val="right"/>
              <w:ind w:right="211"/>
              <w:spacing w:after="0"/>
              <w:rPr>
                <w:sz w:val="20"/>
                <w:szCs w:val="20"/>
                <w:color w:val="auto"/>
              </w:rPr>
            </w:pPr>
            <w:r>
              <w:rPr>
                <w:rFonts w:ascii="Arial" w:cs="Arial" w:eastAsia="Arial" w:hAnsi="Arial"/>
                <w:sz w:val="14"/>
                <w:szCs w:val="14"/>
                <w:color w:val="auto"/>
              </w:rPr>
              <w:t>7,545,315</w:t>
            </w:r>
          </w:p>
        </w:tc>
        <w:tc>
          <w:tcPr>
            <w:tcW w:w="260" w:type="dxa"/>
            <w:vAlign w:val="bottom"/>
            <w:shd w:val="clear" w:color="auto" w:fill="F7F7F7"/>
          </w:tcPr>
          <w:p>
            <w:pPr>
              <w:spacing w:after="0"/>
              <w:rPr>
                <w:sz w:val="24"/>
                <w:szCs w:val="24"/>
                <w:color w:val="auto"/>
              </w:rPr>
            </w:pPr>
          </w:p>
        </w:tc>
        <w:tc>
          <w:tcPr>
            <w:tcW w:w="1080" w:type="dxa"/>
            <w:vAlign w:val="bottom"/>
            <w:shd w:val="clear" w:color="auto" w:fill="F7F7F7"/>
          </w:tcPr>
          <w:p>
            <w:pPr>
              <w:jc w:val="right"/>
              <w:ind w:right="149"/>
              <w:spacing w:after="0"/>
              <w:rPr>
                <w:sz w:val="20"/>
                <w:szCs w:val="20"/>
                <w:color w:val="auto"/>
              </w:rPr>
            </w:pPr>
            <w:r>
              <w:rPr>
                <w:rFonts w:ascii="Arial" w:cs="Arial" w:eastAsia="Arial" w:hAnsi="Arial"/>
                <w:sz w:val="14"/>
                <w:szCs w:val="14"/>
                <w:color w:val="auto"/>
              </w:rPr>
              <w:t>25,151,050</w:t>
            </w:r>
          </w:p>
        </w:tc>
        <w:tc>
          <w:tcPr>
            <w:tcW w:w="160" w:type="dxa"/>
            <w:vAlign w:val="bottom"/>
            <w:shd w:val="clear" w:color="auto" w:fill="F7F7F7"/>
          </w:tcPr>
          <w:p>
            <w:pPr>
              <w:spacing w:after="0"/>
              <w:rPr>
                <w:sz w:val="24"/>
                <w:szCs w:val="24"/>
                <w:color w:val="auto"/>
              </w:rPr>
            </w:pPr>
          </w:p>
        </w:tc>
        <w:tc>
          <w:tcPr>
            <w:tcW w:w="940" w:type="dxa"/>
            <w:vAlign w:val="bottom"/>
            <w:shd w:val="clear" w:color="auto" w:fill="F7F7F7"/>
          </w:tcPr>
          <w:p>
            <w:pPr>
              <w:jc w:val="right"/>
              <w:ind w:right="129"/>
              <w:spacing w:after="0"/>
              <w:rPr>
                <w:sz w:val="20"/>
                <w:szCs w:val="20"/>
                <w:color w:val="auto"/>
              </w:rPr>
            </w:pPr>
            <w:r>
              <w:rPr>
                <w:rFonts w:ascii="Arial" w:cs="Arial" w:eastAsia="Arial" w:hAnsi="Arial"/>
                <w:sz w:val="14"/>
                <w:szCs w:val="14"/>
                <w:color w:val="auto"/>
              </w:rPr>
              <w:t>25,151,050</w:t>
            </w:r>
          </w:p>
        </w:tc>
      </w:tr>
      <w:tr>
        <w:trPr>
          <w:trHeight w:val="107"/>
        </w:trPr>
        <w:tc>
          <w:tcPr>
            <w:tcW w:w="2880" w:type="dxa"/>
            <w:vAlign w:val="bottom"/>
            <w:tcBorders>
              <w:bottom w:val="single" w:sz="8" w:color="F7F7F7"/>
            </w:tcBorders>
            <w:shd w:val="clear" w:color="auto" w:fill="F7F7F7"/>
          </w:tcPr>
          <w:p>
            <w:pPr>
              <w:spacing w:after="0"/>
              <w:rPr>
                <w:sz w:val="9"/>
                <w:szCs w:val="9"/>
                <w:color w:val="auto"/>
              </w:rPr>
            </w:pPr>
          </w:p>
        </w:tc>
        <w:tc>
          <w:tcPr>
            <w:tcW w:w="2520" w:type="dxa"/>
            <w:vAlign w:val="bottom"/>
            <w:tcBorders>
              <w:bottom w:val="single" w:sz="8" w:color="auto"/>
            </w:tcBorders>
            <w:shd w:val="clear" w:color="auto" w:fill="F7F7F7"/>
          </w:tcPr>
          <w:p>
            <w:pPr>
              <w:spacing w:after="0"/>
              <w:rPr>
                <w:sz w:val="9"/>
                <w:szCs w:val="9"/>
                <w:color w:val="auto"/>
              </w:rPr>
            </w:pPr>
          </w:p>
        </w:tc>
        <w:tc>
          <w:tcPr>
            <w:tcW w:w="460" w:type="dxa"/>
            <w:vAlign w:val="bottom"/>
            <w:tcBorders>
              <w:bottom w:val="single" w:sz="8" w:color="auto"/>
            </w:tcBorders>
            <w:shd w:val="clear" w:color="auto" w:fill="F7F7F7"/>
          </w:tcPr>
          <w:p>
            <w:pPr>
              <w:spacing w:after="0"/>
              <w:rPr>
                <w:sz w:val="9"/>
                <w:szCs w:val="9"/>
                <w:color w:val="auto"/>
              </w:rPr>
            </w:pPr>
          </w:p>
        </w:tc>
        <w:tc>
          <w:tcPr>
            <w:tcW w:w="1080" w:type="dxa"/>
            <w:vAlign w:val="bottom"/>
            <w:tcBorders>
              <w:bottom w:val="single" w:sz="8" w:color="auto"/>
            </w:tcBorders>
            <w:shd w:val="clear" w:color="auto" w:fill="F7F7F7"/>
          </w:tcPr>
          <w:p>
            <w:pPr>
              <w:spacing w:after="0"/>
              <w:rPr>
                <w:sz w:val="9"/>
                <w:szCs w:val="9"/>
                <w:color w:val="auto"/>
              </w:rPr>
            </w:pPr>
          </w:p>
        </w:tc>
        <w:tc>
          <w:tcPr>
            <w:tcW w:w="260" w:type="dxa"/>
            <w:vAlign w:val="bottom"/>
            <w:tcBorders>
              <w:bottom w:val="single" w:sz="8" w:color="auto"/>
            </w:tcBorders>
            <w:shd w:val="clear" w:color="auto" w:fill="F7F7F7"/>
          </w:tcPr>
          <w:p>
            <w:pPr>
              <w:spacing w:after="0"/>
              <w:rPr>
                <w:sz w:val="9"/>
                <w:szCs w:val="9"/>
                <w:color w:val="auto"/>
              </w:rPr>
            </w:pPr>
          </w:p>
        </w:tc>
        <w:tc>
          <w:tcPr>
            <w:tcW w:w="1080" w:type="dxa"/>
            <w:vAlign w:val="bottom"/>
            <w:tcBorders>
              <w:bottom w:val="single" w:sz="8" w:color="auto"/>
            </w:tcBorders>
            <w:shd w:val="clear" w:color="auto" w:fill="F7F7F7"/>
          </w:tcPr>
          <w:p>
            <w:pPr>
              <w:spacing w:after="0"/>
              <w:rPr>
                <w:sz w:val="9"/>
                <w:szCs w:val="9"/>
                <w:color w:val="auto"/>
              </w:rPr>
            </w:pPr>
          </w:p>
        </w:tc>
        <w:tc>
          <w:tcPr>
            <w:tcW w:w="160" w:type="dxa"/>
            <w:vAlign w:val="bottom"/>
            <w:tcBorders>
              <w:bottom w:val="single" w:sz="8" w:color="auto"/>
            </w:tcBorders>
            <w:shd w:val="clear" w:color="auto" w:fill="F7F7F7"/>
          </w:tcPr>
          <w:p>
            <w:pPr>
              <w:spacing w:after="0"/>
              <w:rPr>
                <w:sz w:val="9"/>
                <w:szCs w:val="9"/>
                <w:color w:val="auto"/>
              </w:rPr>
            </w:pPr>
          </w:p>
        </w:tc>
        <w:tc>
          <w:tcPr>
            <w:tcW w:w="940" w:type="dxa"/>
            <w:vAlign w:val="bottom"/>
            <w:tcBorders>
              <w:bottom w:val="single" w:sz="8" w:color="auto"/>
            </w:tcBorders>
            <w:shd w:val="clear" w:color="auto" w:fill="F7F7F7"/>
          </w:tcPr>
          <w:p>
            <w:pPr>
              <w:spacing w:after="0"/>
              <w:rPr>
                <w:sz w:val="9"/>
                <w:szCs w:val="9"/>
                <w:color w:val="auto"/>
              </w:rPr>
            </w:pPr>
          </w:p>
        </w:tc>
      </w:tr>
      <w:tr>
        <w:trPr>
          <w:trHeight w:val="292"/>
        </w:trPr>
        <w:tc>
          <w:tcPr>
            <w:tcW w:w="2880" w:type="dxa"/>
            <w:vAlign w:val="bottom"/>
            <w:shd w:val="clear" w:color="auto" w:fill="F7F7F7"/>
          </w:tcPr>
          <w:p>
            <w:pPr>
              <w:spacing w:after="0"/>
              <w:rPr>
                <w:sz w:val="24"/>
                <w:szCs w:val="24"/>
                <w:color w:val="auto"/>
              </w:rPr>
            </w:pPr>
          </w:p>
        </w:tc>
        <w:tc>
          <w:tcPr>
            <w:tcW w:w="2520" w:type="dxa"/>
            <w:vAlign w:val="bottom"/>
            <w:shd w:val="clear" w:color="auto" w:fill="F7F7F7"/>
          </w:tcPr>
          <w:p>
            <w:pPr>
              <w:ind w:left="120"/>
              <w:spacing w:after="0"/>
              <w:rPr>
                <w:sz w:val="20"/>
                <w:szCs w:val="20"/>
                <w:color w:val="auto"/>
              </w:rPr>
            </w:pPr>
            <w:r>
              <w:rPr>
                <w:rFonts w:ascii="Arial" w:cs="Arial" w:eastAsia="Arial" w:hAnsi="Arial"/>
                <w:sz w:val="14"/>
                <w:szCs w:val="14"/>
                <w:color w:val="auto"/>
              </w:rPr>
              <w:t>Health Benefits</w:t>
            </w:r>
          </w:p>
        </w:tc>
        <w:tc>
          <w:tcPr>
            <w:tcW w:w="460" w:type="dxa"/>
            <w:vAlign w:val="bottom"/>
            <w:shd w:val="clear" w:color="auto" w:fill="F7F7F7"/>
          </w:tcPr>
          <w:p>
            <w:pPr>
              <w:spacing w:after="0"/>
              <w:rPr>
                <w:sz w:val="24"/>
                <w:szCs w:val="24"/>
                <w:color w:val="auto"/>
              </w:rPr>
            </w:pPr>
          </w:p>
        </w:tc>
        <w:tc>
          <w:tcPr>
            <w:tcW w:w="1080" w:type="dxa"/>
            <w:vAlign w:val="bottom"/>
            <w:shd w:val="clear" w:color="auto" w:fill="F7F7F7"/>
          </w:tcPr>
          <w:p>
            <w:pPr>
              <w:jc w:val="right"/>
              <w:ind w:right="211"/>
              <w:spacing w:after="0"/>
              <w:rPr>
                <w:sz w:val="20"/>
                <w:szCs w:val="20"/>
                <w:color w:val="auto"/>
              </w:rPr>
            </w:pPr>
            <w:r>
              <w:rPr>
                <w:rFonts w:ascii="Arial" w:cs="Arial" w:eastAsia="Arial" w:hAnsi="Arial"/>
                <w:sz w:val="14"/>
                <w:szCs w:val="14"/>
                <w:color w:val="auto"/>
              </w:rPr>
              <w:t>20,466</w:t>
            </w:r>
          </w:p>
        </w:tc>
        <w:tc>
          <w:tcPr>
            <w:tcW w:w="260" w:type="dxa"/>
            <w:vAlign w:val="bottom"/>
            <w:shd w:val="clear" w:color="auto" w:fill="F7F7F7"/>
          </w:tcPr>
          <w:p>
            <w:pPr>
              <w:spacing w:after="0"/>
              <w:rPr>
                <w:sz w:val="24"/>
                <w:szCs w:val="24"/>
                <w:color w:val="auto"/>
              </w:rPr>
            </w:pPr>
          </w:p>
        </w:tc>
        <w:tc>
          <w:tcPr>
            <w:tcW w:w="1080" w:type="dxa"/>
            <w:vAlign w:val="bottom"/>
            <w:shd w:val="clear" w:color="auto" w:fill="F7F7F7"/>
          </w:tcPr>
          <w:p>
            <w:pPr>
              <w:jc w:val="right"/>
              <w:ind w:right="149"/>
              <w:spacing w:after="0"/>
              <w:rPr>
                <w:sz w:val="20"/>
                <w:szCs w:val="20"/>
                <w:color w:val="auto"/>
              </w:rPr>
            </w:pPr>
            <w:r>
              <w:rPr>
                <w:rFonts w:ascii="Arial" w:cs="Arial" w:eastAsia="Arial" w:hAnsi="Arial"/>
                <w:sz w:val="14"/>
                <w:szCs w:val="14"/>
                <w:color w:val="auto"/>
              </w:rPr>
              <w:t>29,628</w:t>
            </w:r>
          </w:p>
        </w:tc>
        <w:tc>
          <w:tcPr>
            <w:tcW w:w="160" w:type="dxa"/>
            <w:vAlign w:val="bottom"/>
            <w:shd w:val="clear" w:color="auto" w:fill="F7F7F7"/>
          </w:tcPr>
          <w:p>
            <w:pPr>
              <w:spacing w:after="0"/>
              <w:rPr>
                <w:sz w:val="24"/>
                <w:szCs w:val="24"/>
                <w:color w:val="auto"/>
              </w:rPr>
            </w:pPr>
          </w:p>
        </w:tc>
        <w:tc>
          <w:tcPr>
            <w:tcW w:w="940" w:type="dxa"/>
            <w:vAlign w:val="bottom"/>
            <w:shd w:val="clear" w:color="auto" w:fill="F7F7F7"/>
          </w:tcPr>
          <w:p>
            <w:pPr>
              <w:jc w:val="right"/>
              <w:ind w:right="129"/>
              <w:spacing w:after="0"/>
              <w:rPr>
                <w:sz w:val="20"/>
                <w:szCs w:val="20"/>
                <w:color w:val="auto"/>
              </w:rPr>
            </w:pPr>
            <w:r>
              <w:rPr>
                <w:rFonts w:ascii="Arial" w:cs="Arial" w:eastAsia="Arial" w:hAnsi="Arial"/>
                <w:sz w:val="14"/>
                <w:szCs w:val="14"/>
                <w:color w:val="auto"/>
              </w:rPr>
              <w:t>—</w:t>
            </w:r>
          </w:p>
        </w:tc>
      </w:tr>
      <w:tr>
        <w:trPr>
          <w:trHeight w:val="107"/>
        </w:trPr>
        <w:tc>
          <w:tcPr>
            <w:tcW w:w="2880" w:type="dxa"/>
            <w:vAlign w:val="bottom"/>
            <w:tcBorders>
              <w:bottom w:val="single" w:sz="8" w:color="F7F7F7"/>
            </w:tcBorders>
            <w:shd w:val="clear" w:color="auto" w:fill="F7F7F7"/>
          </w:tcPr>
          <w:p>
            <w:pPr>
              <w:spacing w:after="0"/>
              <w:rPr>
                <w:sz w:val="9"/>
                <w:szCs w:val="9"/>
                <w:color w:val="auto"/>
              </w:rPr>
            </w:pPr>
          </w:p>
        </w:tc>
        <w:tc>
          <w:tcPr>
            <w:tcW w:w="2520" w:type="dxa"/>
            <w:vAlign w:val="bottom"/>
            <w:tcBorders>
              <w:bottom w:val="single" w:sz="8" w:color="auto"/>
            </w:tcBorders>
            <w:shd w:val="clear" w:color="auto" w:fill="F7F7F7"/>
          </w:tcPr>
          <w:p>
            <w:pPr>
              <w:spacing w:after="0"/>
              <w:rPr>
                <w:sz w:val="9"/>
                <w:szCs w:val="9"/>
                <w:color w:val="auto"/>
              </w:rPr>
            </w:pPr>
          </w:p>
        </w:tc>
        <w:tc>
          <w:tcPr>
            <w:tcW w:w="460" w:type="dxa"/>
            <w:vAlign w:val="bottom"/>
            <w:tcBorders>
              <w:bottom w:val="single" w:sz="8" w:color="auto"/>
            </w:tcBorders>
            <w:shd w:val="clear" w:color="auto" w:fill="F7F7F7"/>
          </w:tcPr>
          <w:p>
            <w:pPr>
              <w:spacing w:after="0"/>
              <w:rPr>
                <w:sz w:val="9"/>
                <w:szCs w:val="9"/>
                <w:color w:val="auto"/>
              </w:rPr>
            </w:pPr>
          </w:p>
        </w:tc>
        <w:tc>
          <w:tcPr>
            <w:tcW w:w="1080" w:type="dxa"/>
            <w:vAlign w:val="bottom"/>
            <w:tcBorders>
              <w:bottom w:val="single" w:sz="8" w:color="auto"/>
            </w:tcBorders>
            <w:shd w:val="clear" w:color="auto" w:fill="F7F7F7"/>
          </w:tcPr>
          <w:p>
            <w:pPr>
              <w:spacing w:after="0"/>
              <w:rPr>
                <w:sz w:val="9"/>
                <w:szCs w:val="9"/>
                <w:color w:val="auto"/>
              </w:rPr>
            </w:pPr>
          </w:p>
        </w:tc>
        <w:tc>
          <w:tcPr>
            <w:tcW w:w="260" w:type="dxa"/>
            <w:vAlign w:val="bottom"/>
            <w:tcBorders>
              <w:bottom w:val="single" w:sz="8" w:color="auto"/>
            </w:tcBorders>
            <w:shd w:val="clear" w:color="auto" w:fill="F7F7F7"/>
          </w:tcPr>
          <w:p>
            <w:pPr>
              <w:spacing w:after="0"/>
              <w:rPr>
                <w:sz w:val="9"/>
                <w:szCs w:val="9"/>
                <w:color w:val="auto"/>
              </w:rPr>
            </w:pPr>
          </w:p>
        </w:tc>
        <w:tc>
          <w:tcPr>
            <w:tcW w:w="1080" w:type="dxa"/>
            <w:vAlign w:val="bottom"/>
            <w:tcBorders>
              <w:bottom w:val="single" w:sz="8" w:color="auto"/>
            </w:tcBorders>
            <w:shd w:val="clear" w:color="auto" w:fill="F7F7F7"/>
          </w:tcPr>
          <w:p>
            <w:pPr>
              <w:spacing w:after="0"/>
              <w:rPr>
                <w:sz w:val="9"/>
                <w:szCs w:val="9"/>
                <w:color w:val="auto"/>
              </w:rPr>
            </w:pPr>
          </w:p>
        </w:tc>
        <w:tc>
          <w:tcPr>
            <w:tcW w:w="160" w:type="dxa"/>
            <w:vAlign w:val="bottom"/>
            <w:tcBorders>
              <w:bottom w:val="single" w:sz="8" w:color="auto"/>
            </w:tcBorders>
            <w:shd w:val="clear" w:color="auto" w:fill="F7F7F7"/>
          </w:tcPr>
          <w:p>
            <w:pPr>
              <w:spacing w:after="0"/>
              <w:rPr>
                <w:sz w:val="9"/>
                <w:szCs w:val="9"/>
                <w:color w:val="auto"/>
              </w:rPr>
            </w:pPr>
          </w:p>
        </w:tc>
        <w:tc>
          <w:tcPr>
            <w:tcW w:w="940" w:type="dxa"/>
            <w:vAlign w:val="bottom"/>
            <w:tcBorders>
              <w:bottom w:val="single" w:sz="8" w:color="auto"/>
            </w:tcBorders>
            <w:shd w:val="clear" w:color="auto" w:fill="F7F7F7"/>
          </w:tcPr>
          <w:p>
            <w:pPr>
              <w:spacing w:after="0"/>
              <w:rPr>
                <w:sz w:val="9"/>
                <w:szCs w:val="9"/>
                <w:color w:val="auto"/>
              </w:rPr>
            </w:pPr>
          </w:p>
        </w:tc>
      </w:tr>
      <w:tr>
        <w:trPr>
          <w:trHeight w:val="292"/>
        </w:trPr>
        <w:tc>
          <w:tcPr>
            <w:tcW w:w="2880" w:type="dxa"/>
            <w:vAlign w:val="bottom"/>
            <w:shd w:val="clear" w:color="auto" w:fill="F7F7F7"/>
          </w:tcPr>
          <w:p>
            <w:pPr>
              <w:spacing w:after="0"/>
              <w:rPr>
                <w:sz w:val="24"/>
                <w:szCs w:val="24"/>
                <w:color w:val="auto"/>
              </w:rPr>
            </w:pPr>
          </w:p>
        </w:tc>
        <w:tc>
          <w:tcPr>
            <w:tcW w:w="2520" w:type="dxa"/>
            <w:vAlign w:val="bottom"/>
            <w:shd w:val="clear" w:color="auto" w:fill="F7F7F7"/>
          </w:tcPr>
          <w:p>
            <w:pPr>
              <w:ind w:left="120"/>
              <w:spacing w:after="0"/>
              <w:rPr>
                <w:sz w:val="20"/>
                <w:szCs w:val="20"/>
                <w:color w:val="auto"/>
              </w:rPr>
            </w:pPr>
            <w:r>
              <w:rPr>
                <w:rFonts w:ascii="Arial" w:cs="Arial" w:eastAsia="Arial" w:hAnsi="Arial"/>
                <w:sz w:val="14"/>
                <w:szCs w:val="14"/>
                <w:color w:val="auto"/>
              </w:rPr>
              <w:t>Total</w:t>
            </w:r>
          </w:p>
        </w:tc>
        <w:tc>
          <w:tcPr>
            <w:tcW w:w="460" w:type="dxa"/>
            <w:vAlign w:val="bottom"/>
            <w:shd w:val="clear" w:color="auto" w:fill="F7F7F7"/>
          </w:tcPr>
          <w:p>
            <w:pPr>
              <w:ind w:left="380"/>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F7F7F7"/>
          </w:tcPr>
          <w:p>
            <w:pPr>
              <w:jc w:val="right"/>
              <w:ind w:right="211"/>
              <w:spacing w:after="0"/>
              <w:rPr>
                <w:sz w:val="20"/>
                <w:szCs w:val="20"/>
                <w:color w:val="auto"/>
              </w:rPr>
            </w:pPr>
            <w:r>
              <w:rPr>
                <w:rFonts w:ascii="Arial" w:cs="Arial" w:eastAsia="Arial" w:hAnsi="Arial"/>
                <w:sz w:val="14"/>
                <w:szCs w:val="14"/>
                <w:color w:val="auto"/>
              </w:rPr>
              <w:t>7,899,114</w:t>
            </w:r>
          </w:p>
        </w:tc>
        <w:tc>
          <w:tcPr>
            <w:tcW w:w="260" w:type="dxa"/>
            <w:vAlign w:val="bottom"/>
            <w:shd w:val="clear" w:color="auto" w:fill="F7F7F7"/>
          </w:tcPr>
          <w:p>
            <w:pPr>
              <w:ind w:left="1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F7F7F7"/>
          </w:tcPr>
          <w:p>
            <w:pPr>
              <w:jc w:val="right"/>
              <w:ind w:right="149"/>
              <w:spacing w:after="0"/>
              <w:rPr>
                <w:sz w:val="20"/>
                <w:szCs w:val="20"/>
                <w:color w:val="auto"/>
              </w:rPr>
            </w:pPr>
            <w:r>
              <w:rPr>
                <w:rFonts w:ascii="Arial" w:cs="Arial" w:eastAsia="Arial" w:hAnsi="Arial"/>
                <w:sz w:val="14"/>
                <w:szCs w:val="14"/>
                <w:color w:val="auto"/>
              </w:rPr>
              <w:t>25,680,678</w:t>
            </w:r>
          </w:p>
        </w:tc>
        <w:tc>
          <w:tcPr>
            <w:tcW w:w="16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F7F7F7"/>
          </w:tcPr>
          <w:p>
            <w:pPr>
              <w:jc w:val="right"/>
              <w:ind w:right="129"/>
              <w:spacing w:after="0"/>
              <w:rPr>
                <w:sz w:val="20"/>
                <w:szCs w:val="20"/>
                <w:color w:val="auto"/>
              </w:rPr>
            </w:pPr>
            <w:r>
              <w:rPr>
                <w:rFonts w:ascii="Arial" w:cs="Arial" w:eastAsia="Arial" w:hAnsi="Arial"/>
                <w:sz w:val="14"/>
                <w:szCs w:val="14"/>
                <w:color w:val="auto"/>
              </w:rPr>
              <w:t>25,151,050</w:t>
            </w:r>
          </w:p>
        </w:tc>
      </w:tr>
      <w:tr>
        <w:trPr>
          <w:trHeight w:val="106"/>
        </w:trPr>
        <w:tc>
          <w:tcPr>
            <w:tcW w:w="2880" w:type="dxa"/>
            <w:vAlign w:val="bottom"/>
            <w:tcBorders>
              <w:bottom w:val="single" w:sz="8" w:color="auto"/>
            </w:tcBorders>
            <w:shd w:val="clear" w:color="auto" w:fill="F7F7F7"/>
          </w:tcPr>
          <w:p>
            <w:pPr>
              <w:spacing w:after="0"/>
              <w:rPr>
                <w:sz w:val="9"/>
                <w:szCs w:val="9"/>
                <w:color w:val="auto"/>
              </w:rPr>
            </w:pPr>
          </w:p>
        </w:tc>
        <w:tc>
          <w:tcPr>
            <w:tcW w:w="2520" w:type="dxa"/>
            <w:vAlign w:val="bottom"/>
            <w:tcBorders>
              <w:bottom w:val="single" w:sz="8" w:color="auto"/>
            </w:tcBorders>
            <w:shd w:val="clear" w:color="auto" w:fill="F7F7F7"/>
          </w:tcPr>
          <w:p>
            <w:pPr>
              <w:spacing w:after="0"/>
              <w:rPr>
                <w:sz w:val="9"/>
                <w:szCs w:val="9"/>
                <w:color w:val="auto"/>
              </w:rPr>
            </w:pPr>
          </w:p>
        </w:tc>
        <w:tc>
          <w:tcPr>
            <w:tcW w:w="460" w:type="dxa"/>
            <w:vAlign w:val="bottom"/>
            <w:tcBorders>
              <w:bottom w:val="single" w:sz="8" w:color="auto"/>
            </w:tcBorders>
            <w:shd w:val="clear" w:color="auto" w:fill="F7F7F7"/>
          </w:tcPr>
          <w:p>
            <w:pPr>
              <w:spacing w:after="0"/>
              <w:rPr>
                <w:sz w:val="9"/>
                <w:szCs w:val="9"/>
                <w:color w:val="auto"/>
              </w:rPr>
            </w:pPr>
          </w:p>
        </w:tc>
        <w:tc>
          <w:tcPr>
            <w:tcW w:w="1080" w:type="dxa"/>
            <w:vAlign w:val="bottom"/>
            <w:tcBorders>
              <w:bottom w:val="single" w:sz="8" w:color="auto"/>
            </w:tcBorders>
            <w:shd w:val="clear" w:color="auto" w:fill="F7F7F7"/>
          </w:tcPr>
          <w:p>
            <w:pPr>
              <w:spacing w:after="0"/>
              <w:rPr>
                <w:sz w:val="9"/>
                <w:szCs w:val="9"/>
                <w:color w:val="auto"/>
              </w:rPr>
            </w:pPr>
          </w:p>
        </w:tc>
        <w:tc>
          <w:tcPr>
            <w:tcW w:w="260" w:type="dxa"/>
            <w:vAlign w:val="bottom"/>
            <w:tcBorders>
              <w:bottom w:val="single" w:sz="8" w:color="auto"/>
            </w:tcBorders>
            <w:shd w:val="clear" w:color="auto" w:fill="F7F7F7"/>
          </w:tcPr>
          <w:p>
            <w:pPr>
              <w:spacing w:after="0"/>
              <w:rPr>
                <w:sz w:val="9"/>
                <w:szCs w:val="9"/>
                <w:color w:val="auto"/>
              </w:rPr>
            </w:pPr>
          </w:p>
        </w:tc>
        <w:tc>
          <w:tcPr>
            <w:tcW w:w="1080" w:type="dxa"/>
            <w:vAlign w:val="bottom"/>
            <w:tcBorders>
              <w:bottom w:val="single" w:sz="8" w:color="auto"/>
            </w:tcBorders>
            <w:shd w:val="clear" w:color="auto" w:fill="F7F7F7"/>
          </w:tcPr>
          <w:p>
            <w:pPr>
              <w:spacing w:after="0"/>
              <w:rPr>
                <w:sz w:val="9"/>
                <w:szCs w:val="9"/>
                <w:color w:val="auto"/>
              </w:rPr>
            </w:pPr>
          </w:p>
        </w:tc>
        <w:tc>
          <w:tcPr>
            <w:tcW w:w="160" w:type="dxa"/>
            <w:vAlign w:val="bottom"/>
            <w:tcBorders>
              <w:bottom w:val="single" w:sz="8" w:color="auto"/>
            </w:tcBorders>
            <w:shd w:val="clear" w:color="auto" w:fill="F7F7F7"/>
          </w:tcPr>
          <w:p>
            <w:pPr>
              <w:spacing w:after="0"/>
              <w:rPr>
                <w:sz w:val="9"/>
                <w:szCs w:val="9"/>
                <w:color w:val="auto"/>
              </w:rPr>
            </w:pPr>
          </w:p>
        </w:tc>
        <w:tc>
          <w:tcPr>
            <w:tcW w:w="940" w:type="dxa"/>
            <w:vAlign w:val="bottom"/>
            <w:tcBorders>
              <w:bottom w:val="single" w:sz="8" w:color="auto"/>
            </w:tcBorders>
            <w:shd w:val="clear" w:color="auto" w:fill="F7F7F7"/>
          </w:tcPr>
          <w:p>
            <w:pPr>
              <w:spacing w:after="0"/>
              <w:rPr>
                <w:sz w:val="9"/>
                <w:szCs w:val="9"/>
                <w:color w:val="auto"/>
              </w:rPr>
            </w:pPr>
          </w:p>
        </w:tc>
      </w:tr>
      <w:tr>
        <w:trPr>
          <w:trHeight w:val="305"/>
        </w:trPr>
        <w:tc>
          <w:tcPr>
            <w:tcW w:w="2880" w:type="dxa"/>
            <w:vAlign w:val="bottom"/>
          </w:tcPr>
          <w:p>
            <w:pPr>
              <w:ind w:left="140"/>
              <w:spacing w:after="0"/>
              <w:rPr>
                <w:sz w:val="20"/>
                <w:szCs w:val="20"/>
                <w:color w:val="auto"/>
              </w:rPr>
            </w:pPr>
            <w:r>
              <w:rPr>
                <w:rFonts w:ascii="Arial" w:cs="Arial" w:eastAsia="Arial" w:hAnsi="Arial"/>
                <w:sz w:val="14"/>
                <w:szCs w:val="14"/>
                <w:color w:val="auto"/>
              </w:rPr>
              <w:t>Eric Bach</w:t>
            </w:r>
          </w:p>
        </w:tc>
        <w:tc>
          <w:tcPr>
            <w:tcW w:w="2520" w:type="dxa"/>
            <w:vAlign w:val="bottom"/>
          </w:tcPr>
          <w:p>
            <w:pPr>
              <w:ind w:left="120"/>
              <w:spacing w:after="0"/>
              <w:rPr>
                <w:sz w:val="20"/>
                <w:szCs w:val="20"/>
                <w:color w:val="auto"/>
              </w:rPr>
            </w:pPr>
            <w:r>
              <w:rPr>
                <w:rFonts w:ascii="Arial" w:cs="Arial" w:eastAsia="Arial" w:hAnsi="Arial"/>
                <w:sz w:val="14"/>
                <w:szCs w:val="14"/>
                <w:color w:val="auto"/>
              </w:rPr>
              <w:t>Cash Severance</w:t>
            </w:r>
          </w:p>
        </w:tc>
        <w:tc>
          <w:tcPr>
            <w:tcW w:w="460" w:type="dxa"/>
            <w:vAlign w:val="bottom"/>
          </w:tcPr>
          <w:p>
            <w:pPr>
              <w:ind w:left="380"/>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211"/>
              <w:spacing w:after="0"/>
              <w:rPr>
                <w:sz w:val="20"/>
                <w:szCs w:val="20"/>
                <w:color w:val="auto"/>
              </w:rPr>
            </w:pPr>
            <w:r>
              <w:rPr>
                <w:rFonts w:ascii="Arial" w:cs="Arial" w:eastAsia="Arial" w:hAnsi="Arial"/>
                <w:sz w:val="14"/>
                <w:szCs w:val="14"/>
                <w:color w:val="auto"/>
              </w:rPr>
              <w:t>300,150</w:t>
            </w:r>
          </w:p>
        </w:tc>
        <w:tc>
          <w:tcPr>
            <w:tcW w:w="260" w:type="dxa"/>
            <w:vAlign w:val="bottom"/>
          </w:tcPr>
          <w:p>
            <w:pPr>
              <w:ind w:left="1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450,000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9"/>
              <w:spacing w:after="0"/>
              <w:rPr>
                <w:sz w:val="20"/>
                <w:szCs w:val="20"/>
                <w:color w:val="auto"/>
              </w:rPr>
            </w:pPr>
            <w:r>
              <w:rPr>
                <w:rFonts w:ascii="Arial" w:cs="Arial" w:eastAsia="Arial" w:hAnsi="Arial"/>
                <w:sz w:val="14"/>
                <w:szCs w:val="14"/>
                <w:color w:val="auto"/>
              </w:rPr>
              <w:t>—</w:t>
            </w:r>
          </w:p>
        </w:tc>
      </w:tr>
      <w:tr>
        <w:trPr>
          <w:trHeight w:val="107"/>
        </w:trPr>
        <w:tc>
          <w:tcPr>
            <w:tcW w:w="2880" w:type="dxa"/>
            <w:vAlign w:val="bottom"/>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r>
      <w:tr>
        <w:trPr>
          <w:trHeight w:val="292"/>
        </w:trPr>
        <w:tc>
          <w:tcPr>
            <w:tcW w:w="2880" w:type="dxa"/>
            <w:vAlign w:val="bottom"/>
          </w:tcPr>
          <w:p>
            <w:pPr>
              <w:spacing w:after="0"/>
              <w:rPr>
                <w:sz w:val="24"/>
                <w:szCs w:val="24"/>
                <w:color w:val="auto"/>
              </w:rPr>
            </w:pPr>
          </w:p>
        </w:tc>
        <w:tc>
          <w:tcPr>
            <w:tcW w:w="2520" w:type="dxa"/>
            <w:vAlign w:val="bottom"/>
          </w:tcPr>
          <w:p>
            <w:pPr>
              <w:ind w:left="120"/>
              <w:spacing w:after="0"/>
              <w:rPr>
                <w:sz w:val="20"/>
                <w:szCs w:val="20"/>
                <w:color w:val="auto"/>
              </w:rPr>
            </w:pPr>
            <w:r>
              <w:rPr>
                <w:rFonts w:ascii="Arial" w:cs="Arial" w:eastAsia="Arial" w:hAnsi="Arial"/>
                <w:sz w:val="14"/>
                <w:szCs w:val="14"/>
                <w:color w:val="auto"/>
              </w:rPr>
              <w:t>Accelerated Vesting of Equity Awards</w:t>
            </w:r>
          </w:p>
        </w:tc>
        <w:tc>
          <w:tcPr>
            <w:tcW w:w="460" w:type="dxa"/>
            <w:vAlign w:val="bottom"/>
          </w:tcPr>
          <w:p>
            <w:pPr>
              <w:spacing w:after="0"/>
              <w:rPr>
                <w:sz w:val="24"/>
                <w:szCs w:val="24"/>
                <w:color w:val="auto"/>
              </w:rPr>
            </w:pPr>
          </w:p>
        </w:tc>
        <w:tc>
          <w:tcPr>
            <w:tcW w:w="1080" w:type="dxa"/>
            <w:vAlign w:val="bottom"/>
          </w:tcPr>
          <w:p>
            <w:pPr>
              <w:jc w:val="right"/>
              <w:ind w:right="211"/>
              <w:spacing w:after="0"/>
              <w:rPr>
                <w:sz w:val="20"/>
                <w:szCs w:val="20"/>
                <w:color w:val="auto"/>
              </w:rPr>
            </w:pPr>
            <w:r>
              <w:rPr>
                <w:rFonts w:ascii="Arial" w:cs="Arial" w:eastAsia="Arial" w:hAnsi="Arial"/>
                <w:sz w:val="14"/>
                <w:szCs w:val="14"/>
                <w:color w:val="auto"/>
              </w:rPr>
              <w:t>33,329,206</w:t>
            </w:r>
          </w:p>
        </w:tc>
        <w:tc>
          <w:tcPr>
            <w:tcW w:w="260" w:type="dxa"/>
            <w:vAlign w:val="bottom"/>
          </w:tcPr>
          <w:p>
            <w:pPr>
              <w:spacing w:after="0"/>
              <w:rPr>
                <w:sz w:val="24"/>
                <w:szCs w:val="24"/>
                <w:color w:val="auto"/>
              </w:rPr>
            </w:pP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66,658,374</w:t>
            </w:r>
          </w:p>
        </w:tc>
        <w:tc>
          <w:tcPr>
            <w:tcW w:w="160" w:type="dxa"/>
            <w:vAlign w:val="bottom"/>
          </w:tcPr>
          <w:p>
            <w:pPr>
              <w:spacing w:after="0"/>
              <w:rPr>
                <w:sz w:val="24"/>
                <w:szCs w:val="24"/>
                <w:color w:val="auto"/>
              </w:rPr>
            </w:pPr>
          </w:p>
        </w:tc>
        <w:tc>
          <w:tcPr>
            <w:tcW w:w="940" w:type="dxa"/>
            <w:vAlign w:val="bottom"/>
          </w:tcPr>
          <w:p>
            <w:pPr>
              <w:jc w:val="right"/>
              <w:ind w:right="129"/>
              <w:spacing w:after="0"/>
              <w:rPr>
                <w:sz w:val="20"/>
                <w:szCs w:val="20"/>
                <w:color w:val="auto"/>
              </w:rPr>
            </w:pPr>
            <w:r>
              <w:rPr>
                <w:rFonts w:ascii="Arial" w:cs="Arial" w:eastAsia="Arial" w:hAnsi="Arial"/>
                <w:sz w:val="14"/>
                <w:szCs w:val="14"/>
                <w:color w:val="auto"/>
              </w:rPr>
              <w:t>66,658,374</w:t>
            </w:r>
          </w:p>
        </w:tc>
      </w:tr>
      <w:tr>
        <w:trPr>
          <w:trHeight w:val="106"/>
        </w:trPr>
        <w:tc>
          <w:tcPr>
            <w:tcW w:w="2880" w:type="dxa"/>
            <w:vAlign w:val="bottom"/>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r>
      <w:tr>
        <w:trPr>
          <w:trHeight w:val="292"/>
        </w:trPr>
        <w:tc>
          <w:tcPr>
            <w:tcW w:w="2880" w:type="dxa"/>
            <w:vAlign w:val="bottom"/>
          </w:tcPr>
          <w:p>
            <w:pPr>
              <w:spacing w:after="0"/>
              <w:rPr>
                <w:sz w:val="24"/>
                <w:szCs w:val="24"/>
                <w:color w:val="auto"/>
              </w:rPr>
            </w:pPr>
          </w:p>
        </w:tc>
        <w:tc>
          <w:tcPr>
            <w:tcW w:w="2520" w:type="dxa"/>
            <w:vAlign w:val="bottom"/>
          </w:tcPr>
          <w:p>
            <w:pPr>
              <w:ind w:left="120"/>
              <w:spacing w:after="0"/>
              <w:rPr>
                <w:sz w:val="20"/>
                <w:szCs w:val="20"/>
                <w:color w:val="auto"/>
              </w:rPr>
            </w:pPr>
            <w:r>
              <w:rPr>
                <w:rFonts w:ascii="Arial" w:cs="Arial" w:eastAsia="Arial" w:hAnsi="Arial"/>
                <w:sz w:val="14"/>
                <w:szCs w:val="14"/>
                <w:color w:val="auto"/>
              </w:rPr>
              <w:t>Health Benefits</w:t>
            </w:r>
          </w:p>
        </w:tc>
        <w:tc>
          <w:tcPr>
            <w:tcW w:w="460" w:type="dxa"/>
            <w:vAlign w:val="bottom"/>
          </w:tcPr>
          <w:p>
            <w:pPr>
              <w:spacing w:after="0"/>
              <w:rPr>
                <w:sz w:val="24"/>
                <w:szCs w:val="24"/>
                <w:color w:val="auto"/>
              </w:rPr>
            </w:pPr>
          </w:p>
        </w:tc>
        <w:tc>
          <w:tcPr>
            <w:tcW w:w="1080" w:type="dxa"/>
            <w:vAlign w:val="bottom"/>
          </w:tcPr>
          <w:p>
            <w:pPr>
              <w:jc w:val="right"/>
              <w:ind w:right="211"/>
              <w:spacing w:after="0"/>
              <w:rPr>
                <w:sz w:val="20"/>
                <w:szCs w:val="20"/>
                <w:color w:val="auto"/>
              </w:rPr>
            </w:pPr>
            <w:r>
              <w:rPr>
                <w:rFonts w:ascii="Arial" w:cs="Arial" w:eastAsia="Arial" w:hAnsi="Arial"/>
                <w:sz w:val="14"/>
                <w:szCs w:val="14"/>
                <w:color w:val="auto"/>
              </w:rPr>
              <w:t>19,647</w:t>
            </w:r>
          </w:p>
        </w:tc>
        <w:tc>
          <w:tcPr>
            <w:tcW w:w="260" w:type="dxa"/>
            <w:vAlign w:val="bottom"/>
          </w:tcPr>
          <w:p>
            <w:pPr>
              <w:spacing w:after="0"/>
              <w:rPr>
                <w:sz w:val="24"/>
                <w:szCs w:val="24"/>
                <w:color w:val="auto"/>
              </w:rPr>
            </w:pP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26,196</w:t>
            </w:r>
          </w:p>
        </w:tc>
        <w:tc>
          <w:tcPr>
            <w:tcW w:w="160" w:type="dxa"/>
            <w:vAlign w:val="bottom"/>
          </w:tcPr>
          <w:p>
            <w:pPr>
              <w:spacing w:after="0"/>
              <w:rPr>
                <w:sz w:val="24"/>
                <w:szCs w:val="24"/>
                <w:color w:val="auto"/>
              </w:rPr>
            </w:pPr>
          </w:p>
        </w:tc>
        <w:tc>
          <w:tcPr>
            <w:tcW w:w="940" w:type="dxa"/>
            <w:vAlign w:val="bottom"/>
          </w:tcPr>
          <w:p>
            <w:pPr>
              <w:jc w:val="right"/>
              <w:ind w:right="129"/>
              <w:spacing w:after="0"/>
              <w:rPr>
                <w:sz w:val="20"/>
                <w:szCs w:val="20"/>
                <w:color w:val="auto"/>
              </w:rPr>
            </w:pPr>
            <w:r>
              <w:rPr>
                <w:rFonts w:ascii="Arial" w:cs="Arial" w:eastAsia="Arial" w:hAnsi="Arial"/>
                <w:sz w:val="14"/>
                <w:szCs w:val="14"/>
                <w:color w:val="auto"/>
              </w:rPr>
              <w:t>—</w:t>
            </w:r>
          </w:p>
        </w:tc>
      </w:tr>
      <w:tr>
        <w:trPr>
          <w:trHeight w:val="106"/>
        </w:trPr>
        <w:tc>
          <w:tcPr>
            <w:tcW w:w="2880" w:type="dxa"/>
            <w:vAlign w:val="bottom"/>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r>
      <w:tr>
        <w:trPr>
          <w:trHeight w:val="292"/>
        </w:trPr>
        <w:tc>
          <w:tcPr>
            <w:tcW w:w="2880" w:type="dxa"/>
            <w:vAlign w:val="bottom"/>
          </w:tcPr>
          <w:p>
            <w:pPr>
              <w:spacing w:after="0"/>
              <w:rPr>
                <w:sz w:val="24"/>
                <w:szCs w:val="24"/>
                <w:color w:val="auto"/>
              </w:rPr>
            </w:pPr>
          </w:p>
        </w:tc>
        <w:tc>
          <w:tcPr>
            <w:tcW w:w="2520" w:type="dxa"/>
            <w:vAlign w:val="bottom"/>
          </w:tcPr>
          <w:p>
            <w:pPr>
              <w:ind w:left="120"/>
              <w:spacing w:after="0"/>
              <w:rPr>
                <w:sz w:val="20"/>
                <w:szCs w:val="20"/>
                <w:color w:val="auto"/>
              </w:rPr>
            </w:pPr>
            <w:r>
              <w:rPr>
                <w:rFonts w:ascii="Arial" w:cs="Arial" w:eastAsia="Arial" w:hAnsi="Arial"/>
                <w:sz w:val="14"/>
                <w:szCs w:val="14"/>
                <w:color w:val="auto"/>
              </w:rPr>
              <w:t>Total</w:t>
            </w:r>
          </w:p>
        </w:tc>
        <w:tc>
          <w:tcPr>
            <w:tcW w:w="460" w:type="dxa"/>
            <w:vAlign w:val="bottom"/>
          </w:tcPr>
          <w:p>
            <w:pPr>
              <w:ind w:left="380"/>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211"/>
              <w:spacing w:after="0"/>
              <w:rPr>
                <w:sz w:val="20"/>
                <w:szCs w:val="20"/>
                <w:color w:val="auto"/>
              </w:rPr>
            </w:pPr>
            <w:r>
              <w:rPr>
                <w:rFonts w:ascii="Arial" w:cs="Arial" w:eastAsia="Arial" w:hAnsi="Arial"/>
                <w:sz w:val="14"/>
                <w:szCs w:val="14"/>
                <w:color w:val="auto"/>
              </w:rPr>
              <w:t>33,649,003</w:t>
            </w:r>
          </w:p>
        </w:tc>
        <w:tc>
          <w:tcPr>
            <w:tcW w:w="260" w:type="dxa"/>
            <w:vAlign w:val="bottom"/>
          </w:tcPr>
          <w:p>
            <w:pPr>
              <w:ind w:left="1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67,134,570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9"/>
              <w:spacing w:after="0"/>
              <w:rPr>
                <w:sz w:val="20"/>
                <w:szCs w:val="20"/>
                <w:color w:val="auto"/>
              </w:rPr>
            </w:pPr>
            <w:r>
              <w:rPr>
                <w:rFonts w:ascii="Arial" w:cs="Arial" w:eastAsia="Arial" w:hAnsi="Arial"/>
                <w:sz w:val="14"/>
                <w:szCs w:val="14"/>
                <w:color w:val="auto"/>
              </w:rPr>
              <w:t>66,658,374</w:t>
            </w:r>
          </w:p>
        </w:tc>
      </w:tr>
      <w:tr>
        <w:trPr>
          <w:trHeight w:val="107"/>
        </w:trPr>
        <w:tc>
          <w:tcPr>
            <w:tcW w:w="2880" w:type="dxa"/>
            <w:vAlign w:val="bottom"/>
            <w:tcBorders>
              <w:bottom w:val="single" w:sz="8" w:color="auto"/>
            </w:tcBorders>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r>
      <w:tr>
        <w:trPr>
          <w:trHeight w:val="305"/>
        </w:trPr>
        <w:tc>
          <w:tcPr>
            <w:tcW w:w="2880" w:type="dxa"/>
            <w:vAlign w:val="bottom"/>
            <w:shd w:val="clear" w:color="auto" w:fill="F7F7F7"/>
          </w:tcPr>
          <w:p>
            <w:pPr>
              <w:ind w:left="140"/>
              <w:spacing w:after="0"/>
              <w:rPr>
                <w:sz w:val="20"/>
                <w:szCs w:val="20"/>
                <w:color w:val="auto"/>
              </w:rPr>
            </w:pPr>
            <w:r>
              <w:rPr>
                <w:rFonts w:ascii="Arial" w:cs="Arial" w:eastAsia="Arial" w:hAnsi="Arial"/>
                <w:sz w:val="14"/>
                <w:szCs w:val="14"/>
                <w:color w:val="auto"/>
              </w:rPr>
              <w:t>Michael Bell</w:t>
            </w:r>
          </w:p>
        </w:tc>
        <w:tc>
          <w:tcPr>
            <w:tcW w:w="2520" w:type="dxa"/>
            <w:vAlign w:val="bottom"/>
            <w:shd w:val="clear" w:color="auto" w:fill="F7F7F7"/>
          </w:tcPr>
          <w:p>
            <w:pPr>
              <w:ind w:left="120"/>
              <w:spacing w:after="0"/>
              <w:rPr>
                <w:sz w:val="20"/>
                <w:szCs w:val="20"/>
                <w:color w:val="auto"/>
              </w:rPr>
            </w:pPr>
            <w:r>
              <w:rPr>
                <w:rFonts w:ascii="Arial" w:cs="Arial" w:eastAsia="Arial" w:hAnsi="Arial"/>
                <w:sz w:val="14"/>
                <w:szCs w:val="14"/>
                <w:color w:val="auto"/>
              </w:rPr>
              <w:t>Cash Severance</w:t>
            </w:r>
          </w:p>
        </w:tc>
        <w:tc>
          <w:tcPr>
            <w:tcW w:w="460" w:type="dxa"/>
            <w:vAlign w:val="bottom"/>
            <w:shd w:val="clear" w:color="auto" w:fill="F7F7F7"/>
          </w:tcPr>
          <w:p>
            <w:pPr>
              <w:ind w:left="380"/>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F7F7F7"/>
          </w:tcPr>
          <w:p>
            <w:pPr>
              <w:jc w:val="right"/>
              <w:ind w:right="211"/>
              <w:spacing w:after="0"/>
              <w:rPr>
                <w:sz w:val="20"/>
                <w:szCs w:val="20"/>
                <w:color w:val="auto"/>
              </w:rPr>
            </w:pPr>
            <w:r>
              <w:rPr>
                <w:rFonts w:ascii="Arial" w:cs="Arial" w:eastAsia="Arial" w:hAnsi="Arial"/>
                <w:sz w:val="14"/>
                <w:szCs w:val="14"/>
                <w:color w:val="auto"/>
              </w:rPr>
              <w:t>333,333</w:t>
            </w:r>
          </w:p>
        </w:tc>
        <w:tc>
          <w:tcPr>
            <w:tcW w:w="260" w:type="dxa"/>
            <w:vAlign w:val="bottom"/>
            <w:shd w:val="clear" w:color="auto" w:fill="F7F7F7"/>
          </w:tcPr>
          <w:p>
            <w:pPr>
              <w:ind w:left="1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F7F7F7"/>
          </w:tcPr>
          <w:p>
            <w:pPr>
              <w:jc w:val="right"/>
              <w:ind w:right="149"/>
              <w:spacing w:after="0"/>
              <w:rPr>
                <w:sz w:val="20"/>
                <w:szCs w:val="20"/>
                <w:color w:val="auto"/>
              </w:rPr>
            </w:pPr>
            <w:r>
              <w:rPr>
                <w:rFonts w:ascii="Arial" w:cs="Arial" w:eastAsia="Arial" w:hAnsi="Arial"/>
                <w:sz w:val="14"/>
                <w:szCs w:val="14"/>
                <w:color w:val="auto"/>
              </w:rPr>
              <w:t>500,000</w:t>
            </w:r>
          </w:p>
        </w:tc>
        <w:tc>
          <w:tcPr>
            <w:tcW w:w="16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F7F7F7"/>
          </w:tcPr>
          <w:p>
            <w:pPr>
              <w:jc w:val="right"/>
              <w:ind w:right="129"/>
              <w:spacing w:after="0"/>
              <w:rPr>
                <w:sz w:val="20"/>
                <w:szCs w:val="20"/>
                <w:color w:val="auto"/>
              </w:rPr>
            </w:pPr>
            <w:r>
              <w:rPr>
                <w:rFonts w:ascii="Arial" w:cs="Arial" w:eastAsia="Arial" w:hAnsi="Arial"/>
                <w:sz w:val="14"/>
                <w:szCs w:val="14"/>
                <w:color w:val="auto"/>
              </w:rPr>
              <w:t>—</w:t>
            </w:r>
          </w:p>
        </w:tc>
      </w:tr>
      <w:tr>
        <w:trPr>
          <w:trHeight w:val="106"/>
        </w:trPr>
        <w:tc>
          <w:tcPr>
            <w:tcW w:w="2880" w:type="dxa"/>
            <w:vAlign w:val="bottom"/>
            <w:tcBorders>
              <w:bottom w:val="single" w:sz="8" w:color="F7F7F7"/>
            </w:tcBorders>
            <w:shd w:val="clear" w:color="auto" w:fill="F7F7F7"/>
          </w:tcPr>
          <w:p>
            <w:pPr>
              <w:spacing w:after="0"/>
              <w:rPr>
                <w:sz w:val="9"/>
                <w:szCs w:val="9"/>
                <w:color w:val="auto"/>
              </w:rPr>
            </w:pPr>
          </w:p>
        </w:tc>
        <w:tc>
          <w:tcPr>
            <w:tcW w:w="2520" w:type="dxa"/>
            <w:vAlign w:val="bottom"/>
            <w:tcBorders>
              <w:bottom w:val="single" w:sz="8" w:color="auto"/>
            </w:tcBorders>
            <w:shd w:val="clear" w:color="auto" w:fill="F7F7F7"/>
          </w:tcPr>
          <w:p>
            <w:pPr>
              <w:spacing w:after="0"/>
              <w:rPr>
                <w:sz w:val="9"/>
                <w:szCs w:val="9"/>
                <w:color w:val="auto"/>
              </w:rPr>
            </w:pPr>
          </w:p>
        </w:tc>
        <w:tc>
          <w:tcPr>
            <w:tcW w:w="460" w:type="dxa"/>
            <w:vAlign w:val="bottom"/>
            <w:tcBorders>
              <w:bottom w:val="single" w:sz="8" w:color="auto"/>
            </w:tcBorders>
            <w:shd w:val="clear" w:color="auto" w:fill="F7F7F7"/>
          </w:tcPr>
          <w:p>
            <w:pPr>
              <w:spacing w:after="0"/>
              <w:rPr>
                <w:sz w:val="9"/>
                <w:szCs w:val="9"/>
                <w:color w:val="auto"/>
              </w:rPr>
            </w:pPr>
          </w:p>
        </w:tc>
        <w:tc>
          <w:tcPr>
            <w:tcW w:w="1080" w:type="dxa"/>
            <w:vAlign w:val="bottom"/>
            <w:tcBorders>
              <w:bottom w:val="single" w:sz="8" w:color="auto"/>
            </w:tcBorders>
            <w:shd w:val="clear" w:color="auto" w:fill="F7F7F7"/>
          </w:tcPr>
          <w:p>
            <w:pPr>
              <w:spacing w:after="0"/>
              <w:rPr>
                <w:sz w:val="9"/>
                <w:szCs w:val="9"/>
                <w:color w:val="auto"/>
              </w:rPr>
            </w:pPr>
          </w:p>
        </w:tc>
        <w:tc>
          <w:tcPr>
            <w:tcW w:w="260" w:type="dxa"/>
            <w:vAlign w:val="bottom"/>
            <w:tcBorders>
              <w:bottom w:val="single" w:sz="8" w:color="auto"/>
            </w:tcBorders>
            <w:shd w:val="clear" w:color="auto" w:fill="F7F7F7"/>
          </w:tcPr>
          <w:p>
            <w:pPr>
              <w:spacing w:after="0"/>
              <w:rPr>
                <w:sz w:val="9"/>
                <w:szCs w:val="9"/>
                <w:color w:val="auto"/>
              </w:rPr>
            </w:pPr>
          </w:p>
        </w:tc>
        <w:tc>
          <w:tcPr>
            <w:tcW w:w="1080" w:type="dxa"/>
            <w:vAlign w:val="bottom"/>
            <w:tcBorders>
              <w:bottom w:val="single" w:sz="8" w:color="auto"/>
            </w:tcBorders>
            <w:shd w:val="clear" w:color="auto" w:fill="F7F7F7"/>
          </w:tcPr>
          <w:p>
            <w:pPr>
              <w:spacing w:after="0"/>
              <w:rPr>
                <w:sz w:val="9"/>
                <w:szCs w:val="9"/>
                <w:color w:val="auto"/>
              </w:rPr>
            </w:pPr>
          </w:p>
        </w:tc>
        <w:tc>
          <w:tcPr>
            <w:tcW w:w="160" w:type="dxa"/>
            <w:vAlign w:val="bottom"/>
            <w:tcBorders>
              <w:bottom w:val="single" w:sz="8" w:color="auto"/>
            </w:tcBorders>
            <w:shd w:val="clear" w:color="auto" w:fill="F7F7F7"/>
          </w:tcPr>
          <w:p>
            <w:pPr>
              <w:spacing w:after="0"/>
              <w:rPr>
                <w:sz w:val="9"/>
                <w:szCs w:val="9"/>
                <w:color w:val="auto"/>
              </w:rPr>
            </w:pPr>
          </w:p>
        </w:tc>
        <w:tc>
          <w:tcPr>
            <w:tcW w:w="940" w:type="dxa"/>
            <w:vAlign w:val="bottom"/>
            <w:tcBorders>
              <w:bottom w:val="single" w:sz="8" w:color="auto"/>
            </w:tcBorders>
            <w:shd w:val="clear" w:color="auto" w:fill="F7F7F7"/>
          </w:tcPr>
          <w:p>
            <w:pPr>
              <w:spacing w:after="0"/>
              <w:rPr>
                <w:sz w:val="9"/>
                <w:szCs w:val="9"/>
                <w:color w:val="auto"/>
              </w:rPr>
            </w:pPr>
          </w:p>
        </w:tc>
      </w:tr>
      <w:tr>
        <w:trPr>
          <w:trHeight w:val="292"/>
        </w:trPr>
        <w:tc>
          <w:tcPr>
            <w:tcW w:w="2880" w:type="dxa"/>
            <w:vAlign w:val="bottom"/>
            <w:shd w:val="clear" w:color="auto" w:fill="F7F7F7"/>
          </w:tcPr>
          <w:p>
            <w:pPr>
              <w:spacing w:after="0"/>
              <w:rPr>
                <w:sz w:val="24"/>
                <w:szCs w:val="24"/>
                <w:color w:val="auto"/>
              </w:rPr>
            </w:pPr>
          </w:p>
        </w:tc>
        <w:tc>
          <w:tcPr>
            <w:tcW w:w="2520" w:type="dxa"/>
            <w:vAlign w:val="bottom"/>
            <w:shd w:val="clear" w:color="auto" w:fill="F7F7F7"/>
          </w:tcPr>
          <w:p>
            <w:pPr>
              <w:ind w:left="120"/>
              <w:spacing w:after="0"/>
              <w:rPr>
                <w:sz w:val="20"/>
                <w:szCs w:val="20"/>
                <w:color w:val="auto"/>
              </w:rPr>
            </w:pPr>
            <w:r>
              <w:rPr>
                <w:rFonts w:ascii="Arial" w:cs="Arial" w:eastAsia="Arial" w:hAnsi="Arial"/>
                <w:sz w:val="14"/>
                <w:szCs w:val="14"/>
                <w:color w:val="auto"/>
              </w:rPr>
              <w:t>Accelerated Vesting of Equity Awards</w:t>
            </w:r>
          </w:p>
        </w:tc>
        <w:tc>
          <w:tcPr>
            <w:tcW w:w="460" w:type="dxa"/>
            <w:vAlign w:val="bottom"/>
            <w:shd w:val="clear" w:color="auto" w:fill="F7F7F7"/>
          </w:tcPr>
          <w:p>
            <w:pPr>
              <w:spacing w:after="0"/>
              <w:rPr>
                <w:sz w:val="24"/>
                <w:szCs w:val="24"/>
                <w:color w:val="auto"/>
              </w:rPr>
            </w:pPr>
          </w:p>
        </w:tc>
        <w:tc>
          <w:tcPr>
            <w:tcW w:w="1080" w:type="dxa"/>
            <w:vAlign w:val="bottom"/>
            <w:shd w:val="clear" w:color="auto" w:fill="F7F7F7"/>
          </w:tcPr>
          <w:p>
            <w:pPr>
              <w:jc w:val="right"/>
              <w:ind w:right="211"/>
              <w:spacing w:after="0"/>
              <w:rPr>
                <w:sz w:val="20"/>
                <w:szCs w:val="20"/>
                <w:color w:val="auto"/>
              </w:rPr>
            </w:pPr>
            <w:r>
              <w:rPr>
                <w:rFonts w:ascii="Arial" w:cs="Arial" w:eastAsia="Arial" w:hAnsi="Arial"/>
                <w:sz w:val="14"/>
                <w:szCs w:val="14"/>
                <w:color w:val="auto"/>
              </w:rPr>
              <w:t>15,090,630</w:t>
            </w:r>
          </w:p>
        </w:tc>
        <w:tc>
          <w:tcPr>
            <w:tcW w:w="260" w:type="dxa"/>
            <w:vAlign w:val="bottom"/>
            <w:shd w:val="clear" w:color="auto" w:fill="F7F7F7"/>
          </w:tcPr>
          <w:p>
            <w:pPr>
              <w:spacing w:after="0"/>
              <w:rPr>
                <w:sz w:val="24"/>
                <w:szCs w:val="24"/>
                <w:color w:val="auto"/>
              </w:rPr>
            </w:pPr>
          </w:p>
        </w:tc>
        <w:tc>
          <w:tcPr>
            <w:tcW w:w="1080" w:type="dxa"/>
            <w:vAlign w:val="bottom"/>
            <w:shd w:val="clear" w:color="auto" w:fill="F7F7F7"/>
          </w:tcPr>
          <w:p>
            <w:pPr>
              <w:jc w:val="right"/>
              <w:ind w:right="149"/>
              <w:spacing w:after="0"/>
              <w:rPr>
                <w:sz w:val="20"/>
                <w:szCs w:val="20"/>
                <w:color w:val="auto"/>
              </w:rPr>
            </w:pPr>
            <w:r>
              <w:rPr>
                <w:rFonts w:ascii="Arial" w:cs="Arial" w:eastAsia="Arial" w:hAnsi="Arial"/>
                <w:sz w:val="14"/>
                <w:szCs w:val="14"/>
                <w:color w:val="auto"/>
              </w:rPr>
              <w:t>50,302,100</w:t>
            </w:r>
          </w:p>
        </w:tc>
        <w:tc>
          <w:tcPr>
            <w:tcW w:w="160" w:type="dxa"/>
            <w:vAlign w:val="bottom"/>
            <w:shd w:val="clear" w:color="auto" w:fill="F7F7F7"/>
          </w:tcPr>
          <w:p>
            <w:pPr>
              <w:spacing w:after="0"/>
              <w:rPr>
                <w:sz w:val="24"/>
                <w:szCs w:val="24"/>
                <w:color w:val="auto"/>
              </w:rPr>
            </w:pPr>
          </w:p>
        </w:tc>
        <w:tc>
          <w:tcPr>
            <w:tcW w:w="940" w:type="dxa"/>
            <w:vAlign w:val="bottom"/>
            <w:shd w:val="clear" w:color="auto" w:fill="F7F7F7"/>
          </w:tcPr>
          <w:p>
            <w:pPr>
              <w:jc w:val="right"/>
              <w:ind w:right="129"/>
              <w:spacing w:after="0"/>
              <w:rPr>
                <w:sz w:val="20"/>
                <w:szCs w:val="20"/>
                <w:color w:val="auto"/>
              </w:rPr>
            </w:pPr>
            <w:r>
              <w:rPr>
                <w:rFonts w:ascii="Arial" w:cs="Arial" w:eastAsia="Arial" w:hAnsi="Arial"/>
                <w:sz w:val="14"/>
                <w:szCs w:val="14"/>
                <w:color w:val="auto"/>
              </w:rPr>
              <w:t>50,302,100</w:t>
            </w:r>
          </w:p>
        </w:tc>
      </w:tr>
      <w:tr>
        <w:trPr>
          <w:trHeight w:val="107"/>
        </w:trPr>
        <w:tc>
          <w:tcPr>
            <w:tcW w:w="2880" w:type="dxa"/>
            <w:vAlign w:val="bottom"/>
            <w:tcBorders>
              <w:bottom w:val="single" w:sz="8" w:color="F7F7F7"/>
            </w:tcBorders>
            <w:shd w:val="clear" w:color="auto" w:fill="F7F7F7"/>
          </w:tcPr>
          <w:p>
            <w:pPr>
              <w:spacing w:after="0"/>
              <w:rPr>
                <w:sz w:val="9"/>
                <w:szCs w:val="9"/>
                <w:color w:val="auto"/>
              </w:rPr>
            </w:pPr>
          </w:p>
        </w:tc>
        <w:tc>
          <w:tcPr>
            <w:tcW w:w="2520" w:type="dxa"/>
            <w:vAlign w:val="bottom"/>
            <w:tcBorders>
              <w:bottom w:val="single" w:sz="8" w:color="auto"/>
            </w:tcBorders>
            <w:shd w:val="clear" w:color="auto" w:fill="F7F7F7"/>
          </w:tcPr>
          <w:p>
            <w:pPr>
              <w:spacing w:after="0"/>
              <w:rPr>
                <w:sz w:val="9"/>
                <w:szCs w:val="9"/>
                <w:color w:val="auto"/>
              </w:rPr>
            </w:pPr>
          </w:p>
        </w:tc>
        <w:tc>
          <w:tcPr>
            <w:tcW w:w="460" w:type="dxa"/>
            <w:vAlign w:val="bottom"/>
            <w:tcBorders>
              <w:bottom w:val="single" w:sz="8" w:color="auto"/>
            </w:tcBorders>
            <w:shd w:val="clear" w:color="auto" w:fill="F7F7F7"/>
          </w:tcPr>
          <w:p>
            <w:pPr>
              <w:spacing w:after="0"/>
              <w:rPr>
                <w:sz w:val="9"/>
                <w:szCs w:val="9"/>
                <w:color w:val="auto"/>
              </w:rPr>
            </w:pPr>
          </w:p>
        </w:tc>
        <w:tc>
          <w:tcPr>
            <w:tcW w:w="1080" w:type="dxa"/>
            <w:vAlign w:val="bottom"/>
            <w:tcBorders>
              <w:bottom w:val="single" w:sz="8" w:color="auto"/>
            </w:tcBorders>
            <w:shd w:val="clear" w:color="auto" w:fill="F7F7F7"/>
          </w:tcPr>
          <w:p>
            <w:pPr>
              <w:spacing w:after="0"/>
              <w:rPr>
                <w:sz w:val="9"/>
                <w:szCs w:val="9"/>
                <w:color w:val="auto"/>
              </w:rPr>
            </w:pPr>
          </w:p>
        </w:tc>
        <w:tc>
          <w:tcPr>
            <w:tcW w:w="260" w:type="dxa"/>
            <w:vAlign w:val="bottom"/>
            <w:tcBorders>
              <w:bottom w:val="single" w:sz="8" w:color="auto"/>
            </w:tcBorders>
            <w:shd w:val="clear" w:color="auto" w:fill="F7F7F7"/>
          </w:tcPr>
          <w:p>
            <w:pPr>
              <w:spacing w:after="0"/>
              <w:rPr>
                <w:sz w:val="9"/>
                <w:szCs w:val="9"/>
                <w:color w:val="auto"/>
              </w:rPr>
            </w:pPr>
          </w:p>
        </w:tc>
        <w:tc>
          <w:tcPr>
            <w:tcW w:w="1080" w:type="dxa"/>
            <w:vAlign w:val="bottom"/>
            <w:tcBorders>
              <w:bottom w:val="single" w:sz="8" w:color="auto"/>
            </w:tcBorders>
            <w:shd w:val="clear" w:color="auto" w:fill="F7F7F7"/>
          </w:tcPr>
          <w:p>
            <w:pPr>
              <w:spacing w:after="0"/>
              <w:rPr>
                <w:sz w:val="9"/>
                <w:szCs w:val="9"/>
                <w:color w:val="auto"/>
              </w:rPr>
            </w:pPr>
          </w:p>
        </w:tc>
        <w:tc>
          <w:tcPr>
            <w:tcW w:w="160" w:type="dxa"/>
            <w:vAlign w:val="bottom"/>
            <w:tcBorders>
              <w:bottom w:val="single" w:sz="8" w:color="auto"/>
            </w:tcBorders>
            <w:shd w:val="clear" w:color="auto" w:fill="F7F7F7"/>
          </w:tcPr>
          <w:p>
            <w:pPr>
              <w:spacing w:after="0"/>
              <w:rPr>
                <w:sz w:val="9"/>
                <w:szCs w:val="9"/>
                <w:color w:val="auto"/>
              </w:rPr>
            </w:pPr>
          </w:p>
        </w:tc>
        <w:tc>
          <w:tcPr>
            <w:tcW w:w="940" w:type="dxa"/>
            <w:vAlign w:val="bottom"/>
            <w:tcBorders>
              <w:bottom w:val="single" w:sz="8" w:color="auto"/>
            </w:tcBorders>
            <w:shd w:val="clear" w:color="auto" w:fill="F7F7F7"/>
          </w:tcPr>
          <w:p>
            <w:pPr>
              <w:spacing w:after="0"/>
              <w:rPr>
                <w:sz w:val="9"/>
                <w:szCs w:val="9"/>
                <w:color w:val="auto"/>
              </w:rPr>
            </w:pPr>
          </w:p>
        </w:tc>
      </w:tr>
      <w:tr>
        <w:trPr>
          <w:trHeight w:val="292"/>
        </w:trPr>
        <w:tc>
          <w:tcPr>
            <w:tcW w:w="2880" w:type="dxa"/>
            <w:vAlign w:val="bottom"/>
            <w:shd w:val="clear" w:color="auto" w:fill="F7F7F7"/>
          </w:tcPr>
          <w:p>
            <w:pPr>
              <w:spacing w:after="0"/>
              <w:rPr>
                <w:sz w:val="24"/>
                <w:szCs w:val="24"/>
                <w:color w:val="auto"/>
              </w:rPr>
            </w:pPr>
          </w:p>
        </w:tc>
        <w:tc>
          <w:tcPr>
            <w:tcW w:w="2520" w:type="dxa"/>
            <w:vAlign w:val="bottom"/>
            <w:shd w:val="clear" w:color="auto" w:fill="F7F7F7"/>
          </w:tcPr>
          <w:p>
            <w:pPr>
              <w:ind w:left="120"/>
              <w:spacing w:after="0"/>
              <w:rPr>
                <w:sz w:val="20"/>
                <w:szCs w:val="20"/>
                <w:color w:val="auto"/>
              </w:rPr>
            </w:pPr>
            <w:r>
              <w:rPr>
                <w:rFonts w:ascii="Arial" w:cs="Arial" w:eastAsia="Arial" w:hAnsi="Arial"/>
                <w:sz w:val="14"/>
                <w:szCs w:val="14"/>
                <w:color w:val="auto"/>
              </w:rPr>
              <w:t>Health Benefits</w:t>
            </w:r>
          </w:p>
        </w:tc>
        <w:tc>
          <w:tcPr>
            <w:tcW w:w="460" w:type="dxa"/>
            <w:vAlign w:val="bottom"/>
            <w:shd w:val="clear" w:color="auto" w:fill="F7F7F7"/>
          </w:tcPr>
          <w:p>
            <w:pPr>
              <w:spacing w:after="0"/>
              <w:rPr>
                <w:sz w:val="24"/>
                <w:szCs w:val="24"/>
                <w:color w:val="auto"/>
              </w:rPr>
            </w:pPr>
          </w:p>
        </w:tc>
        <w:tc>
          <w:tcPr>
            <w:tcW w:w="1080" w:type="dxa"/>
            <w:vAlign w:val="bottom"/>
            <w:shd w:val="clear" w:color="auto" w:fill="F7F7F7"/>
          </w:tcPr>
          <w:p>
            <w:pPr>
              <w:jc w:val="right"/>
              <w:ind w:right="211"/>
              <w:spacing w:after="0"/>
              <w:rPr>
                <w:sz w:val="20"/>
                <w:szCs w:val="20"/>
                <w:color w:val="auto"/>
              </w:rPr>
            </w:pPr>
            <w:r>
              <w:rPr>
                <w:rFonts w:ascii="Arial" w:cs="Arial" w:eastAsia="Arial" w:hAnsi="Arial"/>
                <w:sz w:val="14"/>
                <w:szCs w:val="14"/>
                <w:color w:val="auto"/>
              </w:rPr>
              <w:t>20,466</w:t>
            </w:r>
          </w:p>
        </w:tc>
        <w:tc>
          <w:tcPr>
            <w:tcW w:w="260" w:type="dxa"/>
            <w:vAlign w:val="bottom"/>
            <w:shd w:val="clear" w:color="auto" w:fill="F7F7F7"/>
          </w:tcPr>
          <w:p>
            <w:pPr>
              <w:spacing w:after="0"/>
              <w:rPr>
                <w:sz w:val="24"/>
                <w:szCs w:val="24"/>
                <w:color w:val="auto"/>
              </w:rPr>
            </w:pPr>
          </w:p>
        </w:tc>
        <w:tc>
          <w:tcPr>
            <w:tcW w:w="1080" w:type="dxa"/>
            <w:vAlign w:val="bottom"/>
            <w:shd w:val="clear" w:color="auto" w:fill="F7F7F7"/>
          </w:tcPr>
          <w:p>
            <w:pPr>
              <w:jc w:val="right"/>
              <w:ind w:right="149"/>
              <w:spacing w:after="0"/>
              <w:rPr>
                <w:sz w:val="20"/>
                <w:szCs w:val="20"/>
                <w:color w:val="auto"/>
              </w:rPr>
            </w:pPr>
            <w:r>
              <w:rPr>
                <w:rFonts w:ascii="Arial" w:cs="Arial" w:eastAsia="Arial" w:hAnsi="Arial"/>
                <w:sz w:val="14"/>
                <w:szCs w:val="14"/>
                <w:color w:val="auto"/>
              </w:rPr>
              <w:t>29,628</w:t>
            </w:r>
          </w:p>
        </w:tc>
        <w:tc>
          <w:tcPr>
            <w:tcW w:w="160" w:type="dxa"/>
            <w:vAlign w:val="bottom"/>
            <w:shd w:val="clear" w:color="auto" w:fill="F7F7F7"/>
          </w:tcPr>
          <w:p>
            <w:pPr>
              <w:spacing w:after="0"/>
              <w:rPr>
                <w:sz w:val="24"/>
                <w:szCs w:val="24"/>
                <w:color w:val="auto"/>
              </w:rPr>
            </w:pPr>
          </w:p>
        </w:tc>
        <w:tc>
          <w:tcPr>
            <w:tcW w:w="940" w:type="dxa"/>
            <w:vAlign w:val="bottom"/>
            <w:shd w:val="clear" w:color="auto" w:fill="F7F7F7"/>
          </w:tcPr>
          <w:p>
            <w:pPr>
              <w:jc w:val="right"/>
              <w:ind w:right="129"/>
              <w:spacing w:after="0"/>
              <w:rPr>
                <w:sz w:val="20"/>
                <w:szCs w:val="20"/>
                <w:color w:val="auto"/>
              </w:rPr>
            </w:pPr>
            <w:r>
              <w:rPr>
                <w:rFonts w:ascii="Arial" w:cs="Arial" w:eastAsia="Arial" w:hAnsi="Arial"/>
                <w:sz w:val="14"/>
                <w:szCs w:val="14"/>
                <w:color w:val="auto"/>
              </w:rPr>
              <w:t>—</w:t>
            </w:r>
          </w:p>
        </w:tc>
      </w:tr>
      <w:tr>
        <w:trPr>
          <w:trHeight w:val="106"/>
        </w:trPr>
        <w:tc>
          <w:tcPr>
            <w:tcW w:w="2880" w:type="dxa"/>
            <w:vAlign w:val="bottom"/>
            <w:tcBorders>
              <w:bottom w:val="single" w:sz="8" w:color="F7F7F7"/>
            </w:tcBorders>
            <w:shd w:val="clear" w:color="auto" w:fill="F7F7F7"/>
          </w:tcPr>
          <w:p>
            <w:pPr>
              <w:spacing w:after="0"/>
              <w:rPr>
                <w:sz w:val="9"/>
                <w:szCs w:val="9"/>
                <w:color w:val="auto"/>
              </w:rPr>
            </w:pPr>
          </w:p>
        </w:tc>
        <w:tc>
          <w:tcPr>
            <w:tcW w:w="2520" w:type="dxa"/>
            <w:vAlign w:val="bottom"/>
            <w:tcBorders>
              <w:bottom w:val="single" w:sz="8" w:color="auto"/>
            </w:tcBorders>
            <w:shd w:val="clear" w:color="auto" w:fill="F7F7F7"/>
          </w:tcPr>
          <w:p>
            <w:pPr>
              <w:spacing w:after="0"/>
              <w:rPr>
                <w:sz w:val="9"/>
                <w:szCs w:val="9"/>
                <w:color w:val="auto"/>
              </w:rPr>
            </w:pPr>
          </w:p>
        </w:tc>
        <w:tc>
          <w:tcPr>
            <w:tcW w:w="460" w:type="dxa"/>
            <w:vAlign w:val="bottom"/>
            <w:tcBorders>
              <w:bottom w:val="single" w:sz="8" w:color="auto"/>
            </w:tcBorders>
            <w:shd w:val="clear" w:color="auto" w:fill="F7F7F7"/>
          </w:tcPr>
          <w:p>
            <w:pPr>
              <w:spacing w:after="0"/>
              <w:rPr>
                <w:sz w:val="9"/>
                <w:szCs w:val="9"/>
                <w:color w:val="auto"/>
              </w:rPr>
            </w:pPr>
          </w:p>
        </w:tc>
        <w:tc>
          <w:tcPr>
            <w:tcW w:w="1080" w:type="dxa"/>
            <w:vAlign w:val="bottom"/>
            <w:tcBorders>
              <w:bottom w:val="single" w:sz="8" w:color="auto"/>
            </w:tcBorders>
            <w:shd w:val="clear" w:color="auto" w:fill="F7F7F7"/>
          </w:tcPr>
          <w:p>
            <w:pPr>
              <w:spacing w:after="0"/>
              <w:rPr>
                <w:sz w:val="9"/>
                <w:szCs w:val="9"/>
                <w:color w:val="auto"/>
              </w:rPr>
            </w:pPr>
          </w:p>
        </w:tc>
        <w:tc>
          <w:tcPr>
            <w:tcW w:w="260" w:type="dxa"/>
            <w:vAlign w:val="bottom"/>
            <w:tcBorders>
              <w:bottom w:val="single" w:sz="8" w:color="auto"/>
            </w:tcBorders>
            <w:shd w:val="clear" w:color="auto" w:fill="F7F7F7"/>
          </w:tcPr>
          <w:p>
            <w:pPr>
              <w:spacing w:after="0"/>
              <w:rPr>
                <w:sz w:val="9"/>
                <w:szCs w:val="9"/>
                <w:color w:val="auto"/>
              </w:rPr>
            </w:pPr>
          </w:p>
        </w:tc>
        <w:tc>
          <w:tcPr>
            <w:tcW w:w="1080" w:type="dxa"/>
            <w:vAlign w:val="bottom"/>
            <w:tcBorders>
              <w:bottom w:val="single" w:sz="8" w:color="auto"/>
            </w:tcBorders>
            <w:shd w:val="clear" w:color="auto" w:fill="F7F7F7"/>
          </w:tcPr>
          <w:p>
            <w:pPr>
              <w:spacing w:after="0"/>
              <w:rPr>
                <w:sz w:val="9"/>
                <w:szCs w:val="9"/>
                <w:color w:val="auto"/>
              </w:rPr>
            </w:pPr>
          </w:p>
        </w:tc>
        <w:tc>
          <w:tcPr>
            <w:tcW w:w="160" w:type="dxa"/>
            <w:vAlign w:val="bottom"/>
            <w:tcBorders>
              <w:bottom w:val="single" w:sz="8" w:color="auto"/>
            </w:tcBorders>
            <w:shd w:val="clear" w:color="auto" w:fill="F7F7F7"/>
          </w:tcPr>
          <w:p>
            <w:pPr>
              <w:spacing w:after="0"/>
              <w:rPr>
                <w:sz w:val="9"/>
                <w:szCs w:val="9"/>
                <w:color w:val="auto"/>
              </w:rPr>
            </w:pPr>
          </w:p>
        </w:tc>
        <w:tc>
          <w:tcPr>
            <w:tcW w:w="940" w:type="dxa"/>
            <w:vAlign w:val="bottom"/>
            <w:tcBorders>
              <w:bottom w:val="single" w:sz="8" w:color="auto"/>
            </w:tcBorders>
            <w:shd w:val="clear" w:color="auto" w:fill="F7F7F7"/>
          </w:tcPr>
          <w:p>
            <w:pPr>
              <w:spacing w:after="0"/>
              <w:rPr>
                <w:sz w:val="9"/>
                <w:szCs w:val="9"/>
                <w:color w:val="auto"/>
              </w:rPr>
            </w:pPr>
          </w:p>
        </w:tc>
      </w:tr>
      <w:tr>
        <w:trPr>
          <w:trHeight w:val="292"/>
        </w:trPr>
        <w:tc>
          <w:tcPr>
            <w:tcW w:w="2880" w:type="dxa"/>
            <w:vAlign w:val="bottom"/>
            <w:shd w:val="clear" w:color="auto" w:fill="F7F7F7"/>
          </w:tcPr>
          <w:p>
            <w:pPr>
              <w:spacing w:after="0"/>
              <w:rPr>
                <w:sz w:val="24"/>
                <w:szCs w:val="24"/>
                <w:color w:val="auto"/>
              </w:rPr>
            </w:pPr>
          </w:p>
        </w:tc>
        <w:tc>
          <w:tcPr>
            <w:tcW w:w="2520" w:type="dxa"/>
            <w:vAlign w:val="bottom"/>
            <w:shd w:val="clear" w:color="auto" w:fill="F7F7F7"/>
          </w:tcPr>
          <w:p>
            <w:pPr>
              <w:ind w:left="120"/>
              <w:spacing w:after="0"/>
              <w:rPr>
                <w:sz w:val="20"/>
                <w:szCs w:val="20"/>
                <w:color w:val="auto"/>
              </w:rPr>
            </w:pPr>
            <w:r>
              <w:rPr>
                <w:rFonts w:ascii="Arial" w:cs="Arial" w:eastAsia="Arial" w:hAnsi="Arial"/>
                <w:sz w:val="14"/>
                <w:szCs w:val="14"/>
                <w:color w:val="auto"/>
              </w:rPr>
              <w:t>Total</w:t>
            </w:r>
          </w:p>
        </w:tc>
        <w:tc>
          <w:tcPr>
            <w:tcW w:w="460" w:type="dxa"/>
            <w:vAlign w:val="bottom"/>
            <w:shd w:val="clear" w:color="auto" w:fill="F7F7F7"/>
          </w:tcPr>
          <w:p>
            <w:pPr>
              <w:ind w:left="380"/>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F7F7F7"/>
          </w:tcPr>
          <w:p>
            <w:pPr>
              <w:jc w:val="right"/>
              <w:ind w:right="211"/>
              <w:spacing w:after="0"/>
              <w:rPr>
                <w:sz w:val="20"/>
                <w:szCs w:val="20"/>
                <w:color w:val="auto"/>
              </w:rPr>
            </w:pPr>
            <w:r>
              <w:rPr>
                <w:rFonts w:ascii="Arial" w:cs="Arial" w:eastAsia="Arial" w:hAnsi="Arial"/>
                <w:sz w:val="14"/>
                <w:szCs w:val="14"/>
                <w:color w:val="auto"/>
              </w:rPr>
              <w:t>15,444,429</w:t>
            </w:r>
          </w:p>
        </w:tc>
        <w:tc>
          <w:tcPr>
            <w:tcW w:w="260" w:type="dxa"/>
            <w:vAlign w:val="bottom"/>
            <w:shd w:val="clear" w:color="auto" w:fill="F7F7F7"/>
          </w:tcPr>
          <w:p>
            <w:pPr>
              <w:ind w:left="1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F7F7F7"/>
          </w:tcPr>
          <w:p>
            <w:pPr>
              <w:jc w:val="right"/>
              <w:ind w:right="149"/>
              <w:spacing w:after="0"/>
              <w:rPr>
                <w:sz w:val="20"/>
                <w:szCs w:val="20"/>
                <w:color w:val="auto"/>
              </w:rPr>
            </w:pPr>
            <w:r>
              <w:rPr>
                <w:rFonts w:ascii="Arial" w:cs="Arial" w:eastAsia="Arial" w:hAnsi="Arial"/>
                <w:sz w:val="14"/>
                <w:szCs w:val="14"/>
                <w:color w:val="auto"/>
              </w:rPr>
              <w:t>50,831,728</w:t>
            </w:r>
          </w:p>
        </w:tc>
        <w:tc>
          <w:tcPr>
            <w:tcW w:w="16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F7F7F7"/>
          </w:tcPr>
          <w:p>
            <w:pPr>
              <w:jc w:val="right"/>
              <w:ind w:right="129"/>
              <w:spacing w:after="0"/>
              <w:rPr>
                <w:sz w:val="20"/>
                <w:szCs w:val="20"/>
                <w:color w:val="auto"/>
              </w:rPr>
            </w:pPr>
            <w:r>
              <w:rPr>
                <w:rFonts w:ascii="Arial" w:cs="Arial" w:eastAsia="Arial" w:hAnsi="Arial"/>
                <w:sz w:val="14"/>
                <w:szCs w:val="14"/>
                <w:color w:val="auto"/>
              </w:rPr>
              <w:t>50,302,100</w:t>
            </w:r>
          </w:p>
        </w:tc>
      </w:tr>
      <w:tr>
        <w:trPr>
          <w:trHeight w:val="106"/>
        </w:trPr>
        <w:tc>
          <w:tcPr>
            <w:tcW w:w="2880" w:type="dxa"/>
            <w:vAlign w:val="bottom"/>
            <w:tcBorders>
              <w:bottom w:val="single" w:sz="8" w:color="auto"/>
            </w:tcBorders>
            <w:shd w:val="clear" w:color="auto" w:fill="F7F7F7"/>
          </w:tcPr>
          <w:p>
            <w:pPr>
              <w:spacing w:after="0"/>
              <w:rPr>
                <w:sz w:val="9"/>
                <w:szCs w:val="9"/>
                <w:color w:val="auto"/>
              </w:rPr>
            </w:pPr>
          </w:p>
        </w:tc>
        <w:tc>
          <w:tcPr>
            <w:tcW w:w="2520" w:type="dxa"/>
            <w:vAlign w:val="bottom"/>
            <w:tcBorders>
              <w:bottom w:val="single" w:sz="8" w:color="auto"/>
            </w:tcBorders>
            <w:shd w:val="clear" w:color="auto" w:fill="F7F7F7"/>
          </w:tcPr>
          <w:p>
            <w:pPr>
              <w:spacing w:after="0"/>
              <w:rPr>
                <w:sz w:val="9"/>
                <w:szCs w:val="9"/>
                <w:color w:val="auto"/>
              </w:rPr>
            </w:pPr>
          </w:p>
        </w:tc>
        <w:tc>
          <w:tcPr>
            <w:tcW w:w="460" w:type="dxa"/>
            <w:vAlign w:val="bottom"/>
            <w:tcBorders>
              <w:bottom w:val="single" w:sz="8" w:color="auto"/>
            </w:tcBorders>
            <w:shd w:val="clear" w:color="auto" w:fill="F7F7F7"/>
          </w:tcPr>
          <w:p>
            <w:pPr>
              <w:spacing w:after="0"/>
              <w:rPr>
                <w:sz w:val="9"/>
                <w:szCs w:val="9"/>
                <w:color w:val="auto"/>
              </w:rPr>
            </w:pPr>
          </w:p>
        </w:tc>
        <w:tc>
          <w:tcPr>
            <w:tcW w:w="1080" w:type="dxa"/>
            <w:vAlign w:val="bottom"/>
            <w:tcBorders>
              <w:bottom w:val="single" w:sz="8" w:color="auto"/>
            </w:tcBorders>
            <w:shd w:val="clear" w:color="auto" w:fill="F7F7F7"/>
          </w:tcPr>
          <w:p>
            <w:pPr>
              <w:spacing w:after="0"/>
              <w:rPr>
                <w:sz w:val="9"/>
                <w:szCs w:val="9"/>
                <w:color w:val="auto"/>
              </w:rPr>
            </w:pPr>
          </w:p>
        </w:tc>
        <w:tc>
          <w:tcPr>
            <w:tcW w:w="260" w:type="dxa"/>
            <w:vAlign w:val="bottom"/>
            <w:tcBorders>
              <w:bottom w:val="single" w:sz="8" w:color="auto"/>
            </w:tcBorders>
            <w:shd w:val="clear" w:color="auto" w:fill="F7F7F7"/>
          </w:tcPr>
          <w:p>
            <w:pPr>
              <w:spacing w:after="0"/>
              <w:rPr>
                <w:sz w:val="9"/>
                <w:szCs w:val="9"/>
                <w:color w:val="auto"/>
              </w:rPr>
            </w:pPr>
          </w:p>
        </w:tc>
        <w:tc>
          <w:tcPr>
            <w:tcW w:w="1080" w:type="dxa"/>
            <w:vAlign w:val="bottom"/>
            <w:tcBorders>
              <w:bottom w:val="single" w:sz="8" w:color="auto"/>
            </w:tcBorders>
            <w:shd w:val="clear" w:color="auto" w:fill="F7F7F7"/>
          </w:tcPr>
          <w:p>
            <w:pPr>
              <w:spacing w:after="0"/>
              <w:rPr>
                <w:sz w:val="9"/>
                <w:szCs w:val="9"/>
                <w:color w:val="auto"/>
              </w:rPr>
            </w:pPr>
          </w:p>
        </w:tc>
        <w:tc>
          <w:tcPr>
            <w:tcW w:w="160" w:type="dxa"/>
            <w:vAlign w:val="bottom"/>
            <w:tcBorders>
              <w:bottom w:val="single" w:sz="8" w:color="auto"/>
            </w:tcBorders>
            <w:shd w:val="clear" w:color="auto" w:fill="F7F7F7"/>
          </w:tcPr>
          <w:p>
            <w:pPr>
              <w:spacing w:after="0"/>
              <w:rPr>
                <w:sz w:val="9"/>
                <w:szCs w:val="9"/>
                <w:color w:val="auto"/>
              </w:rPr>
            </w:pPr>
          </w:p>
        </w:tc>
        <w:tc>
          <w:tcPr>
            <w:tcW w:w="940" w:type="dxa"/>
            <w:vAlign w:val="bottom"/>
            <w:tcBorders>
              <w:bottom w:val="single" w:sz="8" w:color="auto"/>
            </w:tcBorders>
            <w:shd w:val="clear" w:color="auto" w:fill="F7F7F7"/>
          </w:tcPr>
          <w:p>
            <w:pPr>
              <w:spacing w:after="0"/>
              <w:rPr>
                <w:sz w:val="9"/>
                <w:szCs w:val="9"/>
                <w:color w:val="auto"/>
              </w:rPr>
            </w:pPr>
          </w:p>
        </w:tc>
      </w:tr>
    </w:tbl>
    <w:p>
      <w:pPr>
        <w:spacing w:after="0" w:line="280" w:lineRule="exact"/>
        <w:rPr>
          <w:sz w:val="20"/>
          <w:szCs w:val="20"/>
          <w:color w:val="auto"/>
        </w:rPr>
      </w:pPr>
    </w:p>
    <w:p>
      <w:pPr>
        <w:ind w:left="780" w:right="120" w:hanging="126"/>
        <w:spacing w:after="0"/>
        <w:tabs>
          <w:tab w:leader="none" w:pos="780" w:val="left"/>
        </w:tabs>
        <w:numPr>
          <w:ilvl w:val="0"/>
          <w:numId w:val="44"/>
        </w:numPr>
        <w:rPr>
          <w:rFonts w:ascii="Arial" w:cs="Arial" w:eastAsia="Arial" w:hAnsi="Arial"/>
          <w:sz w:val="15"/>
          <w:szCs w:val="15"/>
          <w:color w:val="auto"/>
          <w:vertAlign w:val="superscript"/>
        </w:rPr>
      </w:pPr>
      <w:r>
        <w:rPr>
          <w:rFonts w:ascii="Arial" w:cs="Arial" w:eastAsia="Arial" w:hAnsi="Arial"/>
          <w:sz w:val="10"/>
          <w:szCs w:val="10"/>
          <w:color w:val="auto"/>
        </w:rPr>
        <w:t>Under the Acceleration Policy, except in the case of the CEO Time-Based RSUs and CEO Performance RSUs, upon the death or disability of an NEO on December 31, 2021, all of such NEO’s outstanding equity awards would have vested. In addition, the NEOs are eligible for executive short-term and long-term disability benefits in the amounts of $3,000 per week and $15,000 per month, respectively.</w:t>
      </w:r>
    </w:p>
    <w:p>
      <w:pPr>
        <w:spacing w:after="0" w:line="171" w:lineRule="exact"/>
        <w:rPr>
          <w:rFonts w:ascii="Arial" w:cs="Arial" w:eastAsia="Arial" w:hAnsi="Arial"/>
          <w:sz w:val="15"/>
          <w:szCs w:val="15"/>
          <w:color w:val="auto"/>
          <w:vertAlign w:val="superscript"/>
        </w:rPr>
      </w:pPr>
    </w:p>
    <w:p>
      <w:pPr>
        <w:ind w:left="780" w:right="60" w:hanging="126"/>
        <w:spacing w:after="0" w:line="236" w:lineRule="auto"/>
        <w:tabs>
          <w:tab w:leader="none" w:pos="780" w:val="left"/>
        </w:tabs>
        <w:numPr>
          <w:ilvl w:val="0"/>
          <w:numId w:val="44"/>
        </w:numPr>
        <w:rPr>
          <w:rFonts w:ascii="Arial" w:cs="Arial" w:eastAsia="Arial" w:hAnsi="Arial"/>
          <w:sz w:val="15"/>
          <w:szCs w:val="15"/>
          <w:color w:val="auto"/>
          <w:vertAlign w:val="superscript"/>
        </w:rPr>
      </w:pPr>
      <w:r>
        <w:rPr>
          <w:rFonts w:ascii="Arial" w:cs="Arial" w:eastAsia="Arial" w:hAnsi="Arial"/>
          <w:sz w:val="10"/>
          <w:szCs w:val="10"/>
          <w:color w:val="auto"/>
        </w:rPr>
        <w:t>Assuming a termination without cause or a constructive termination on December 31, 2021, the CEO Time-Based RSUs would have been forfeited, and the CEO Performance RSUs would have remained outstanding and eligible to vest upon attainment of the Performance Goals for six months following such termination of employment, after which time any remaining unvested CEO Performance RSUs would be forfeited. As discussed in “Update on CEO Grant,” Lucid achieved the 6-month market capitalization target associated with the first four (of five) vesting tranches of the CEO Performance RSUs as of January 25, 2022. As a result, at least the same number of CEO Performance RSUs that actually vested upon achieving those targets (13,934,272 CEO Performance RSUs) would have vested had Mr. Rawlinson’s employment been terminated without cause or due to constructive termination on December 31, 2021. In connection with such a termination, the final tranche of CEO Performance RSUs could have also vested to the extent the market capitalization target for the final tranche was achieved by June 30, 2022.</w:t>
      </w:r>
    </w:p>
    <w:p>
      <w:pPr>
        <w:spacing w:after="0" w:line="102" w:lineRule="exact"/>
        <w:rPr>
          <w:rFonts w:ascii="Arial" w:cs="Arial" w:eastAsia="Arial" w:hAnsi="Arial"/>
          <w:sz w:val="15"/>
          <w:szCs w:val="15"/>
          <w:color w:val="auto"/>
          <w:vertAlign w:val="superscript"/>
        </w:rPr>
      </w:pPr>
    </w:p>
    <w:p>
      <w:pPr>
        <w:ind w:left="780" w:right="20" w:hanging="126"/>
        <w:spacing w:after="0" w:line="238" w:lineRule="auto"/>
        <w:tabs>
          <w:tab w:leader="none" w:pos="780" w:val="left"/>
        </w:tabs>
        <w:numPr>
          <w:ilvl w:val="0"/>
          <w:numId w:val="44"/>
        </w:numPr>
        <w:rPr>
          <w:rFonts w:ascii="Arial" w:cs="Arial" w:eastAsia="Arial" w:hAnsi="Arial"/>
          <w:sz w:val="15"/>
          <w:szCs w:val="15"/>
          <w:color w:val="auto"/>
          <w:vertAlign w:val="superscript"/>
        </w:rPr>
      </w:pPr>
      <w:r>
        <w:rPr>
          <w:rFonts w:ascii="Arial" w:cs="Arial" w:eastAsia="Arial" w:hAnsi="Arial"/>
          <w:sz w:val="10"/>
          <w:szCs w:val="10"/>
          <w:color w:val="auto"/>
        </w:rPr>
        <w:t>Represents the value of unvested CEO Time-Based RSUs as of December 31, 2021 (an aggregate of 12,970,078 RSUs) which would have vested upon a termination of employment without cause or upon constructive termination on such date, assuming a change in control occurred on such date. The value is based on the closing price of our common stock on December 31, 2021 ($38.05). Separately, if a change in control of Lucid had occurred on December 31, 2021, then each CEO Performance RSU tranche would have vested to the extent the change in control value (the product of the number of our shares outstanding as of such date and the per share price received in the change in control) equaled or exceeded the 6-month market capitalization threshold applicable to such tranche. Assuming a per share price received in such a hypothetical change in control on December 31, 2021 equal to the closing price of our common stock on December 31, 2021 ($38.05), the first four (of five) tranches of CEO Performance RSUs (an aggregate of 13,934,272 CEO Performance RSUs) would have vested as of such date, which is the same number of CEO Performance RSUs that actually vested based on achievement of the 6-month market capitalization thresholds applicable to such tranches.</w:t>
      </w:r>
    </w:p>
    <w:p>
      <w:pPr>
        <w:sectPr>
          <w:pgSz w:w="11900" w:h="16838" w:orient="portrait"/>
          <w:cols w:equalWidth="0" w:num="1">
            <w:col w:w="10040"/>
          </w:cols>
          <w:pgMar w:left="580" w:top="132" w:right="1279" w:bottom="1440" w:gutter="0" w:footer="0" w:header="0"/>
        </w:sectPr>
      </w:pPr>
    </w:p>
    <w:p>
      <w:pPr>
        <w:spacing w:after="0" w:line="395"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2"/>
          <w:szCs w:val="12"/>
          <w:b w:val="1"/>
          <w:bCs w:val="1"/>
          <w:color w:val="auto"/>
        </w:rPr>
        <w:t>62</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110490</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type w:val="continuous"/>
        </w:sectPr>
      </w:pPr>
    </w:p>
    <w:bookmarkStart w:id="71" w:name="page72"/>
    <w:bookmarkEnd w:id="71"/>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36"/>
          <w:szCs w:val="36"/>
          <w:b w:val="1"/>
          <w:bCs w:val="1"/>
          <w:color w:val="auto"/>
        </w:rPr>
        <w:t>Director Compensation</w:t>
      </w:r>
    </w:p>
    <w:p>
      <w:pPr>
        <w:spacing w:after="0" w:line="200" w:lineRule="exact"/>
        <w:rPr>
          <w:sz w:val="20"/>
          <w:szCs w:val="20"/>
          <w:color w:val="auto"/>
        </w:rPr>
      </w:pPr>
    </w:p>
    <w:p>
      <w:pPr>
        <w:spacing w:after="0" w:line="210" w:lineRule="exact"/>
        <w:rPr>
          <w:sz w:val="20"/>
          <w:szCs w:val="20"/>
          <w:color w:val="auto"/>
        </w:rPr>
      </w:pPr>
    </w:p>
    <w:p>
      <w:pPr>
        <w:ind w:left="660" w:right="80"/>
        <w:spacing w:after="0" w:line="286" w:lineRule="auto"/>
        <w:rPr>
          <w:sz w:val="20"/>
          <w:szCs w:val="20"/>
          <w:color w:val="auto"/>
        </w:rPr>
      </w:pPr>
      <w:r>
        <w:rPr>
          <w:rFonts w:ascii="Arial" w:cs="Arial" w:eastAsia="Arial" w:hAnsi="Arial"/>
          <w:sz w:val="16"/>
          <w:szCs w:val="16"/>
          <w:color w:val="auto"/>
        </w:rPr>
        <w:t>Except for Mr. Posawatz, who received approximately $83,655 in cash from PIF in connection with his service on the Atieva Board during 2021, prior to the Merger, our directors did not receive any compensation for their service in their capacity as directors. In connection with the Merger, we implemented a new director compensation program, under which our non-employee directors are eligible to receive the following annual retainers and annual equity compensation grants:</w:t>
      </w:r>
    </w:p>
    <w:p>
      <w:pPr>
        <w:spacing w:after="0" w:line="116" w:lineRule="exact"/>
        <w:rPr>
          <w:sz w:val="20"/>
          <w:szCs w:val="20"/>
          <w:color w:val="auto"/>
        </w:rPr>
      </w:pPr>
    </w:p>
    <w:p>
      <w:pPr>
        <w:ind w:left="820" w:hanging="166"/>
        <w:spacing w:after="0" w:line="291" w:lineRule="auto"/>
        <w:tabs>
          <w:tab w:leader="none" w:pos="820" w:val="left"/>
        </w:tabs>
        <w:numPr>
          <w:ilvl w:val="0"/>
          <w:numId w:val="45"/>
        </w:numPr>
        <w:rPr>
          <w:rFonts w:ascii="Arial" w:cs="Arial" w:eastAsia="Arial" w:hAnsi="Arial"/>
          <w:sz w:val="16"/>
          <w:szCs w:val="16"/>
          <w:color w:val="886B25"/>
        </w:rPr>
      </w:pPr>
      <w:r>
        <w:rPr>
          <w:rFonts w:ascii="Arial" w:cs="Arial" w:eastAsia="Arial" w:hAnsi="Arial"/>
          <w:sz w:val="16"/>
          <w:szCs w:val="16"/>
          <w:b w:val="1"/>
          <w:bCs w:val="1"/>
          <w:color w:val="auto"/>
        </w:rPr>
        <w:t xml:space="preserve">Board Member: </w:t>
      </w:r>
      <w:r>
        <w:rPr>
          <w:rFonts w:ascii="Arial" w:cs="Arial" w:eastAsia="Arial" w:hAnsi="Arial"/>
          <w:sz w:val="16"/>
          <w:szCs w:val="16"/>
          <w:color w:val="auto"/>
        </w:rPr>
        <w:t>$210,000, of which $30,000 is an annual cash retainer paid in quarterly installments and $180,000 of which is in</w:t>
      </w:r>
      <w:r>
        <w:rPr>
          <w:rFonts w:ascii="Arial" w:cs="Arial" w:eastAsia="Arial" w:hAnsi="Arial"/>
          <w:sz w:val="16"/>
          <w:szCs w:val="16"/>
          <w:b w:val="1"/>
          <w:bCs w:val="1"/>
          <w:color w:val="auto"/>
        </w:rPr>
        <w:t xml:space="preserve"> </w:t>
      </w:r>
      <w:r>
        <w:rPr>
          <w:rFonts w:ascii="Arial" w:cs="Arial" w:eastAsia="Arial" w:hAnsi="Arial"/>
          <w:sz w:val="16"/>
          <w:szCs w:val="16"/>
          <w:color w:val="auto"/>
        </w:rPr>
        <w:t>the form of RSUs vesting in full on the earlier of one year following grant and the date of the next annual meeting following the grant, subject to the director’s continued service as of the applicable vesting date. For new directors, the initial equity retainer is $270,000 (instead of $180,000) in RSUs which vest in three equal installments on the first, second and third anniversary of the grant date.</w:t>
      </w:r>
    </w:p>
    <w:p>
      <w:pPr>
        <w:spacing w:after="0" w:line="113" w:lineRule="exact"/>
        <w:rPr>
          <w:rFonts w:ascii="Arial" w:cs="Arial" w:eastAsia="Arial" w:hAnsi="Arial"/>
          <w:sz w:val="16"/>
          <w:szCs w:val="16"/>
          <w:color w:val="886B25"/>
        </w:rPr>
      </w:pPr>
    </w:p>
    <w:p>
      <w:pPr>
        <w:ind w:left="820" w:hanging="166"/>
        <w:spacing w:after="0"/>
        <w:tabs>
          <w:tab w:leader="none" w:pos="820" w:val="left"/>
        </w:tabs>
        <w:numPr>
          <w:ilvl w:val="0"/>
          <w:numId w:val="45"/>
        </w:numPr>
        <w:rPr>
          <w:rFonts w:ascii="Arial" w:cs="Arial" w:eastAsia="Arial" w:hAnsi="Arial"/>
          <w:sz w:val="16"/>
          <w:szCs w:val="16"/>
          <w:color w:val="886B25"/>
        </w:rPr>
      </w:pPr>
      <w:r>
        <w:rPr>
          <w:rFonts w:ascii="Arial" w:cs="Arial" w:eastAsia="Arial" w:hAnsi="Arial"/>
          <w:sz w:val="16"/>
          <w:szCs w:val="16"/>
          <w:b w:val="1"/>
          <w:bCs w:val="1"/>
          <w:color w:val="auto"/>
        </w:rPr>
        <w:t xml:space="preserve">Independent Chairman: </w:t>
      </w:r>
      <w:r>
        <w:rPr>
          <w:rFonts w:ascii="Arial" w:cs="Arial" w:eastAsia="Arial" w:hAnsi="Arial"/>
          <w:sz w:val="16"/>
          <w:szCs w:val="16"/>
          <w:color w:val="auto"/>
        </w:rPr>
        <w:t>An additional $30,000 is paid for service as an independent Chairman of the Board.</w:t>
      </w:r>
    </w:p>
    <w:p>
      <w:pPr>
        <w:spacing w:after="0" w:line="180" w:lineRule="exact"/>
        <w:rPr>
          <w:rFonts w:ascii="Arial" w:cs="Arial" w:eastAsia="Arial" w:hAnsi="Arial"/>
          <w:sz w:val="16"/>
          <w:szCs w:val="16"/>
          <w:color w:val="886B25"/>
        </w:rPr>
      </w:pPr>
    </w:p>
    <w:p>
      <w:pPr>
        <w:ind w:left="820" w:right="20" w:hanging="166"/>
        <w:spacing w:after="0" w:line="321" w:lineRule="auto"/>
        <w:tabs>
          <w:tab w:leader="none" w:pos="820" w:val="left"/>
        </w:tabs>
        <w:numPr>
          <w:ilvl w:val="0"/>
          <w:numId w:val="45"/>
        </w:numPr>
        <w:rPr>
          <w:rFonts w:ascii="Arial" w:cs="Arial" w:eastAsia="Arial" w:hAnsi="Arial"/>
          <w:sz w:val="16"/>
          <w:szCs w:val="16"/>
          <w:color w:val="886B25"/>
        </w:rPr>
      </w:pPr>
      <w:r>
        <w:rPr>
          <w:rFonts w:ascii="Arial" w:cs="Arial" w:eastAsia="Arial" w:hAnsi="Arial"/>
          <w:sz w:val="16"/>
          <w:szCs w:val="16"/>
          <w:b w:val="1"/>
          <w:bCs w:val="1"/>
          <w:color w:val="auto"/>
        </w:rPr>
        <w:t xml:space="preserve">Committee Chairs: </w:t>
      </w:r>
      <w:r>
        <w:rPr>
          <w:rFonts w:ascii="Arial" w:cs="Arial" w:eastAsia="Arial" w:hAnsi="Arial"/>
          <w:sz w:val="16"/>
          <w:szCs w:val="16"/>
          <w:color w:val="auto"/>
        </w:rPr>
        <w:t>Chairs of the audit, compensation, nominating and corporate governance and executive committees receive</w:t>
      </w:r>
      <w:r>
        <w:rPr>
          <w:rFonts w:ascii="Arial" w:cs="Arial" w:eastAsia="Arial" w:hAnsi="Arial"/>
          <w:sz w:val="16"/>
          <w:szCs w:val="16"/>
          <w:b w:val="1"/>
          <w:bCs w:val="1"/>
          <w:color w:val="auto"/>
        </w:rPr>
        <w:t xml:space="preserve"> </w:t>
      </w:r>
      <w:r>
        <w:rPr>
          <w:rFonts w:ascii="Arial" w:cs="Arial" w:eastAsia="Arial" w:hAnsi="Arial"/>
          <w:sz w:val="16"/>
          <w:szCs w:val="16"/>
          <w:color w:val="auto"/>
        </w:rPr>
        <w:t>an additional $20,000, $15,000, $8,000 and $20,000, respectively, as an annual cash retainer.</w:t>
      </w:r>
    </w:p>
    <w:p>
      <w:pPr>
        <w:spacing w:after="0" w:line="101" w:lineRule="exact"/>
        <w:rPr>
          <w:rFonts w:ascii="Arial" w:cs="Arial" w:eastAsia="Arial" w:hAnsi="Arial"/>
          <w:sz w:val="16"/>
          <w:szCs w:val="16"/>
          <w:color w:val="886B25"/>
        </w:rPr>
      </w:pPr>
    </w:p>
    <w:p>
      <w:pPr>
        <w:ind w:left="820" w:right="180" w:hanging="166"/>
        <w:spacing w:after="0" w:line="321" w:lineRule="auto"/>
        <w:tabs>
          <w:tab w:leader="none" w:pos="820" w:val="left"/>
        </w:tabs>
        <w:numPr>
          <w:ilvl w:val="0"/>
          <w:numId w:val="45"/>
        </w:numPr>
        <w:rPr>
          <w:rFonts w:ascii="Arial" w:cs="Arial" w:eastAsia="Arial" w:hAnsi="Arial"/>
          <w:sz w:val="16"/>
          <w:szCs w:val="16"/>
          <w:color w:val="886B25"/>
        </w:rPr>
      </w:pPr>
      <w:r>
        <w:rPr>
          <w:rFonts w:ascii="Arial" w:cs="Arial" w:eastAsia="Arial" w:hAnsi="Arial"/>
          <w:sz w:val="16"/>
          <w:szCs w:val="16"/>
          <w:b w:val="1"/>
          <w:bCs w:val="1"/>
          <w:color w:val="auto"/>
        </w:rPr>
        <w:t xml:space="preserve">Committee Members: </w:t>
      </w:r>
      <w:r>
        <w:rPr>
          <w:rFonts w:ascii="Arial" w:cs="Arial" w:eastAsia="Arial" w:hAnsi="Arial"/>
          <w:sz w:val="16"/>
          <w:szCs w:val="16"/>
          <w:color w:val="auto"/>
        </w:rPr>
        <w:t>Members of the audit, compensation, nominating and corporate governance and executive committees</w:t>
      </w:r>
      <w:r>
        <w:rPr>
          <w:rFonts w:ascii="Arial" w:cs="Arial" w:eastAsia="Arial" w:hAnsi="Arial"/>
          <w:sz w:val="16"/>
          <w:szCs w:val="16"/>
          <w:b w:val="1"/>
          <w:bCs w:val="1"/>
          <w:color w:val="auto"/>
        </w:rPr>
        <w:t xml:space="preserve"> </w:t>
      </w:r>
      <w:r>
        <w:rPr>
          <w:rFonts w:ascii="Arial" w:cs="Arial" w:eastAsia="Arial" w:hAnsi="Arial"/>
          <w:sz w:val="16"/>
          <w:szCs w:val="16"/>
          <w:color w:val="auto"/>
        </w:rPr>
        <w:t>receive an additional $10,000, $7,500, $4,000 and $10,000, respectively, as an annual cash retainer.</w:t>
      </w:r>
    </w:p>
    <w:p>
      <w:pPr>
        <w:spacing w:after="0" w:line="176" w:lineRule="exact"/>
        <w:rPr>
          <w:sz w:val="20"/>
          <w:szCs w:val="20"/>
          <w:color w:val="auto"/>
        </w:rPr>
      </w:pPr>
    </w:p>
    <w:p>
      <w:pPr>
        <w:ind w:left="660" w:right="260"/>
        <w:spacing w:after="0" w:line="295" w:lineRule="auto"/>
        <w:rPr>
          <w:sz w:val="20"/>
          <w:szCs w:val="20"/>
          <w:color w:val="auto"/>
        </w:rPr>
      </w:pPr>
      <w:r>
        <w:rPr>
          <w:rFonts w:ascii="Arial" w:cs="Arial" w:eastAsia="Arial" w:hAnsi="Arial"/>
          <w:sz w:val="16"/>
          <w:szCs w:val="16"/>
          <w:color w:val="auto"/>
        </w:rPr>
        <w:t>We also reimburse all of our directors for (i) up to $10,000 annually for director educational programs and (ii) their reasonable travel and other expenses incurred in attending meetings of the Board or committees and training and educational conferences.</w:t>
      </w:r>
    </w:p>
    <w:p>
      <w:pPr>
        <w:spacing w:after="0" w:line="196" w:lineRule="exact"/>
        <w:rPr>
          <w:sz w:val="20"/>
          <w:szCs w:val="20"/>
          <w:color w:val="auto"/>
        </w:rPr>
      </w:pPr>
    </w:p>
    <w:p>
      <w:pPr>
        <w:ind w:left="660" w:right="240"/>
        <w:spacing w:after="0" w:line="295" w:lineRule="auto"/>
        <w:rPr>
          <w:sz w:val="20"/>
          <w:szCs w:val="20"/>
          <w:color w:val="auto"/>
        </w:rPr>
      </w:pPr>
      <w:r>
        <w:rPr>
          <w:rFonts w:ascii="Arial" w:cs="Arial" w:eastAsia="Arial" w:hAnsi="Arial"/>
          <w:sz w:val="16"/>
          <w:szCs w:val="16"/>
          <w:color w:val="auto"/>
        </w:rPr>
        <w:t>The following table reflects information with respect to the compensation of all non-employee directors of the Company for fiscal 2021.</w:t>
      </w:r>
    </w:p>
    <w:p>
      <w:pPr>
        <w:spacing w:after="0" w:line="234"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2760" w:type="dxa"/>
            <w:vAlign w:val="bottom"/>
            <w:shd w:val="clear" w:color="auto" w:fill="000000"/>
          </w:tcPr>
          <w:p>
            <w:pPr>
              <w:ind w:left="140"/>
              <w:spacing w:after="0"/>
              <w:rPr>
                <w:sz w:val="20"/>
                <w:szCs w:val="20"/>
                <w:color w:val="auto"/>
              </w:rPr>
            </w:pPr>
            <w:r>
              <w:rPr>
                <w:rFonts w:ascii="Arial" w:cs="Arial" w:eastAsia="Arial" w:hAnsi="Arial"/>
                <w:sz w:val="13"/>
                <w:szCs w:val="13"/>
                <w:b w:val="1"/>
                <w:bCs w:val="1"/>
                <w:color w:val="FEFEFE"/>
              </w:rPr>
              <w:t>Name</w:t>
            </w:r>
          </w:p>
        </w:tc>
        <w:tc>
          <w:tcPr>
            <w:tcW w:w="2160" w:type="dxa"/>
            <w:vAlign w:val="bottom"/>
            <w:shd w:val="clear" w:color="auto" w:fill="000000"/>
          </w:tcPr>
          <w:p>
            <w:pPr>
              <w:jc w:val="center"/>
              <w:ind w:left="950"/>
              <w:spacing w:after="0"/>
              <w:rPr>
                <w:sz w:val="20"/>
                <w:szCs w:val="20"/>
                <w:color w:val="auto"/>
              </w:rPr>
            </w:pPr>
            <w:r>
              <w:rPr>
                <w:rFonts w:ascii="Arial" w:cs="Arial" w:eastAsia="Arial" w:hAnsi="Arial"/>
                <w:sz w:val="13"/>
                <w:szCs w:val="13"/>
                <w:b w:val="1"/>
                <w:bCs w:val="1"/>
                <w:color w:val="FEFEFE"/>
                <w:w w:val="95"/>
              </w:rPr>
              <w:t>Fees Earned or</w:t>
            </w:r>
          </w:p>
        </w:tc>
        <w:tc>
          <w:tcPr>
            <w:tcW w:w="1060" w:type="dxa"/>
            <w:vAlign w:val="bottom"/>
            <w:shd w:val="clear" w:color="auto" w:fill="000000"/>
          </w:tcPr>
          <w:p>
            <w:pPr>
              <w:jc w:val="right"/>
              <w:ind w:right="50"/>
              <w:spacing w:after="0"/>
              <w:rPr>
                <w:sz w:val="20"/>
                <w:szCs w:val="20"/>
                <w:color w:val="auto"/>
              </w:rPr>
            </w:pPr>
            <w:r>
              <w:rPr>
                <w:rFonts w:ascii="Arial" w:cs="Arial" w:eastAsia="Arial" w:hAnsi="Arial"/>
                <w:sz w:val="13"/>
                <w:szCs w:val="13"/>
                <w:b w:val="1"/>
                <w:bCs w:val="1"/>
                <w:color w:val="FEFEFE"/>
              </w:rPr>
              <w:t>Stock Awards</w:t>
            </w:r>
          </w:p>
        </w:tc>
        <w:tc>
          <w:tcPr>
            <w:tcW w:w="1120" w:type="dxa"/>
            <w:vAlign w:val="bottom"/>
            <w:shd w:val="clear" w:color="auto" w:fill="000000"/>
          </w:tcPr>
          <w:p>
            <w:pPr>
              <w:ind w:left="100"/>
              <w:spacing w:after="0"/>
              <w:rPr>
                <w:sz w:val="20"/>
                <w:szCs w:val="20"/>
                <w:color w:val="auto"/>
              </w:rPr>
            </w:pPr>
            <w:r>
              <w:rPr>
                <w:rFonts w:ascii="Arial" w:cs="Arial" w:eastAsia="Arial" w:hAnsi="Arial"/>
                <w:sz w:val="13"/>
                <w:szCs w:val="13"/>
                <w:b w:val="1"/>
                <w:bCs w:val="1"/>
                <w:color w:val="FEFEFE"/>
              </w:rPr>
              <w:t>Option Awards</w:t>
            </w:r>
          </w:p>
        </w:tc>
        <w:tc>
          <w:tcPr>
            <w:tcW w:w="112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w w:val="94"/>
              </w:rPr>
              <w:t>All Other</w:t>
            </w:r>
          </w:p>
        </w:tc>
        <w:tc>
          <w:tcPr>
            <w:tcW w:w="1160" w:type="dxa"/>
            <w:vAlign w:val="bottom"/>
            <w:shd w:val="clear" w:color="auto" w:fill="000000"/>
          </w:tcPr>
          <w:p>
            <w:pPr>
              <w:jc w:val="center"/>
              <w:ind w:right="70"/>
              <w:spacing w:after="0"/>
              <w:rPr>
                <w:sz w:val="20"/>
                <w:szCs w:val="20"/>
                <w:color w:val="auto"/>
              </w:rPr>
            </w:pPr>
            <w:r>
              <w:rPr>
                <w:rFonts w:ascii="Arial" w:cs="Arial" w:eastAsia="Arial" w:hAnsi="Arial"/>
                <w:sz w:val="13"/>
                <w:szCs w:val="13"/>
                <w:b w:val="1"/>
                <w:bCs w:val="1"/>
                <w:color w:val="FEFEFE"/>
                <w:w w:val="96"/>
              </w:rPr>
              <w:t>Total</w:t>
            </w:r>
          </w:p>
        </w:tc>
      </w:tr>
      <w:tr>
        <w:trPr>
          <w:trHeight w:val="140"/>
        </w:trPr>
        <w:tc>
          <w:tcPr>
            <w:tcW w:w="2760" w:type="dxa"/>
            <w:vAlign w:val="bottom"/>
            <w:shd w:val="clear" w:color="auto" w:fill="000000"/>
          </w:tcPr>
          <w:p>
            <w:pPr>
              <w:spacing w:after="0"/>
              <w:rPr>
                <w:sz w:val="12"/>
                <w:szCs w:val="12"/>
                <w:color w:val="auto"/>
              </w:rPr>
            </w:pPr>
          </w:p>
        </w:tc>
        <w:tc>
          <w:tcPr>
            <w:tcW w:w="2160" w:type="dxa"/>
            <w:vAlign w:val="bottom"/>
            <w:shd w:val="clear" w:color="auto" w:fill="000000"/>
          </w:tcPr>
          <w:p>
            <w:pPr>
              <w:jc w:val="center"/>
              <w:ind w:left="970"/>
              <w:spacing w:after="0" w:line="140" w:lineRule="exact"/>
              <w:rPr>
                <w:sz w:val="20"/>
                <w:szCs w:val="20"/>
                <w:color w:val="auto"/>
              </w:rPr>
            </w:pPr>
            <w:r>
              <w:rPr>
                <w:rFonts w:ascii="Arial" w:cs="Arial" w:eastAsia="Arial" w:hAnsi="Arial"/>
                <w:sz w:val="13"/>
                <w:szCs w:val="13"/>
                <w:b w:val="1"/>
                <w:bCs w:val="1"/>
                <w:color w:val="FEFEFE"/>
                <w:w w:val="97"/>
              </w:rPr>
              <w:t>Paid in Cash</w:t>
            </w:r>
          </w:p>
        </w:tc>
        <w:tc>
          <w:tcPr>
            <w:tcW w:w="1060" w:type="dxa"/>
            <w:vAlign w:val="bottom"/>
            <w:shd w:val="clear" w:color="auto" w:fill="000000"/>
          </w:tcPr>
          <w:p>
            <w:pPr>
              <w:jc w:val="right"/>
              <w:ind w:right="330"/>
              <w:spacing w:after="0" w:line="140" w:lineRule="exact"/>
              <w:rPr>
                <w:sz w:val="20"/>
                <w:szCs w:val="20"/>
                <w:color w:val="auto"/>
              </w:rPr>
            </w:pPr>
            <w:r>
              <w:rPr>
                <w:rFonts w:ascii="Arial" w:cs="Arial" w:eastAsia="Arial" w:hAnsi="Arial"/>
                <w:sz w:val="13"/>
                <w:szCs w:val="13"/>
                <w:b w:val="1"/>
                <w:bCs w:val="1"/>
                <w:color w:val="FEFEFE"/>
              </w:rPr>
              <w:t>($)</w:t>
            </w:r>
            <w:r>
              <w:rPr>
                <w:rFonts w:ascii="Arial" w:cs="Arial" w:eastAsia="Arial" w:hAnsi="Arial"/>
                <w:sz w:val="16"/>
                <w:szCs w:val="16"/>
                <w:b w:val="1"/>
                <w:bCs w:val="1"/>
                <w:color w:val="FEFEFE"/>
                <w:vertAlign w:val="superscript"/>
              </w:rPr>
              <w:t>(1)</w:t>
            </w:r>
          </w:p>
        </w:tc>
        <w:tc>
          <w:tcPr>
            <w:tcW w:w="1120" w:type="dxa"/>
            <w:vAlign w:val="bottom"/>
            <w:shd w:val="clear" w:color="auto" w:fill="000000"/>
          </w:tcPr>
          <w:p>
            <w:pPr>
              <w:ind w:left="480"/>
              <w:spacing w:after="0" w:line="140" w:lineRule="exact"/>
              <w:rPr>
                <w:sz w:val="20"/>
                <w:szCs w:val="20"/>
                <w:color w:val="auto"/>
              </w:rPr>
            </w:pPr>
            <w:r>
              <w:rPr>
                <w:rFonts w:ascii="Arial" w:cs="Arial" w:eastAsia="Arial" w:hAnsi="Arial"/>
                <w:sz w:val="13"/>
                <w:szCs w:val="13"/>
                <w:b w:val="1"/>
                <w:bCs w:val="1"/>
                <w:color w:val="FEFEFE"/>
              </w:rPr>
              <w:t>($)</w:t>
            </w:r>
          </w:p>
        </w:tc>
        <w:tc>
          <w:tcPr>
            <w:tcW w:w="1120" w:type="dxa"/>
            <w:vAlign w:val="bottom"/>
            <w:shd w:val="clear" w:color="auto" w:fill="000000"/>
          </w:tcPr>
          <w:p>
            <w:pPr>
              <w:jc w:val="center"/>
              <w:spacing w:after="0" w:line="140" w:lineRule="exact"/>
              <w:rPr>
                <w:sz w:val="20"/>
                <w:szCs w:val="20"/>
                <w:color w:val="auto"/>
              </w:rPr>
            </w:pPr>
            <w:r>
              <w:rPr>
                <w:rFonts w:ascii="Arial" w:cs="Arial" w:eastAsia="Arial" w:hAnsi="Arial"/>
                <w:sz w:val="13"/>
                <w:szCs w:val="13"/>
                <w:b w:val="1"/>
                <w:bCs w:val="1"/>
                <w:color w:val="FEFEFE"/>
                <w:w w:val="97"/>
              </w:rPr>
              <w:t>Compensation</w:t>
            </w:r>
          </w:p>
        </w:tc>
        <w:tc>
          <w:tcPr>
            <w:tcW w:w="1160" w:type="dxa"/>
            <w:vAlign w:val="bottom"/>
            <w:shd w:val="clear" w:color="auto" w:fill="000000"/>
          </w:tcPr>
          <w:p>
            <w:pPr>
              <w:jc w:val="center"/>
              <w:ind w:right="50"/>
              <w:spacing w:after="0" w:line="140" w:lineRule="exact"/>
              <w:rPr>
                <w:sz w:val="20"/>
                <w:szCs w:val="20"/>
                <w:color w:val="auto"/>
              </w:rPr>
            </w:pPr>
            <w:r>
              <w:rPr>
                <w:rFonts w:ascii="Arial" w:cs="Arial" w:eastAsia="Arial" w:hAnsi="Arial"/>
                <w:sz w:val="13"/>
                <w:szCs w:val="13"/>
                <w:b w:val="1"/>
                <w:bCs w:val="1"/>
                <w:color w:val="FEFEFE"/>
                <w:w w:val="97"/>
              </w:rPr>
              <w:t>Compensation</w:t>
            </w:r>
          </w:p>
        </w:tc>
      </w:tr>
      <w:tr>
        <w:trPr>
          <w:trHeight w:val="168"/>
        </w:trPr>
        <w:tc>
          <w:tcPr>
            <w:tcW w:w="2760" w:type="dxa"/>
            <w:vAlign w:val="bottom"/>
            <w:shd w:val="clear" w:color="auto" w:fill="000000"/>
          </w:tcPr>
          <w:p>
            <w:pPr>
              <w:spacing w:after="0"/>
              <w:rPr>
                <w:sz w:val="14"/>
                <w:szCs w:val="14"/>
                <w:color w:val="auto"/>
              </w:rPr>
            </w:pPr>
          </w:p>
        </w:tc>
        <w:tc>
          <w:tcPr>
            <w:tcW w:w="2160" w:type="dxa"/>
            <w:vAlign w:val="bottom"/>
            <w:shd w:val="clear" w:color="auto" w:fill="000000"/>
          </w:tcPr>
          <w:p>
            <w:pPr>
              <w:jc w:val="center"/>
              <w:ind w:left="970"/>
              <w:spacing w:after="0"/>
              <w:rPr>
                <w:sz w:val="20"/>
                <w:szCs w:val="20"/>
                <w:color w:val="auto"/>
              </w:rPr>
            </w:pPr>
            <w:r>
              <w:rPr>
                <w:rFonts w:ascii="Arial" w:cs="Arial" w:eastAsia="Arial" w:hAnsi="Arial"/>
                <w:sz w:val="13"/>
                <w:szCs w:val="13"/>
                <w:b w:val="1"/>
                <w:bCs w:val="1"/>
                <w:color w:val="FEFEFE"/>
              </w:rPr>
              <w:t>($)</w:t>
            </w:r>
          </w:p>
        </w:tc>
        <w:tc>
          <w:tcPr>
            <w:tcW w:w="1060" w:type="dxa"/>
            <w:vAlign w:val="bottom"/>
            <w:shd w:val="clear" w:color="auto" w:fill="000000"/>
          </w:tcPr>
          <w:p>
            <w:pPr>
              <w:spacing w:after="0"/>
              <w:rPr>
                <w:sz w:val="14"/>
                <w:szCs w:val="14"/>
                <w:color w:val="auto"/>
              </w:rPr>
            </w:pPr>
          </w:p>
        </w:tc>
        <w:tc>
          <w:tcPr>
            <w:tcW w:w="1120" w:type="dxa"/>
            <w:vAlign w:val="bottom"/>
            <w:shd w:val="clear" w:color="auto" w:fill="000000"/>
          </w:tcPr>
          <w:p>
            <w:pPr>
              <w:spacing w:after="0"/>
              <w:rPr>
                <w:sz w:val="14"/>
                <w:szCs w:val="14"/>
                <w:color w:val="auto"/>
              </w:rPr>
            </w:pPr>
          </w:p>
        </w:tc>
        <w:tc>
          <w:tcPr>
            <w:tcW w:w="112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rPr>
              <w:t>($)</w:t>
            </w:r>
          </w:p>
        </w:tc>
        <w:tc>
          <w:tcPr>
            <w:tcW w:w="1160" w:type="dxa"/>
            <w:vAlign w:val="bottom"/>
            <w:shd w:val="clear" w:color="auto" w:fill="000000"/>
          </w:tcPr>
          <w:p>
            <w:pPr>
              <w:jc w:val="center"/>
              <w:ind w:right="50"/>
              <w:spacing w:after="0"/>
              <w:rPr>
                <w:sz w:val="20"/>
                <w:szCs w:val="20"/>
                <w:color w:val="auto"/>
              </w:rPr>
            </w:pPr>
            <w:r>
              <w:rPr>
                <w:rFonts w:ascii="Arial" w:cs="Arial" w:eastAsia="Arial" w:hAnsi="Arial"/>
                <w:sz w:val="13"/>
                <w:szCs w:val="13"/>
                <w:b w:val="1"/>
                <w:bCs w:val="1"/>
                <w:color w:val="FEFEFE"/>
              </w:rPr>
              <w:t>($)</w:t>
            </w:r>
          </w:p>
        </w:tc>
      </w:tr>
      <w:tr>
        <w:trPr>
          <w:trHeight w:val="124"/>
        </w:trPr>
        <w:tc>
          <w:tcPr>
            <w:tcW w:w="2760" w:type="dxa"/>
            <w:vAlign w:val="bottom"/>
            <w:shd w:val="clear" w:color="auto" w:fill="000000"/>
          </w:tcPr>
          <w:p>
            <w:pPr>
              <w:spacing w:after="0"/>
              <w:rPr>
                <w:sz w:val="10"/>
                <w:szCs w:val="10"/>
                <w:color w:val="auto"/>
              </w:rPr>
            </w:pPr>
          </w:p>
        </w:tc>
        <w:tc>
          <w:tcPr>
            <w:tcW w:w="2160" w:type="dxa"/>
            <w:vAlign w:val="bottom"/>
            <w:shd w:val="clear" w:color="auto" w:fill="000000"/>
          </w:tcPr>
          <w:p>
            <w:pPr>
              <w:spacing w:after="0"/>
              <w:rPr>
                <w:sz w:val="10"/>
                <w:szCs w:val="10"/>
                <w:color w:val="auto"/>
              </w:rPr>
            </w:pPr>
          </w:p>
        </w:tc>
        <w:tc>
          <w:tcPr>
            <w:tcW w:w="1060" w:type="dxa"/>
            <w:vAlign w:val="bottom"/>
            <w:shd w:val="clear" w:color="auto" w:fill="000000"/>
          </w:tcPr>
          <w:p>
            <w:pPr>
              <w:spacing w:after="0"/>
              <w:rPr>
                <w:sz w:val="10"/>
                <w:szCs w:val="10"/>
                <w:color w:val="auto"/>
              </w:rPr>
            </w:pPr>
          </w:p>
        </w:tc>
        <w:tc>
          <w:tcPr>
            <w:tcW w:w="1120" w:type="dxa"/>
            <w:vAlign w:val="bottom"/>
            <w:shd w:val="clear" w:color="auto" w:fill="000000"/>
          </w:tcPr>
          <w:p>
            <w:pPr>
              <w:spacing w:after="0"/>
              <w:rPr>
                <w:sz w:val="10"/>
                <w:szCs w:val="10"/>
                <w:color w:val="auto"/>
              </w:rPr>
            </w:pPr>
          </w:p>
        </w:tc>
        <w:tc>
          <w:tcPr>
            <w:tcW w:w="1120" w:type="dxa"/>
            <w:vAlign w:val="bottom"/>
            <w:shd w:val="clear" w:color="auto" w:fill="000000"/>
          </w:tcPr>
          <w:p>
            <w:pPr>
              <w:spacing w:after="0"/>
              <w:rPr>
                <w:sz w:val="10"/>
                <w:szCs w:val="10"/>
                <w:color w:val="auto"/>
              </w:rPr>
            </w:pPr>
          </w:p>
        </w:tc>
        <w:tc>
          <w:tcPr>
            <w:tcW w:w="1160" w:type="dxa"/>
            <w:vAlign w:val="bottom"/>
            <w:shd w:val="clear" w:color="auto" w:fill="000000"/>
          </w:tcPr>
          <w:p>
            <w:pPr>
              <w:spacing w:after="0"/>
              <w:rPr>
                <w:sz w:val="10"/>
                <w:szCs w:val="10"/>
                <w:color w:val="auto"/>
              </w:rPr>
            </w:pPr>
          </w:p>
        </w:tc>
      </w:tr>
      <w:tr>
        <w:trPr>
          <w:trHeight w:val="337"/>
        </w:trPr>
        <w:tc>
          <w:tcPr>
            <w:tcW w:w="2760" w:type="dxa"/>
            <w:vAlign w:val="bottom"/>
          </w:tcPr>
          <w:p>
            <w:pPr>
              <w:ind w:left="140"/>
              <w:spacing w:after="0"/>
              <w:rPr>
                <w:sz w:val="20"/>
                <w:szCs w:val="20"/>
                <w:color w:val="auto"/>
              </w:rPr>
            </w:pPr>
            <w:r>
              <w:rPr>
                <w:rFonts w:ascii="Arial" w:cs="Arial" w:eastAsia="Arial" w:hAnsi="Arial"/>
                <w:sz w:val="14"/>
                <w:szCs w:val="14"/>
                <w:color w:val="auto"/>
              </w:rPr>
              <w:t>Andrew Liveris</w:t>
            </w:r>
          </w:p>
        </w:tc>
        <w:tc>
          <w:tcPr>
            <w:tcW w:w="2160" w:type="dxa"/>
            <w:vAlign w:val="bottom"/>
          </w:tcPr>
          <w:p>
            <w:pPr>
              <w:ind w:left="1380"/>
              <w:spacing w:after="0"/>
              <w:rPr>
                <w:sz w:val="20"/>
                <w:szCs w:val="20"/>
                <w:color w:val="auto"/>
              </w:rPr>
            </w:pPr>
            <w:r>
              <w:rPr>
                <w:rFonts w:ascii="Arial" w:cs="Arial" w:eastAsia="Arial" w:hAnsi="Arial"/>
                <w:sz w:val="14"/>
                <w:szCs w:val="14"/>
                <w:color w:val="auto"/>
              </w:rPr>
              <w:t>47,500</w:t>
            </w:r>
          </w:p>
        </w:tc>
        <w:tc>
          <w:tcPr>
            <w:tcW w:w="1060" w:type="dxa"/>
            <w:vAlign w:val="bottom"/>
          </w:tcPr>
          <w:p>
            <w:pPr>
              <w:jc w:val="right"/>
              <w:ind w:right="170"/>
              <w:spacing w:after="0"/>
              <w:rPr>
                <w:sz w:val="20"/>
                <w:szCs w:val="20"/>
                <w:color w:val="auto"/>
              </w:rPr>
            </w:pPr>
            <w:r>
              <w:rPr>
                <w:rFonts w:ascii="Arial" w:cs="Arial" w:eastAsia="Arial" w:hAnsi="Arial"/>
                <w:sz w:val="14"/>
                <w:szCs w:val="14"/>
                <w:color w:val="auto"/>
              </w:rPr>
              <w:t>300,881</w:t>
            </w:r>
          </w:p>
        </w:tc>
        <w:tc>
          <w:tcPr>
            <w:tcW w:w="1120" w:type="dxa"/>
            <w:vAlign w:val="bottom"/>
          </w:tcPr>
          <w:p>
            <w:pPr>
              <w:ind w:left="48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0"/>
              <w:spacing w:after="0"/>
              <w:rPr>
                <w:sz w:val="20"/>
                <w:szCs w:val="20"/>
                <w:color w:val="auto"/>
              </w:rPr>
            </w:pPr>
            <w:r>
              <w:rPr>
                <w:rFonts w:ascii="Arial" w:cs="Arial" w:eastAsia="Arial" w:hAnsi="Arial"/>
                <w:sz w:val="14"/>
                <w:szCs w:val="14"/>
                <w:color w:val="auto"/>
              </w:rPr>
              <w:t>6,567,824</w:t>
            </w:r>
            <w:r>
              <w:rPr>
                <w:rFonts w:ascii="Arial" w:cs="Arial" w:eastAsia="Arial" w:hAnsi="Arial"/>
                <w:sz w:val="17"/>
                <w:szCs w:val="17"/>
                <w:color w:val="auto"/>
                <w:vertAlign w:val="superscript"/>
              </w:rPr>
              <w:t>(3)</w:t>
            </w:r>
          </w:p>
        </w:tc>
        <w:tc>
          <w:tcPr>
            <w:tcW w:w="1160" w:type="dxa"/>
            <w:vAlign w:val="bottom"/>
          </w:tcPr>
          <w:p>
            <w:pPr>
              <w:jc w:val="right"/>
              <w:ind w:right="190"/>
              <w:spacing w:after="0"/>
              <w:rPr>
                <w:sz w:val="20"/>
                <w:szCs w:val="20"/>
                <w:color w:val="auto"/>
              </w:rPr>
            </w:pPr>
            <w:r>
              <w:rPr>
                <w:rFonts w:ascii="Arial" w:cs="Arial" w:eastAsia="Arial" w:hAnsi="Arial"/>
                <w:sz w:val="14"/>
                <w:szCs w:val="14"/>
                <w:color w:val="auto"/>
              </w:rPr>
              <w:t>6,916,205</w:t>
            </w:r>
          </w:p>
        </w:tc>
      </w:tr>
      <w:tr>
        <w:trPr>
          <w:trHeight w:val="68"/>
        </w:trPr>
        <w:tc>
          <w:tcPr>
            <w:tcW w:w="2760" w:type="dxa"/>
            <w:vAlign w:val="bottom"/>
            <w:tcBorders>
              <w:bottom w:val="single" w:sz="8" w:color="auto"/>
            </w:tcBorders>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317"/>
        </w:trPr>
        <w:tc>
          <w:tcPr>
            <w:tcW w:w="2760" w:type="dxa"/>
            <w:vAlign w:val="bottom"/>
            <w:shd w:val="clear" w:color="auto" w:fill="F7F7F7"/>
          </w:tcPr>
          <w:p>
            <w:pPr>
              <w:ind w:left="140"/>
              <w:spacing w:after="0"/>
              <w:rPr>
                <w:sz w:val="20"/>
                <w:szCs w:val="20"/>
                <w:color w:val="auto"/>
              </w:rPr>
            </w:pPr>
            <w:r>
              <w:rPr>
                <w:rFonts w:ascii="Arial" w:cs="Arial" w:eastAsia="Arial" w:hAnsi="Arial"/>
                <w:sz w:val="14"/>
                <w:szCs w:val="14"/>
                <w:color w:val="auto"/>
              </w:rPr>
              <w:t>Turqi Alnowaiser</w:t>
            </w:r>
          </w:p>
        </w:tc>
        <w:tc>
          <w:tcPr>
            <w:tcW w:w="2160" w:type="dxa"/>
            <w:vAlign w:val="bottom"/>
            <w:shd w:val="clear" w:color="auto" w:fill="F7F7F7"/>
          </w:tcPr>
          <w:p>
            <w:pPr>
              <w:ind w:left="1380"/>
              <w:spacing w:after="0"/>
              <w:rPr>
                <w:sz w:val="20"/>
                <w:szCs w:val="20"/>
                <w:color w:val="auto"/>
              </w:rPr>
            </w:pPr>
            <w:r>
              <w:rPr>
                <w:rFonts w:ascii="Arial" w:cs="Arial" w:eastAsia="Arial" w:hAnsi="Arial"/>
                <w:sz w:val="14"/>
                <w:szCs w:val="14"/>
                <w:color w:val="auto"/>
              </w:rPr>
              <w:t>24,000</w:t>
            </w:r>
          </w:p>
        </w:tc>
        <w:tc>
          <w:tcPr>
            <w:tcW w:w="1060" w:type="dxa"/>
            <w:vAlign w:val="bottom"/>
            <w:shd w:val="clear" w:color="auto" w:fill="F7F7F7"/>
          </w:tcPr>
          <w:p>
            <w:pPr>
              <w:jc w:val="right"/>
              <w:ind w:right="170"/>
              <w:spacing w:after="0"/>
              <w:rPr>
                <w:sz w:val="20"/>
                <w:szCs w:val="20"/>
                <w:color w:val="auto"/>
              </w:rPr>
            </w:pPr>
            <w:r>
              <w:rPr>
                <w:rFonts w:ascii="Arial" w:cs="Arial" w:eastAsia="Arial" w:hAnsi="Arial"/>
                <w:sz w:val="14"/>
                <w:szCs w:val="14"/>
                <w:color w:val="auto"/>
              </w:rPr>
              <w:t>300,881</w:t>
            </w:r>
          </w:p>
        </w:tc>
        <w:tc>
          <w:tcPr>
            <w:tcW w:w="1120" w:type="dxa"/>
            <w:vAlign w:val="bottom"/>
            <w:shd w:val="clear" w:color="auto" w:fill="F7F7F7"/>
          </w:tcPr>
          <w:p>
            <w:pPr>
              <w:ind w:left="480"/>
              <w:spacing w:after="0"/>
              <w:rPr>
                <w:sz w:val="20"/>
                <w:szCs w:val="20"/>
                <w:color w:val="auto"/>
              </w:rPr>
            </w:pPr>
            <w:r>
              <w:rPr>
                <w:rFonts w:ascii="Arial" w:cs="Arial" w:eastAsia="Arial" w:hAnsi="Arial"/>
                <w:sz w:val="14"/>
                <w:szCs w:val="14"/>
                <w:color w:val="auto"/>
              </w:rPr>
              <w:t>—</w:t>
            </w:r>
          </w:p>
        </w:tc>
        <w:tc>
          <w:tcPr>
            <w:tcW w:w="1120" w:type="dxa"/>
            <w:vAlign w:val="bottom"/>
            <w:shd w:val="clear" w:color="auto" w:fill="F7F7F7"/>
          </w:tcPr>
          <w:p>
            <w:pPr>
              <w:jc w:val="right"/>
              <w:ind w:right="10"/>
              <w:spacing w:after="0"/>
              <w:rPr>
                <w:sz w:val="20"/>
                <w:szCs w:val="20"/>
                <w:color w:val="auto"/>
              </w:rPr>
            </w:pPr>
            <w:r>
              <w:rPr>
                <w:rFonts w:ascii="Arial" w:cs="Arial" w:eastAsia="Arial" w:hAnsi="Arial"/>
                <w:sz w:val="14"/>
                <w:szCs w:val="14"/>
                <w:color w:val="auto"/>
              </w:rPr>
              <w:t>25,400,593</w:t>
            </w:r>
            <w:r>
              <w:rPr>
                <w:rFonts w:ascii="Arial" w:cs="Arial" w:eastAsia="Arial" w:hAnsi="Arial"/>
                <w:sz w:val="17"/>
                <w:szCs w:val="17"/>
                <w:color w:val="auto"/>
                <w:vertAlign w:val="superscript"/>
              </w:rPr>
              <w:t>(3)</w:t>
            </w:r>
          </w:p>
        </w:tc>
        <w:tc>
          <w:tcPr>
            <w:tcW w:w="1160" w:type="dxa"/>
            <w:vAlign w:val="bottom"/>
            <w:shd w:val="clear" w:color="auto" w:fill="F7F7F7"/>
          </w:tcPr>
          <w:p>
            <w:pPr>
              <w:jc w:val="right"/>
              <w:ind w:right="190"/>
              <w:spacing w:after="0"/>
              <w:rPr>
                <w:sz w:val="20"/>
                <w:szCs w:val="20"/>
                <w:color w:val="auto"/>
              </w:rPr>
            </w:pPr>
            <w:r>
              <w:rPr>
                <w:rFonts w:ascii="Arial" w:cs="Arial" w:eastAsia="Arial" w:hAnsi="Arial"/>
                <w:sz w:val="14"/>
                <w:szCs w:val="14"/>
                <w:color w:val="auto"/>
              </w:rPr>
              <w:t>25,725,474</w:t>
            </w:r>
          </w:p>
        </w:tc>
      </w:tr>
      <w:tr>
        <w:trPr>
          <w:trHeight w:val="68"/>
        </w:trPr>
        <w:tc>
          <w:tcPr>
            <w:tcW w:w="2760" w:type="dxa"/>
            <w:vAlign w:val="bottom"/>
            <w:tcBorders>
              <w:bottom w:val="single" w:sz="8" w:color="auto"/>
            </w:tcBorders>
            <w:shd w:val="clear" w:color="auto" w:fill="F7F7F7"/>
          </w:tcPr>
          <w:p>
            <w:pPr>
              <w:spacing w:after="0"/>
              <w:rPr>
                <w:sz w:val="5"/>
                <w:szCs w:val="5"/>
                <w:color w:val="auto"/>
              </w:rPr>
            </w:pPr>
          </w:p>
        </w:tc>
        <w:tc>
          <w:tcPr>
            <w:tcW w:w="2160" w:type="dxa"/>
            <w:vAlign w:val="bottom"/>
            <w:tcBorders>
              <w:bottom w:val="single" w:sz="8" w:color="auto"/>
            </w:tcBorders>
            <w:shd w:val="clear" w:color="auto" w:fill="F7F7F7"/>
          </w:tcPr>
          <w:p>
            <w:pPr>
              <w:spacing w:after="0"/>
              <w:rPr>
                <w:sz w:val="5"/>
                <w:szCs w:val="5"/>
                <w:color w:val="auto"/>
              </w:rPr>
            </w:pPr>
          </w:p>
        </w:tc>
        <w:tc>
          <w:tcPr>
            <w:tcW w:w="1060" w:type="dxa"/>
            <w:vAlign w:val="bottom"/>
            <w:tcBorders>
              <w:bottom w:val="single" w:sz="8" w:color="auto"/>
            </w:tcBorders>
            <w:shd w:val="clear" w:color="auto" w:fill="F7F7F7"/>
          </w:tcPr>
          <w:p>
            <w:pPr>
              <w:spacing w:after="0"/>
              <w:rPr>
                <w:sz w:val="5"/>
                <w:szCs w:val="5"/>
                <w:color w:val="auto"/>
              </w:rPr>
            </w:pPr>
          </w:p>
        </w:tc>
        <w:tc>
          <w:tcPr>
            <w:tcW w:w="1120" w:type="dxa"/>
            <w:vAlign w:val="bottom"/>
            <w:tcBorders>
              <w:bottom w:val="single" w:sz="8" w:color="auto"/>
            </w:tcBorders>
            <w:shd w:val="clear" w:color="auto" w:fill="F7F7F7"/>
          </w:tcPr>
          <w:p>
            <w:pPr>
              <w:spacing w:after="0"/>
              <w:rPr>
                <w:sz w:val="5"/>
                <w:szCs w:val="5"/>
                <w:color w:val="auto"/>
              </w:rPr>
            </w:pPr>
          </w:p>
        </w:tc>
        <w:tc>
          <w:tcPr>
            <w:tcW w:w="1120" w:type="dxa"/>
            <w:vAlign w:val="bottom"/>
            <w:tcBorders>
              <w:bottom w:val="single" w:sz="8" w:color="auto"/>
            </w:tcBorders>
            <w:shd w:val="clear" w:color="auto" w:fill="F7F7F7"/>
          </w:tcPr>
          <w:p>
            <w:pPr>
              <w:spacing w:after="0"/>
              <w:rPr>
                <w:sz w:val="5"/>
                <w:szCs w:val="5"/>
                <w:color w:val="auto"/>
              </w:rPr>
            </w:pPr>
          </w:p>
        </w:tc>
        <w:tc>
          <w:tcPr>
            <w:tcW w:w="1160" w:type="dxa"/>
            <w:vAlign w:val="bottom"/>
            <w:tcBorders>
              <w:bottom w:val="single" w:sz="8" w:color="auto"/>
            </w:tcBorders>
            <w:shd w:val="clear" w:color="auto" w:fill="F7F7F7"/>
          </w:tcPr>
          <w:p>
            <w:pPr>
              <w:spacing w:after="0"/>
              <w:rPr>
                <w:sz w:val="5"/>
                <w:szCs w:val="5"/>
                <w:color w:val="auto"/>
              </w:rPr>
            </w:pPr>
          </w:p>
        </w:tc>
      </w:tr>
      <w:tr>
        <w:trPr>
          <w:trHeight w:val="292"/>
        </w:trPr>
        <w:tc>
          <w:tcPr>
            <w:tcW w:w="2760" w:type="dxa"/>
            <w:vAlign w:val="bottom"/>
          </w:tcPr>
          <w:p>
            <w:pPr>
              <w:ind w:left="140"/>
              <w:spacing w:after="0"/>
              <w:rPr>
                <w:sz w:val="20"/>
                <w:szCs w:val="20"/>
                <w:color w:val="auto"/>
              </w:rPr>
            </w:pPr>
            <w:r>
              <w:rPr>
                <w:rFonts w:ascii="Arial" w:cs="Arial" w:eastAsia="Arial" w:hAnsi="Arial"/>
                <w:sz w:val="14"/>
                <w:szCs w:val="14"/>
                <w:color w:val="auto"/>
              </w:rPr>
              <w:t>Glenn R. August</w:t>
            </w:r>
          </w:p>
        </w:tc>
        <w:tc>
          <w:tcPr>
            <w:tcW w:w="2160" w:type="dxa"/>
            <w:vAlign w:val="bottom"/>
          </w:tcPr>
          <w:p>
            <w:pPr>
              <w:ind w:left="1380"/>
              <w:spacing w:after="0"/>
              <w:rPr>
                <w:sz w:val="20"/>
                <w:szCs w:val="20"/>
                <w:color w:val="auto"/>
              </w:rPr>
            </w:pPr>
            <w:r>
              <w:rPr>
                <w:rFonts w:ascii="Arial" w:cs="Arial" w:eastAsia="Arial" w:hAnsi="Arial"/>
                <w:sz w:val="14"/>
                <w:szCs w:val="14"/>
                <w:color w:val="auto"/>
              </w:rPr>
              <w:t>22,000</w:t>
            </w:r>
          </w:p>
        </w:tc>
        <w:tc>
          <w:tcPr>
            <w:tcW w:w="1060" w:type="dxa"/>
            <w:vAlign w:val="bottom"/>
          </w:tcPr>
          <w:p>
            <w:pPr>
              <w:jc w:val="right"/>
              <w:ind w:right="170"/>
              <w:spacing w:after="0"/>
              <w:rPr>
                <w:sz w:val="20"/>
                <w:szCs w:val="20"/>
                <w:color w:val="auto"/>
              </w:rPr>
            </w:pPr>
            <w:r>
              <w:rPr>
                <w:rFonts w:ascii="Arial" w:cs="Arial" w:eastAsia="Arial" w:hAnsi="Arial"/>
                <w:sz w:val="14"/>
                <w:szCs w:val="14"/>
                <w:color w:val="auto"/>
              </w:rPr>
              <w:t>300,881</w:t>
            </w:r>
          </w:p>
        </w:tc>
        <w:tc>
          <w:tcPr>
            <w:tcW w:w="1120" w:type="dxa"/>
            <w:vAlign w:val="bottom"/>
          </w:tcPr>
          <w:p>
            <w:pPr>
              <w:ind w:left="48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90"/>
              <w:spacing w:after="0"/>
              <w:rPr>
                <w:sz w:val="20"/>
                <w:szCs w:val="20"/>
                <w:color w:val="auto"/>
              </w:rPr>
            </w:pPr>
            <w:r>
              <w:rPr>
                <w:rFonts w:ascii="Arial" w:cs="Arial" w:eastAsia="Arial" w:hAnsi="Arial"/>
                <w:sz w:val="14"/>
                <w:szCs w:val="14"/>
                <w:color w:val="auto"/>
              </w:rPr>
              <w:t>322,881</w:t>
            </w:r>
          </w:p>
        </w:tc>
      </w:tr>
      <w:tr>
        <w:trPr>
          <w:trHeight w:val="93"/>
        </w:trPr>
        <w:tc>
          <w:tcPr>
            <w:tcW w:w="2760" w:type="dxa"/>
            <w:vAlign w:val="bottom"/>
            <w:tcBorders>
              <w:bottom w:val="single" w:sz="8" w:color="auto"/>
            </w:tcBorders>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r>
      <w:tr>
        <w:trPr>
          <w:trHeight w:val="358"/>
        </w:trPr>
        <w:tc>
          <w:tcPr>
            <w:tcW w:w="2760" w:type="dxa"/>
            <w:vAlign w:val="bottom"/>
            <w:shd w:val="clear" w:color="auto" w:fill="F7F7F7"/>
          </w:tcPr>
          <w:p>
            <w:pPr>
              <w:ind w:left="140"/>
              <w:spacing w:after="0"/>
              <w:rPr>
                <w:sz w:val="20"/>
                <w:szCs w:val="20"/>
                <w:color w:val="auto"/>
              </w:rPr>
            </w:pPr>
            <w:r>
              <w:rPr>
                <w:rFonts w:ascii="Arial" w:cs="Arial" w:eastAsia="Arial" w:hAnsi="Arial"/>
                <w:sz w:val="14"/>
                <w:szCs w:val="14"/>
                <w:color w:val="auto"/>
              </w:rPr>
              <w:t>Nancy Gioia</w:t>
            </w:r>
            <w:r>
              <w:rPr>
                <w:rFonts w:ascii="Arial" w:cs="Arial" w:eastAsia="Arial" w:hAnsi="Arial"/>
                <w:sz w:val="17"/>
                <w:szCs w:val="17"/>
                <w:color w:val="auto"/>
                <w:vertAlign w:val="superscript"/>
              </w:rPr>
              <w:t>(2)</w:t>
            </w:r>
          </w:p>
        </w:tc>
        <w:tc>
          <w:tcPr>
            <w:tcW w:w="2160" w:type="dxa"/>
            <w:vAlign w:val="bottom"/>
            <w:shd w:val="clear" w:color="auto" w:fill="F7F7F7"/>
          </w:tcPr>
          <w:p>
            <w:pPr>
              <w:ind w:left="1380"/>
              <w:spacing w:after="0"/>
              <w:rPr>
                <w:sz w:val="20"/>
                <w:szCs w:val="20"/>
                <w:color w:val="auto"/>
              </w:rPr>
            </w:pPr>
            <w:r>
              <w:rPr>
                <w:rFonts w:ascii="Arial" w:cs="Arial" w:eastAsia="Arial" w:hAnsi="Arial"/>
                <w:sz w:val="14"/>
                <w:szCs w:val="14"/>
                <w:color w:val="auto"/>
              </w:rPr>
              <w:t>20,000</w:t>
            </w:r>
          </w:p>
        </w:tc>
        <w:tc>
          <w:tcPr>
            <w:tcW w:w="1060" w:type="dxa"/>
            <w:vAlign w:val="bottom"/>
            <w:shd w:val="clear" w:color="auto" w:fill="F7F7F7"/>
          </w:tcPr>
          <w:p>
            <w:pPr>
              <w:jc w:val="right"/>
              <w:ind w:right="170"/>
              <w:spacing w:after="0"/>
              <w:rPr>
                <w:sz w:val="20"/>
                <w:szCs w:val="20"/>
                <w:color w:val="auto"/>
              </w:rPr>
            </w:pPr>
            <w:r>
              <w:rPr>
                <w:rFonts w:ascii="Arial" w:cs="Arial" w:eastAsia="Arial" w:hAnsi="Arial"/>
                <w:sz w:val="14"/>
                <w:szCs w:val="14"/>
                <w:color w:val="auto"/>
              </w:rPr>
              <w:t>300,881</w:t>
            </w:r>
          </w:p>
        </w:tc>
        <w:tc>
          <w:tcPr>
            <w:tcW w:w="1120" w:type="dxa"/>
            <w:vAlign w:val="bottom"/>
            <w:shd w:val="clear" w:color="auto" w:fill="F7F7F7"/>
          </w:tcPr>
          <w:p>
            <w:pPr>
              <w:ind w:left="480"/>
              <w:spacing w:after="0"/>
              <w:rPr>
                <w:sz w:val="20"/>
                <w:szCs w:val="20"/>
                <w:color w:val="auto"/>
              </w:rPr>
            </w:pPr>
            <w:r>
              <w:rPr>
                <w:rFonts w:ascii="Arial" w:cs="Arial" w:eastAsia="Arial" w:hAnsi="Arial"/>
                <w:sz w:val="14"/>
                <w:szCs w:val="14"/>
                <w:color w:val="auto"/>
              </w:rPr>
              <w:t>—</w:t>
            </w:r>
          </w:p>
        </w:tc>
        <w:tc>
          <w:tcPr>
            <w:tcW w:w="1120" w:type="dxa"/>
            <w:vAlign w:val="bottom"/>
            <w:shd w:val="clear" w:color="auto" w:fill="F7F7F7"/>
          </w:tcPr>
          <w:p>
            <w:pPr>
              <w:jc w:val="right"/>
              <w:ind w:right="10"/>
              <w:spacing w:after="0"/>
              <w:rPr>
                <w:sz w:val="20"/>
                <w:szCs w:val="20"/>
                <w:color w:val="auto"/>
              </w:rPr>
            </w:pPr>
            <w:r>
              <w:rPr>
                <w:rFonts w:ascii="Arial" w:cs="Arial" w:eastAsia="Arial" w:hAnsi="Arial"/>
                <w:sz w:val="14"/>
                <w:szCs w:val="14"/>
                <w:color w:val="auto"/>
              </w:rPr>
              <w:t>2,000,000</w:t>
            </w:r>
            <w:r>
              <w:rPr>
                <w:rFonts w:ascii="Arial" w:cs="Arial" w:eastAsia="Arial" w:hAnsi="Arial"/>
                <w:sz w:val="17"/>
                <w:szCs w:val="17"/>
                <w:color w:val="auto"/>
                <w:vertAlign w:val="superscript"/>
              </w:rPr>
              <w:t>(2)</w:t>
            </w:r>
          </w:p>
        </w:tc>
        <w:tc>
          <w:tcPr>
            <w:tcW w:w="1160" w:type="dxa"/>
            <w:vAlign w:val="bottom"/>
            <w:shd w:val="clear" w:color="auto" w:fill="F7F7F7"/>
          </w:tcPr>
          <w:p>
            <w:pPr>
              <w:jc w:val="right"/>
              <w:ind w:right="190"/>
              <w:spacing w:after="0"/>
              <w:rPr>
                <w:sz w:val="20"/>
                <w:szCs w:val="20"/>
                <w:color w:val="auto"/>
              </w:rPr>
            </w:pPr>
            <w:r>
              <w:rPr>
                <w:rFonts w:ascii="Arial" w:cs="Arial" w:eastAsia="Arial" w:hAnsi="Arial"/>
                <w:sz w:val="14"/>
                <w:szCs w:val="14"/>
                <w:color w:val="auto"/>
              </w:rPr>
              <w:t>2,320,881</w:t>
            </w:r>
          </w:p>
        </w:tc>
      </w:tr>
      <w:tr>
        <w:trPr>
          <w:trHeight w:val="68"/>
        </w:trPr>
        <w:tc>
          <w:tcPr>
            <w:tcW w:w="2760" w:type="dxa"/>
            <w:vAlign w:val="bottom"/>
            <w:tcBorders>
              <w:bottom w:val="single" w:sz="8" w:color="auto"/>
            </w:tcBorders>
            <w:shd w:val="clear" w:color="auto" w:fill="F7F7F7"/>
          </w:tcPr>
          <w:p>
            <w:pPr>
              <w:spacing w:after="0"/>
              <w:rPr>
                <w:sz w:val="5"/>
                <w:szCs w:val="5"/>
                <w:color w:val="auto"/>
              </w:rPr>
            </w:pPr>
          </w:p>
        </w:tc>
        <w:tc>
          <w:tcPr>
            <w:tcW w:w="2160" w:type="dxa"/>
            <w:vAlign w:val="bottom"/>
            <w:tcBorders>
              <w:bottom w:val="single" w:sz="8" w:color="auto"/>
            </w:tcBorders>
            <w:shd w:val="clear" w:color="auto" w:fill="F7F7F7"/>
          </w:tcPr>
          <w:p>
            <w:pPr>
              <w:spacing w:after="0"/>
              <w:rPr>
                <w:sz w:val="5"/>
                <w:szCs w:val="5"/>
                <w:color w:val="auto"/>
              </w:rPr>
            </w:pPr>
          </w:p>
        </w:tc>
        <w:tc>
          <w:tcPr>
            <w:tcW w:w="1060" w:type="dxa"/>
            <w:vAlign w:val="bottom"/>
            <w:tcBorders>
              <w:bottom w:val="single" w:sz="8" w:color="auto"/>
            </w:tcBorders>
            <w:shd w:val="clear" w:color="auto" w:fill="F7F7F7"/>
          </w:tcPr>
          <w:p>
            <w:pPr>
              <w:spacing w:after="0"/>
              <w:rPr>
                <w:sz w:val="5"/>
                <w:szCs w:val="5"/>
                <w:color w:val="auto"/>
              </w:rPr>
            </w:pPr>
          </w:p>
        </w:tc>
        <w:tc>
          <w:tcPr>
            <w:tcW w:w="1120" w:type="dxa"/>
            <w:vAlign w:val="bottom"/>
            <w:tcBorders>
              <w:bottom w:val="single" w:sz="8" w:color="auto"/>
            </w:tcBorders>
            <w:shd w:val="clear" w:color="auto" w:fill="F7F7F7"/>
          </w:tcPr>
          <w:p>
            <w:pPr>
              <w:spacing w:after="0"/>
              <w:rPr>
                <w:sz w:val="5"/>
                <w:szCs w:val="5"/>
                <w:color w:val="auto"/>
              </w:rPr>
            </w:pPr>
          </w:p>
        </w:tc>
        <w:tc>
          <w:tcPr>
            <w:tcW w:w="1120" w:type="dxa"/>
            <w:vAlign w:val="bottom"/>
            <w:tcBorders>
              <w:bottom w:val="single" w:sz="8" w:color="auto"/>
            </w:tcBorders>
            <w:shd w:val="clear" w:color="auto" w:fill="F7F7F7"/>
          </w:tcPr>
          <w:p>
            <w:pPr>
              <w:spacing w:after="0"/>
              <w:rPr>
                <w:sz w:val="5"/>
                <w:szCs w:val="5"/>
                <w:color w:val="auto"/>
              </w:rPr>
            </w:pPr>
          </w:p>
        </w:tc>
        <w:tc>
          <w:tcPr>
            <w:tcW w:w="1160" w:type="dxa"/>
            <w:vAlign w:val="bottom"/>
            <w:tcBorders>
              <w:bottom w:val="single" w:sz="8" w:color="auto"/>
            </w:tcBorders>
            <w:shd w:val="clear" w:color="auto" w:fill="F7F7F7"/>
          </w:tcPr>
          <w:p>
            <w:pPr>
              <w:spacing w:after="0"/>
              <w:rPr>
                <w:sz w:val="5"/>
                <w:szCs w:val="5"/>
                <w:color w:val="auto"/>
              </w:rPr>
            </w:pPr>
          </w:p>
        </w:tc>
      </w:tr>
      <w:tr>
        <w:trPr>
          <w:trHeight w:val="305"/>
        </w:trPr>
        <w:tc>
          <w:tcPr>
            <w:tcW w:w="2760" w:type="dxa"/>
            <w:vAlign w:val="bottom"/>
          </w:tcPr>
          <w:p>
            <w:pPr>
              <w:ind w:left="140"/>
              <w:spacing w:after="0"/>
              <w:rPr>
                <w:sz w:val="20"/>
                <w:szCs w:val="20"/>
                <w:color w:val="auto"/>
              </w:rPr>
            </w:pPr>
            <w:r>
              <w:rPr>
                <w:rFonts w:ascii="Arial" w:cs="Arial" w:eastAsia="Arial" w:hAnsi="Arial"/>
                <w:sz w:val="14"/>
                <w:szCs w:val="14"/>
                <w:color w:val="auto"/>
              </w:rPr>
              <w:t>Frank Lindenberg</w:t>
            </w:r>
          </w:p>
        </w:tc>
        <w:tc>
          <w:tcPr>
            <w:tcW w:w="2160" w:type="dxa"/>
            <w:vAlign w:val="bottom"/>
          </w:tcPr>
          <w:p>
            <w:pPr>
              <w:ind w:left="1380"/>
              <w:spacing w:after="0"/>
              <w:rPr>
                <w:sz w:val="20"/>
                <w:szCs w:val="20"/>
                <w:color w:val="auto"/>
              </w:rPr>
            </w:pPr>
            <w:r>
              <w:rPr>
                <w:rFonts w:ascii="Arial" w:cs="Arial" w:eastAsia="Arial" w:hAnsi="Arial"/>
                <w:sz w:val="14"/>
                <w:szCs w:val="14"/>
                <w:color w:val="auto"/>
              </w:rPr>
              <w:t>23,750</w:t>
            </w:r>
          </w:p>
        </w:tc>
        <w:tc>
          <w:tcPr>
            <w:tcW w:w="1060" w:type="dxa"/>
            <w:vAlign w:val="bottom"/>
          </w:tcPr>
          <w:p>
            <w:pPr>
              <w:jc w:val="right"/>
              <w:ind w:right="170"/>
              <w:spacing w:after="0"/>
              <w:rPr>
                <w:sz w:val="20"/>
                <w:szCs w:val="20"/>
                <w:color w:val="auto"/>
              </w:rPr>
            </w:pPr>
            <w:r>
              <w:rPr>
                <w:rFonts w:ascii="Arial" w:cs="Arial" w:eastAsia="Arial" w:hAnsi="Arial"/>
                <w:sz w:val="14"/>
                <w:szCs w:val="14"/>
                <w:color w:val="auto"/>
              </w:rPr>
              <w:t>300,881</w:t>
            </w:r>
          </w:p>
        </w:tc>
        <w:tc>
          <w:tcPr>
            <w:tcW w:w="1120" w:type="dxa"/>
            <w:vAlign w:val="bottom"/>
          </w:tcPr>
          <w:p>
            <w:pPr>
              <w:ind w:left="48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90"/>
              <w:spacing w:after="0"/>
              <w:rPr>
                <w:sz w:val="20"/>
                <w:szCs w:val="20"/>
                <w:color w:val="auto"/>
              </w:rPr>
            </w:pPr>
            <w:r>
              <w:rPr>
                <w:rFonts w:ascii="Arial" w:cs="Arial" w:eastAsia="Arial" w:hAnsi="Arial"/>
                <w:sz w:val="14"/>
                <w:szCs w:val="14"/>
                <w:color w:val="auto"/>
              </w:rPr>
              <w:t>324,631</w:t>
            </w:r>
          </w:p>
        </w:tc>
      </w:tr>
      <w:tr>
        <w:trPr>
          <w:trHeight w:val="93"/>
        </w:trPr>
        <w:tc>
          <w:tcPr>
            <w:tcW w:w="2760" w:type="dxa"/>
            <w:vAlign w:val="bottom"/>
            <w:tcBorders>
              <w:bottom w:val="single" w:sz="8" w:color="auto"/>
            </w:tcBorders>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r>
      <w:tr>
        <w:trPr>
          <w:trHeight w:val="305"/>
        </w:trPr>
        <w:tc>
          <w:tcPr>
            <w:tcW w:w="2760" w:type="dxa"/>
            <w:vAlign w:val="bottom"/>
            <w:shd w:val="clear" w:color="auto" w:fill="F7F7F7"/>
          </w:tcPr>
          <w:p>
            <w:pPr>
              <w:ind w:left="140"/>
              <w:spacing w:after="0"/>
              <w:rPr>
                <w:sz w:val="20"/>
                <w:szCs w:val="20"/>
                <w:color w:val="auto"/>
              </w:rPr>
            </w:pPr>
            <w:r>
              <w:rPr>
                <w:rFonts w:ascii="Arial" w:cs="Arial" w:eastAsia="Arial" w:hAnsi="Arial"/>
                <w:sz w:val="14"/>
                <w:szCs w:val="14"/>
                <w:color w:val="auto"/>
              </w:rPr>
              <w:t>Nichelle Maynard-Elliot</w:t>
            </w:r>
          </w:p>
        </w:tc>
        <w:tc>
          <w:tcPr>
            <w:tcW w:w="2160" w:type="dxa"/>
            <w:vAlign w:val="bottom"/>
            <w:shd w:val="clear" w:color="auto" w:fill="F7F7F7"/>
          </w:tcPr>
          <w:p>
            <w:pPr>
              <w:ind w:left="1380"/>
              <w:spacing w:after="0"/>
              <w:rPr>
                <w:sz w:val="20"/>
                <w:szCs w:val="20"/>
                <w:color w:val="auto"/>
              </w:rPr>
            </w:pPr>
            <w:r>
              <w:rPr>
                <w:rFonts w:ascii="Arial" w:cs="Arial" w:eastAsia="Arial" w:hAnsi="Arial"/>
                <w:sz w:val="14"/>
                <w:szCs w:val="14"/>
                <w:color w:val="auto"/>
              </w:rPr>
              <w:t>17,000</w:t>
            </w:r>
          </w:p>
        </w:tc>
        <w:tc>
          <w:tcPr>
            <w:tcW w:w="1060" w:type="dxa"/>
            <w:vAlign w:val="bottom"/>
            <w:shd w:val="clear" w:color="auto" w:fill="F7F7F7"/>
          </w:tcPr>
          <w:p>
            <w:pPr>
              <w:jc w:val="right"/>
              <w:ind w:right="170"/>
              <w:spacing w:after="0"/>
              <w:rPr>
                <w:sz w:val="20"/>
                <w:szCs w:val="20"/>
                <w:color w:val="auto"/>
              </w:rPr>
            </w:pPr>
            <w:r>
              <w:rPr>
                <w:rFonts w:ascii="Arial" w:cs="Arial" w:eastAsia="Arial" w:hAnsi="Arial"/>
                <w:sz w:val="14"/>
                <w:szCs w:val="14"/>
                <w:color w:val="auto"/>
              </w:rPr>
              <w:t>300,881</w:t>
            </w:r>
          </w:p>
        </w:tc>
        <w:tc>
          <w:tcPr>
            <w:tcW w:w="1120" w:type="dxa"/>
            <w:vAlign w:val="bottom"/>
            <w:shd w:val="clear" w:color="auto" w:fill="F7F7F7"/>
          </w:tcPr>
          <w:p>
            <w:pPr>
              <w:ind w:left="480"/>
              <w:spacing w:after="0"/>
              <w:rPr>
                <w:sz w:val="20"/>
                <w:szCs w:val="20"/>
                <w:color w:val="auto"/>
              </w:rPr>
            </w:pPr>
            <w:r>
              <w:rPr>
                <w:rFonts w:ascii="Arial" w:cs="Arial" w:eastAsia="Arial" w:hAnsi="Arial"/>
                <w:sz w:val="14"/>
                <w:szCs w:val="14"/>
                <w:color w:val="auto"/>
              </w:rPr>
              <w:t>—</w:t>
            </w:r>
          </w:p>
        </w:tc>
        <w:tc>
          <w:tcPr>
            <w:tcW w:w="1120" w:type="dxa"/>
            <w:vAlign w:val="bottom"/>
            <w:shd w:val="clear" w:color="auto" w:fill="F7F7F7"/>
          </w:tcPr>
          <w:p>
            <w:pPr>
              <w:jc w:val="right"/>
              <w:ind w:right="130"/>
              <w:spacing w:after="0"/>
              <w:rPr>
                <w:sz w:val="20"/>
                <w:szCs w:val="20"/>
                <w:color w:val="auto"/>
              </w:rPr>
            </w:pPr>
            <w:r>
              <w:rPr>
                <w:rFonts w:ascii="Arial" w:cs="Arial" w:eastAsia="Arial" w:hAnsi="Arial"/>
                <w:sz w:val="14"/>
                <w:szCs w:val="14"/>
                <w:color w:val="auto"/>
              </w:rPr>
              <w:t>—</w:t>
            </w:r>
          </w:p>
        </w:tc>
        <w:tc>
          <w:tcPr>
            <w:tcW w:w="1160" w:type="dxa"/>
            <w:vAlign w:val="bottom"/>
            <w:shd w:val="clear" w:color="auto" w:fill="F7F7F7"/>
          </w:tcPr>
          <w:p>
            <w:pPr>
              <w:jc w:val="right"/>
              <w:ind w:right="190"/>
              <w:spacing w:after="0"/>
              <w:rPr>
                <w:sz w:val="20"/>
                <w:szCs w:val="20"/>
                <w:color w:val="auto"/>
              </w:rPr>
            </w:pPr>
            <w:r>
              <w:rPr>
                <w:rFonts w:ascii="Arial" w:cs="Arial" w:eastAsia="Arial" w:hAnsi="Arial"/>
                <w:sz w:val="14"/>
                <w:szCs w:val="14"/>
                <w:color w:val="auto"/>
              </w:rPr>
              <w:t>317,881</w:t>
            </w:r>
          </w:p>
        </w:tc>
      </w:tr>
      <w:tr>
        <w:trPr>
          <w:trHeight w:val="93"/>
        </w:trPr>
        <w:tc>
          <w:tcPr>
            <w:tcW w:w="2760" w:type="dxa"/>
            <w:vAlign w:val="bottom"/>
            <w:tcBorders>
              <w:bottom w:val="single" w:sz="8" w:color="auto"/>
            </w:tcBorders>
            <w:shd w:val="clear" w:color="auto" w:fill="F7F7F7"/>
          </w:tcPr>
          <w:p>
            <w:pPr>
              <w:spacing w:after="0"/>
              <w:rPr>
                <w:sz w:val="8"/>
                <w:szCs w:val="8"/>
                <w:color w:val="auto"/>
              </w:rPr>
            </w:pPr>
          </w:p>
        </w:tc>
        <w:tc>
          <w:tcPr>
            <w:tcW w:w="2160" w:type="dxa"/>
            <w:vAlign w:val="bottom"/>
            <w:tcBorders>
              <w:bottom w:val="single" w:sz="8" w:color="auto"/>
            </w:tcBorders>
            <w:shd w:val="clear" w:color="auto" w:fill="F7F7F7"/>
          </w:tcPr>
          <w:p>
            <w:pPr>
              <w:spacing w:after="0"/>
              <w:rPr>
                <w:sz w:val="8"/>
                <w:szCs w:val="8"/>
                <w:color w:val="auto"/>
              </w:rPr>
            </w:pPr>
          </w:p>
        </w:tc>
        <w:tc>
          <w:tcPr>
            <w:tcW w:w="1060" w:type="dxa"/>
            <w:vAlign w:val="bottom"/>
            <w:tcBorders>
              <w:bottom w:val="single" w:sz="8" w:color="auto"/>
            </w:tcBorders>
            <w:shd w:val="clear" w:color="auto" w:fill="F7F7F7"/>
          </w:tcPr>
          <w:p>
            <w:pPr>
              <w:spacing w:after="0"/>
              <w:rPr>
                <w:sz w:val="8"/>
                <w:szCs w:val="8"/>
                <w:color w:val="auto"/>
              </w:rPr>
            </w:pPr>
          </w:p>
        </w:tc>
        <w:tc>
          <w:tcPr>
            <w:tcW w:w="1120" w:type="dxa"/>
            <w:vAlign w:val="bottom"/>
            <w:tcBorders>
              <w:bottom w:val="single" w:sz="8" w:color="auto"/>
            </w:tcBorders>
            <w:shd w:val="clear" w:color="auto" w:fill="F7F7F7"/>
          </w:tcPr>
          <w:p>
            <w:pPr>
              <w:spacing w:after="0"/>
              <w:rPr>
                <w:sz w:val="8"/>
                <w:szCs w:val="8"/>
                <w:color w:val="auto"/>
              </w:rPr>
            </w:pPr>
          </w:p>
        </w:tc>
        <w:tc>
          <w:tcPr>
            <w:tcW w:w="1120" w:type="dxa"/>
            <w:vAlign w:val="bottom"/>
            <w:tcBorders>
              <w:bottom w:val="single" w:sz="8" w:color="auto"/>
            </w:tcBorders>
            <w:shd w:val="clear" w:color="auto" w:fill="F7F7F7"/>
          </w:tcPr>
          <w:p>
            <w:pPr>
              <w:spacing w:after="0"/>
              <w:rPr>
                <w:sz w:val="8"/>
                <w:szCs w:val="8"/>
                <w:color w:val="auto"/>
              </w:rPr>
            </w:pPr>
          </w:p>
        </w:tc>
        <w:tc>
          <w:tcPr>
            <w:tcW w:w="1160" w:type="dxa"/>
            <w:vAlign w:val="bottom"/>
            <w:tcBorders>
              <w:bottom w:val="single" w:sz="8" w:color="auto"/>
            </w:tcBorders>
            <w:shd w:val="clear" w:color="auto" w:fill="F7F7F7"/>
          </w:tcPr>
          <w:p>
            <w:pPr>
              <w:spacing w:after="0"/>
              <w:rPr>
                <w:sz w:val="8"/>
                <w:szCs w:val="8"/>
                <w:color w:val="auto"/>
              </w:rPr>
            </w:pPr>
          </w:p>
        </w:tc>
      </w:tr>
      <w:tr>
        <w:trPr>
          <w:trHeight w:val="331"/>
        </w:trPr>
        <w:tc>
          <w:tcPr>
            <w:tcW w:w="2760" w:type="dxa"/>
            <w:vAlign w:val="bottom"/>
          </w:tcPr>
          <w:p>
            <w:pPr>
              <w:ind w:left="140"/>
              <w:spacing w:after="0"/>
              <w:rPr>
                <w:sz w:val="20"/>
                <w:szCs w:val="20"/>
                <w:color w:val="auto"/>
              </w:rPr>
            </w:pPr>
            <w:r>
              <w:rPr>
                <w:rFonts w:ascii="Arial" w:cs="Arial" w:eastAsia="Arial" w:hAnsi="Arial"/>
                <w:sz w:val="14"/>
                <w:szCs w:val="14"/>
                <w:color w:val="auto"/>
              </w:rPr>
              <w:t>Tony Posawatz</w:t>
            </w:r>
          </w:p>
        </w:tc>
        <w:tc>
          <w:tcPr>
            <w:tcW w:w="2160" w:type="dxa"/>
            <w:vAlign w:val="bottom"/>
          </w:tcPr>
          <w:p>
            <w:pPr>
              <w:ind w:left="1380"/>
              <w:spacing w:after="0"/>
              <w:rPr>
                <w:sz w:val="20"/>
                <w:szCs w:val="20"/>
                <w:color w:val="auto"/>
              </w:rPr>
            </w:pPr>
            <w:r>
              <w:rPr>
                <w:rFonts w:ascii="Arial" w:cs="Arial" w:eastAsia="Arial" w:hAnsi="Arial"/>
                <w:sz w:val="14"/>
                <w:szCs w:val="14"/>
                <w:color w:val="auto"/>
              </w:rPr>
              <w:t>23,750</w:t>
            </w:r>
            <w:r>
              <w:rPr>
                <w:rFonts w:ascii="Arial" w:cs="Arial" w:eastAsia="Arial" w:hAnsi="Arial"/>
                <w:sz w:val="17"/>
                <w:szCs w:val="17"/>
                <w:color w:val="auto"/>
                <w:vertAlign w:val="superscript"/>
              </w:rPr>
              <w:t>(4)</w:t>
            </w:r>
          </w:p>
        </w:tc>
        <w:tc>
          <w:tcPr>
            <w:tcW w:w="1060" w:type="dxa"/>
            <w:vAlign w:val="bottom"/>
          </w:tcPr>
          <w:p>
            <w:pPr>
              <w:jc w:val="right"/>
              <w:ind w:right="170"/>
              <w:spacing w:after="0"/>
              <w:rPr>
                <w:sz w:val="20"/>
                <w:szCs w:val="20"/>
                <w:color w:val="auto"/>
              </w:rPr>
            </w:pPr>
            <w:r>
              <w:rPr>
                <w:rFonts w:ascii="Arial" w:cs="Arial" w:eastAsia="Arial" w:hAnsi="Arial"/>
                <w:sz w:val="14"/>
                <w:szCs w:val="14"/>
                <w:color w:val="auto"/>
              </w:rPr>
              <w:t>300,881</w:t>
            </w:r>
          </w:p>
        </w:tc>
        <w:tc>
          <w:tcPr>
            <w:tcW w:w="1120" w:type="dxa"/>
            <w:vAlign w:val="bottom"/>
          </w:tcPr>
          <w:p>
            <w:pPr>
              <w:ind w:left="48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0"/>
              <w:spacing w:after="0"/>
              <w:rPr>
                <w:sz w:val="20"/>
                <w:szCs w:val="20"/>
                <w:color w:val="auto"/>
              </w:rPr>
            </w:pPr>
            <w:r>
              <w:rPr>
                <w:rFonts w:ascii="Arial" w:cs="Arial" w:eastAsia="Arial" w:hAnsi="Arial"/>
                <w:sz w:val="14"/>
                <w:szCs w:val="14"/>
                <w:color w:val="auto"/>
              </w:rPr>
              <w:t>648,837</w:t>
            </w:r>
            <w:r>
              <w:rPr>
                <w:rFonts w:ascii="Arial" w:cs="Arial" w:eastAsia="Arial" w:hAnsi="Arial"/>
                <w:sz w:val="17"/>
                <w:szCs w:val="17"/>
                <w:color w:val="auto"/>
                <w:vertAlign w:val="superscript"/>
              </w:rPr>
              <w:t>(3)</w:t>
            </w:r>
          </w:p>
        </w:tc>
        <w:tc>
          <w:tcPr>
            <w:tcW w:w="1160" w:type="dxa"/>
            <w:vAlign w:val="bottom"/>
          </w:tcPr>
          <w:p>
            <w:pPr>
              <w:jc w:val="right"/>
              <w:ind w:right="190"/>
              <w:spacing w:after="0"/>
              <w:rPr>
                <w:sz w:val="20"/>
                <w:szCs w:val="20"/>
                <w:color w:val="auto"/>
              </w:rPr>
            </w:pPr>
            <w:r>
              <w:rPr>
                <w:rFonts w:ascii="Arial" w:cs="Arial" w:eastAsia="Arial" w:hAnsi="Arial"/>
                <w:sz w:val="14"/>
                <w:szCs w:val="14"/>
                <w:color w:val="auto"/>
              </w:rPr>
              <w:t>973,468</w:t>
            </w:r>
          </w:p>
        </w:tc>
      </w:tr>
      <w:tr>
        <w:trPr>
          <w:trHeight w:val="68"/>
        </w:trPr>
        <w:tc>
          <w:tcPr>
            <w:tcW w:w="2760" w:type="dxa"/>
            <w:vAlign w:val="bottom"/>
            <w:tcBorders>
              <w:bottom w:val="single" w:sz="8" w:color="auto"/>
            </w:tcBorders>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305"/>
        </w:trPr>
        <w:tc>
          <w:tcPr>
            <w:tcW w:w="2760" w:type="dxa"/>
            <w:vAlign w:val="bottom"/>
            <w:shd w:val="clear" w:color="auto" w:fill="F7F7F7"/>
          </w:tcPr>
          <w:p>
            <w:pPr>
              <w:ind w:left="140"/>
              <w:spacing w:after="0"/>
              <w:rPr>
                <w:sz w:val="20"/>
                <w:szCs w:val="20"/>
                <w:color w:val="auto"/>
              </w:rPr>
            </w:pPr>
            <w:r>
              <w:rPr>
                <w:rFonts w:ascii="Arial" w:cs="Arial" w:eastAsia="Arial" w:hAnsi="Arial"/>
                <w:sz w:val="14"/>
                <w:szCs w:val="14"/>
                <w:color w:val="auto"/>
              </w:rPr>
              <w:t>Janet S.Wong</w:t>
            </w:r>
          </w:p>
        </w:tc>
        <w:tc>
          <w:tcPr>
            <w:tcW w:w="2160" w:type="dxa"/>
            <w:vAlign w:val="bottom"/>
            <w:shd w:val="clear" w:color="auto" w:fill="F7F7F7"/>
          </w:tcPr>
          <w:p>
            <w:pPr>
              <w:ind w:left="1380"/>
              <w:spacing w:after="0"/>
              <w:rPr>
                <w:sz w:val="20"/>
                <w:szCs w:val="20"/>
                <w:color w:val="auto"/>
              </w:rPr>
            </w:pPr>
            <w:r>
              <w:rPr>
                <w:rFonts w:ascii="Arial" w:cs="Arial" w:eastAsia="Arial" w:hAnsi="Arial"/>
                <w:sz w:val="14"/>
                <w:szCs w:val="14"/>
                <w:color w:val="auto"/>
              </w:rPr>
              <w:t>25,000</w:t>
            </w:r>
          </w:p>
        </w:tc>
        <w:tc>
          <w:tcPr>
            <w:tcW w:w="1060" w:type="dxa"/>
            <w:vAlign w:val="bottom"/>
            <w:shd w:val="clear" w:color="auto" w:fill="F7F7F7"/>
          </w:tcPr>
          <w:p>
            <w:pPr>
              <w:jc w:val="right"/>
              <w:ind w:right="170"/>
              <w:spacing w:after="0"/>
              <w:rPr>
                <w:sz w:val="20"/>
                <w:szCs w:val="20"/>
                <w:color w:val="auto"/>
              </w:rPr>
            </w:pPr>
            <w:r>
              <w:rPr>
                <w:rFonts w:ascii="Arial" w:cs="Arial" w:eastAsia="Arial" w:hAnsi="Arial"/>
                <w:sz w:val="14"/>
                <w:szCs w:val="14"/>
                <w:color w:val="auto"/>
              </w:rPr>
              <w:t>300,881</w:t>
            </w:r>
          </w:p>
        </w:tc>
        <w:tc>
          <w:tcPr>
            <w:tcW w:w="1120" w:type="dxa"/>
            <w:vAlign w:val="bottom"/>
            <w:shd w:val="clear" w:color="auto" w:fill="F7F7F7"/>
          </w:tcPr>
          <w:p>
            <w:pPr>
              <w:ind w:left="480"/>
              <w:spacing w:after="0"/>
              <w:rPr>
                <w:sz w:val="20"/>
                <w:szCs w:val="20"/>
                <w:color w:val="auto"/>
              </w:rPr>
            </w:pPr>
            <w:r>
              <w:rPr>
                <w:rFonts w:ascii="Arial" w:cs="Arial" w:eastAsia="Arial" w:hAnsi="Arial"/>
                <w:sz w:val="14"/>
                <w:szCs w:val="14"/>
                <w:color w:val="auto"/>
              </w:rPr>
              <w:t>—</w:t>
            </w:r>
          </w:p>
        </w:tc>
        <w:tc>
          <w:tcPr>
            <w:tcW w:w="1120" w:type="dxa"/>
            <w:vAlign w:val="bottom"/>
            <w:shd w:val="clear" w:color="auto" w:fill="F7F7F7"/>
          </w:tcPr>
          <w:p>
            <w:pPr>
              <w:jc w:val="right"/>
              <w:ind w:right="130"/>
              <w:spacing w:after="0"/>
              <w:rPr>
                <w:sz w:val="20"/>
                <w:szCs w:val="20"/>
                <w:color w:val="auto"/>
              </w:rPr>
            </w:pPr>
            <w:r>
              <w:rPr>
                <w:rFonts w:ascii="Arial" w:cs="Arial" w:eastAsia="Arial" w:hAnsi="Arial"/>
                <w:sz w:val="14"/>
                <w:szCs w:val="14"/>
                <w:color w:val="auto"/>
              </w:rPr>
              <w:t>—</w:t>
            </w:r>
          </w:p>
        </w:tc>
        <w:tc>
          <w:tcPr>
            <w:tcW w:w="1160" w:type="dxa"/>
            <w:vAlign w:val="bottom"/>
            <w:shd w:val="clear" w:color="auto" w:fill="F7F7F7"/>
          </w:tcPr>
          <w:p>
            <w:pPr>
              <w:jc w:val="right"/>
              <w:ind w:right="190"/>
              <w:spacing w:after="0"/>
              <w:rPr>
                <w:sz w:val="20"/>
                <w:szCs w:val="20"/>
                <w:color w:val="auto"/>
              </w:rPr>
            </w:pPr>
            <w:r>
              <w:rPr>
                <w:rFonts w:ascii="Arial" w:cs="Arial" w:eastAsia="Arial" w:hAnsi="Arial"/>
                <w:sz w:val="14"/>
                <w:szCs w:val="14"/>
                <w:color w:val="auto"/>
              </w:rPr>
              <w:t>325,881</w:t>
            </w:r>
          </w:p>
        </w:tc>
      </w:tr>
      <w:tr>
        <w:trPr>
          <w:trHeight w:val="93"/>
        </w:trPr>
        <w:tc>
          <w:tcPr>
            <w:tcW w:w="2760" w:type="dxa"/>
            <w:vAlign w:val="bottom"/>
            <w:tcBorders>
              <w:bottom w:val="single" w:sz="8" w:color="auto"/>
            </w:tcBorders>
            <w:shd w:val="clear" w:color="auto" w:fill="F7F7F7"/>
          </w:tcPr>
          <w:p>
            <w:pPr>
              <w:spacing w:after="0"/>
              <w:rPr>
                <w:sz w:val="8"/>
                <w:szCs w:val="8"/>
                <w:color w:val="auto"/>
              </w:rPr>
            </w:pPr>
          </w:p>
        </w:tc>
        <w:tc>
          <w:tcPr>
            <w:tcW w:w="2160" w:type="dxa"/>
            <w:vAlign w:val="bottom"/>
            <w:tcBorders>
              <w:bottom w:val="single" w:sz="8" w:color="auto"/>
            </w:tcBorders>
            <w:shd w:val="clear" w:color="auto" w:fill="F7F7F7"/>
          </w:tcPr>
          <w:p>
            <w:pPr>
              <w:spacing w:after="0"/>
              <w:rPr>
                <w:sz w:val="8"/>
                <w:szCs w:val="8"/>
                <w:color w:val="auto"/>
              </w:rPr>
            </w:pPr>
          </w:p>
        </w:tc>
        <w:tc>
          <w:tcPr>
            <w:tcW w:w="1060" w:type="dxa"/>
            <w:vAlign w:val="bottom"/>
            <w:tcBorders>
              <w:bottom w:val="single" w:sz="8" w:color="auto"/>
            </w:tcBorders>
            <w:shd w:val="clear" w:color="auto" w:fill="F7F7F7"/>
          </w:tcPr>
          <w:p>
            <w:pPr>
              <w:spacing w:after="0"/>
              <w:rPr>
                <w:sz w:val="8"/>
                <w:szCs w:val="8"/>
                <w:color w:val="auto"/>
              </w:rPr>
            </w:pPr>
          </w:p>
        </w:tc>
        <w:tc>
          <w:tcPr>
            <w:tcW w:w="1120" w:type="dxa"/>
            <w:vAlign w:val="bottom"/>
            <w:tcBorders>
              <w:bottom w:val="single" w:sz="8" w:color="auto"/>
            </w:tcBorders>
            <w:shd w:val="clear" w:color="auto" w:fill="F7F7F7"/>
          </w:tcPr>
          <w:p>
            <w:pPr>
              <w:spacing w:after="0"/>
              <w:rPr>
                <w:sz w:val="8"/>
                <w:szCs w:val="8"/>
                <w:color w:val="auto"/>
              </w:rPr>
            </w:pPr>
          </w:p>
        </w:tc>
        <w:tc>
          <w:tcPr>
            <w:tcW w:w="1120" w:type="dxa"/>
            <w:vAlign w:val="bottom"/>
            <w:tcBorders>
              <w:bottom w:val="single" w:sz="8" w:color="auto"/>
            </w:tcBorders>
            <w:shd w:val="clear" w:color="auto" w:fill="F7F7F7"/>
          </w:tcPr>
          <w:p>
            <w:pPr>
              <w:spacing w:after="0"/>
              <w:rPr>
                <w:sz w:val="8"/>
                <w:szCs w:val="8"/>
                <w:color w:val="auto"/>
              </w:rPr>
            </w:pPr>
          </w:p>
        </w:tc>
        <w:tc>
          <w:tcPr>
            <w:tcW w:w="1160" w:type="dxa"/>
            <w:vAlign w:val="bottom"/>
            <w:tcBorders>
              <w:bottom w:val="single" w:sz="8" w:color="auto"/>
            </w:tcBorders>
            <w:shd w:val="clear" w:color="auto" w:fill="F7F7F7"/>
          </w:tcPr>
          <w:p>
            <w:pPr>
              <w:spacing w:after="0"/>
              <w:rPr>
                <w:sz w:val="8"/>
                <w:szCs w:val="8"/>
                <w:color w:val="auto"/>
              </w:rPr>
            </w:pPr>
          </w:p>
        </w:tc>
      </w:tr>
    </w:tbl>
    <w:p>
      <w:pPr>
        <w:spacing w:after="0" w:line="280" w:lineRule="exact"/>
        <w:rPr>
          <w:sz w:val="20"/>
          <w:szCs w:val="20"/>
          <w:color w:val="auto"/>
        </w:rPr>
      </w:pPr>
    </w:p>
    <w:p>
      <w:pPr>
        <w:ind w:left="780" w:right="40" w:hanging="126"/>
        <w:spacing w:after="0" w:line="229" w:lineRule="auto"/>
        <w:tabs>
          <w:tab w:leader="none" w:pos="780" w:val="left"/>
        </w:tabs>
        <w:numPr>
          <w:ilvl w:val="0"/>
          <w:numId w:val="46"/>
        </w:numPr>
        <w:rPr>
          <w:rFonts w:ascii="Arial" w:cs="Arial" w:eastAsia="Arial" w:hAnsi="Arial"/>
          <w:sz w:val="15"/>
          <w:szCs w:val="15"/>
          <w:color w:val="auto"/>
          <w:vertAlign w:val="superscript"/>
        </w:rPr>
      </w:pPr>
      <w:r>
        <w:rPr>
          <w:rFonts w:ascii="Arial" w:cs="Arial" w:eastAsia="Arial" w:hAnsi="Arial"/>
          <w:sz w:val="10"/>
          <w:szCs w:val="10"/>
          <w:color w:val="auto"/>
        </w:rPr>
        <w:t>The amounts in this column reflect the grant date fair values of the restricted stock units granted to our non-employee directors during fiscal 2021, calculated in accordance with FASB ASC Topic 718, excluding the effect of estimated forfeitures. The actual value, if any, realized by our non-employee directors for these awards is a function of the value of the shares if and when they vest. For additional information on how we account for equity-based compensation, see Note 13 to our audited consolidated financial statements included in our Annual Report on Form 10-K for fiscal 2021, which was filed with the SEC on February 28, 2022.</w:t>
      </w:r>
    </w:p>
    <w:p>
      <w:pPr>
        <w:spacing w:after="0" w:line="100" w:lineRule="exact"/>
        <w:rPr>
          <w:rFonts w:ascii="Arial" w:cs="Arial" w:eastAsia="Arial" w:hAnsi="Arial"/>
          <w:sz w:val="15"/>
          <w:szCs w:val="15"/>
          <w:color w:val="auto"/>
          <w:vertAlign w:val="superscript"/>
        </w:rPr>
      </w:pPr>
    </w:p>
    <w:p>
      <w:pPr>
        <w:jc w:val="both"/>
        <w:ind w:left="780" w:right="120" w:hanging="126"/>
        <w:spacing w:after="0" w:line="222" w:lineRule="auto"/>
        <w:tabs>
          <w:tab w:leader="none" w:pos="780" w:val="left"/>
        </w:tabs>
        <w:numPr>
          <w:ilvl w:val="0"/>
          <w:numId w:val="46"/>
        </w:numPr>
        <w:rPr>
          <w:rFonts w:ascii="Arial" w:cs="Arial" w:eastAsia="Arial" w:hAnsi="Arial"/>
          <w:sz w:val="15"/>
          <w:szCs w:val="15"/>
          <w:color w:val="auto"/>
          <w:vertAlign w:val="superscript"/>
        </w:rPr>
      </w:pPr>
      <w:r>
        <w:rPr>
          <w:rFonts w:ascii="Arial" w:cs="Arial" w:eastAsia="Arial" w:hAnsi="Arial"/>
          <w:sz w:val="10"/>
          <w:szCs w:val="10"/>
          <w:color w:val="auto"/>
        </w:rPr>
        <w:t>Nancy Gioia, who became our director upon the closing of the Merger, forfeited certain pension benefits from a prior employer in the amount of approximately $3.3 million in connection with her services as our director. As compensation for such forfeiture (i) Churchill agreed to pay $2.0 million in cash to Ms. Gioia (reflected in this table) and (ii) an affiliate of Churchill Sponsor agreed to issue Ms. Gioia indirect membership interests in Churchill Sponsor, which represent 100,000 shares of Class A common stock.</w:t>
      </w:r>
    </w:p>
    <w:p>
      <w:pPr>
        <w:spacing w:after="0" w:line="113" w:lineRule="exact"/>
        <w:rPr>
          <w:rFonts w:ascii="Arial" w:cs="Arial" w:eastAsia="Arial" w:hAnsi="Arial"/>
          <w:sz w:val="15"/>
          <w:szCs w:val="15"/>
          <w:color w:val="auto"/>
          <w:vertAlign w:val="superscript"/>
        </w:rPr>
      </w:pPr>
    </w:p>
    <w:p>
      <w:pPr>
        <w:ind w:left="780" w:right="60" w:hanging="126"/>
        <w:spacing w:after="0" w:line="222" w:lineRule="auto"/>
        <w:tabs>
          <w:tab w:leader="none" w:pos="780" w:val="left"/>
        </w:tabs>
        <w:numPr>
          <w:ilvl w:val="0"/>
          <w:numId w:val="46"/>
        </w:numPr>
        <w:rPr>
          <w:rFonts w:ascii="Arial" w:cs="Arial" w:eastAsia="Arial" w:hAnsi="Arial"/>
          <w:sz w:val="15"/>
          <w:szCs w:val="15"/>
          <w:color w:val="auto"/>
          <w:vertAlign w:val="superscript"/>
        </w:rPr>
      </w:pPr>
      <w:r>
        <w:rPr>
          <w:rFonts w:ascii="Arial" w:cs="Arial" w:eastAsia="Arial" w:hAnsi="Arial"/>
          <w:sz w:val="10"/>
          <w:szCs w:val="10"/>
          <w:color w:val="auto"/>
        </w:rPr>
        <w:t>Messrs. Liveris, Alnowaiser and Posawatz participated in the Series E purchase described in Series E Purchase above. This amount reflects the difference between the price paid by the director for the Series E shares and the later-determined fair market value of the Series E shares as of the purchase date. The Company subsequently repurchased 14,511 shares from Mr. Posawatz to allow him to satisfy certain tax obligations in connection with the purchase of the shares.</w:t>
      </w:r>
    </w:p>
    <w:p>
      <w:pPr>
        <w:spacing w:after="0" w:line="70" w:lineRule="exact"/>
        <w:rPr>
          <w:rFonts w:ascii="Arial" w:cs="Arial" w:eastAsia="Arial" w:hAnsi="Arial"/>
          <w:sz w:val="15"/>
          <w:szCs w:val="15"/>
          <w:color w:val="auto"/>
          <w:vertAlign w:val="superscript"/>
        </w:rPr>
      </w:pPr>
    </w:p>
    <w:p>
      <w:pPr>
        <w:ind w:left="780" w:hanging="126"/>
        <w:spacing w:after="0"/>
        <w:tabs>
          <w:tab w:leader="none" w:pos="780" w:val="left"/>
        </w:tabs>
        <w:numPr>
          <w:ilvl w:val="0"/>
          <w:numId w:val="46"/>
        </w:numPr>
        <w:rPr>
          <w:rFonts w:ascii="Arial" w:cs="Arial" w:eastAsia="Arial" w:hAnsi="Arial"/>
          <w:sz w:val="15"/>
          <w:szCs w:val="15"/>
          <w:color w:val="auto"/>
          <w:vertAlign w:val="superscript"/>
        </w:rPr>
      </w:pPr>
      <w:r>
        <w:rPr>
          <w:rFonts w:ascii="Arial" w:cs="Arial" w:eastAsia="Arial" w:hAnsi="Arial"/>
          <w:sz w:val="10"/>
          <w:szCs w:val="10"/>
          <w:color w:val="auto"/>
        </w:rPr>
        <w:t>Mr. Posawatz received approximately $83,655 in cash from PIF in connection with his service on the Atieva Board in 2021 prior to the Merger.</w:t>
      </w:r>
    </w:p>
    <w:p>
      <w:pPr>
        <w:sectPr>
          <w:pgSz w:w="11900" w:h="16838" w:orient="portrait"/>
          <w:cols w:equalWidth="0" w:num="1">
            <w:col w:w="10040"/>
          </w:cols>
          <w:pgMar w:left="580" w:top="132" w:right="1279" w:bottom="1440" w:gutter="0" w:footer="0" w:header="0"/>
        </w:sectPr>
      </w:pPr>
    </w:p>
    <w:p>
      <w:pPr>
        <w:spacing w:after="0" w:line="392" w:lineRule="exact"/>
        <w:rPr>
          <w:sz w:val="20"/>
          <w:szCs w:val="20"/>
          <w:color w:val="auto"/>
        </w:rPr>
      </w:pPr>
    </w:p>
    <w:p>
      <w:pPr>
        <w:ind w:left="660"/>
        <w:spacing w:after="0"/>
        <w:tabs>
          <w:tab w:leader="none" w:pos="9880" w:val="left"/>
        </w:tabs>
        <w:rPr>
          <w:sz w:val="20"/>
          <w:szCs w:val="20"/>
          <w:color w:val="auto"/>
        </w:rPr>
      </w:pPr>
      <w:r>
        <w:rPr>
          <w:rFonts w:ascii="Arial" w:cs="Arial" w:eastAsia="Arial" w:hAnsi="Arial"/>
          <w:sz w:val="13"/>
          <w:szCs w:val="13"/>
          <w:color w:val="auto"/>
        </w:rPr>
        <w:t>2022 Proxy Statement</w:t>
      </w:r>
      <w:r>
        <w:rPr>
          <w:sz w:val="20"/>
          <w:szCs w:val="20"/>
          <w:color w:val="auto"/>
        </w:rPr>
        <w:tab/>
      </w:r>
      <w:r>
        <w:rPr>
          <w:rFonts w:ascii="Arial" w:cs="Arial" w:eastAsia="Arial" w:hAnsi="Arial"/>
          <w:sz w:val="12"/>
          <w:szCs w:val="12"/>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68319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type w:val="continuous"/>
        </w:sectPr>
      </w:pPr>
    </w:p>
    <w:bookmarkStart w:id="72" w:name="page73"/>
    <w:bookmarkEnd w:id="72"/>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60" w:right="560"/>
        <w:spacing w:after="0" w:line="295" w:lineRule="auto"/>
        <w:rPr>
          <w:sz w:val="20"/>
          <w:szCs w:val="20"/>
          <w:color w:val="auto"/>
        </w:rPr>
      </w:pPr>
      <w:r>
        <w:rPr>
          <w:rFonts w:ascii="Arial" w:cs="Arial" w:eastAsia="Arial" w:hAnsi="Arial"/>
          <w:sz w:val="16"/>
          <w:szCs w:val="16"/>
          <w:color w:val="auto"/>
        </w:rPr>
        <w:t>As of December 31, 2021, the aggregate number of shares subject to outstanding equity awards held by our non-employee directors was:</w:t>
      </w:r>
    </w:p>
    <w:p>
      <w:pPr>
        <w:spacing w:after="0" w:line="234" w:lineRule="exact"/>
        <w:rPr>
          <w:sz w:val="20"/>
          <w:szCs w:val="20"/>
          <w:color w:val="auto"/>
        </w:rPr>
      </w:pPr>
    </w:p>
    <w:tbl>
      <w:tblPr>
        <w:tblLayout w:type="fixed"/>
        <w:tblInd w:w="3080" w:type="dxa"/>
        <w:tblCellMar>
          <w:top w:w="0" w:type="dxa"/>
          <w:left w:w="0" w:type="dxa"/>
          <w:bottom w:w="0" w:type="dxa"/>
          <w:right w:w="0" w:type="dxa"/>
        </w:tblCellMar>
      </w:tblPr>
      <w:tr>
        <w:trPr>
          <w:trHeight w:val="243"/>
        </w:trPr>
        <w:tc>
          <w:tcPr>
            <w:tcW w:w="2420" w:type="dxa"/>
            <w:vAlign w:val="bottom"/>
            <w:shd w:val="clear" w:color="auto" w:fill="000000"/>
          </w:tcPr>
          <w:p>
            <w:pPr>
              <w:ind w:left="160"/>
              <w:spacing w:after="0"/>
              <w:rPr>
                <w:sz w:val="20"/>
                <w:szCs w:val="20"/>
                <w:color w:val="auto"/>
              </w:rPr>
            </w:pPr>
            <w:r>
              <w:rPr>
                <w:rFonts w:ascii="Arial" w:cs="Arial" w:eastAsia="Arial" w:hAnsi="Arial"/>
                <w:sz w:val="13"/>
                <w:szCs w:val="13"/>
                <w:b w:val="1"/>
                <w:bCs w:val="1"/>
                <w:color w:val="FEFEFE"/>
              </w:rPr>
              <w:t>Name</w:t>
            </w:r>
          </w:p>
        </w:tc>
        <w:tc>
          <w:tcPr>
            <w:tcW w:w="2120" w:type="dxa"/>
            <w:vAlign w:val="bottom"/>
            <w:shd w:val="clear" w:color="auto" w:fill="000000"/>
          </w:tcPr>
          <w:p>
            <w:pPr>
              <w:jc w:val="center"/>
              <w:ind w:left="490"/>
              <w:spacing w:after="0"/>
              <w:rPr>
                <w:sz w:val="20"/>
                <w:szCs w:val="20"/>
                <w:color w:val="auto"/>
              </w:rPr>
            </w:pPr>
            <w:r>
              <w:rPr>
                <w:rFonts w:ascii="Arial" w:cs="Arial" w:eastAsia="Arial" w:hAnsi="Arial"/>
                <w:sz w:val="13"/>
                <w:szCs w:val="13"/>
                <w:b w:val="1"/>
                <w:bCs w:val="1"/>
                <w:color w:val="FEFEFE"/>
                <w:w w:val="97"/>
              </w:rPr>
              <w:t>Shares Underlying</w:t>
            </w:r>
          </w:p>
        </w:tc>
      </w:tr>
      <w:tr>
        <w:trPr>
          <w:trHeight w:val="217"/>
        </w:trPr>
        <w:tc>
          <w:tcPr>
            <w:tcW w:w="2420" w:type="dxa"/>
            <w:vAlign w:val="bottom"/>
            <w:shd w:val="clear" w:color="auto" w:fill="000000"/>
          </w:tcPr>
          <w:p>
            <w:pPr>
              <w:spacing w:after="0"/>
              <w:rPr>
                <w:sz w:val="18"/>
                <w:szCs w:val="18"/>
                <w:color w:val="auto"/>
              </w:rPr>
            </w:pPr>
          </w:p>
        </w:tc>
        <w:tc>
          <w:tcPr>
            <w:tcW w:w="2120" w:type="dxa"/>
            <w:vAlign w:val="bottom"/>
            <w:shd w:val="clear" w:color="auto" w:fill="000000"/>
          </w:tcPr>
          <w:p>
            <w:pPr>
              <w:jc w:val="center"/>
              <w:ind w:left="490"/>
              <w:spacing w:after="0"/>
              <w:rPr>
                <w:sz w:val="20"/>
                <w:szCs w:val="20"/>
                <w:color w:val="auto"/>
              </w:rPr>
            </w:pPr>
            <w:r>
              <w:rPr>
                <w:rFonts w:ascii="Arial" w:cs="Arial" w:eastAsia="Arial" w:hAnsi="Arial"/>
                <w:sz w:val="13"/>
                <w:szCs w:val="13"/>
                <w:b w:val="1"/>
                <w:bCs w:val="1"/>
                <w:color w:val="FEFEFE"/>
                <w:w w:val="92"/>
              </w:rPr>
              <w:t>Stock Awards</w:t>
            </w:r>
            <w:r>
              <w:rPr>
                <w:rFonts w:ascii="Arial" w:cs="Arial" w:eastAsia="Arial" w:hAnsi="Arial"/>
                <w:sz w:val="16"/>
                <w:szCs w:val="16"/>
                <w:b w:val="1"/>
                <w:bCs w:val="1"/>
                <w:color w:val="FEFEFE"/>
                <w:w w:val="92"/>
                <w:vertAlign w:val="superscript"/>
              </w:rPr>
              <w:t>(1)</w:t>
            </w:r>
          </w:p>
        </w:tc>
      </w:tr>
      <w:tr>
        <w:trPr>
          <w:trHeight w:val="93"/>
        </w:trPr>
        <w:tc>
          <w:tcPr>
            <w:tcW w:w="2420" w:type="dxa"/>
            <w:vAlign w:val="bottom"/>
            <w:shd w:val="clear" w:color="auto" w:fill="000000"/>
          </w:tcPr>
          <w:p>
            <w:pPr>
              <w:spacing w:after="0"/>
              <w:rPr>
                <w:sz w:val="8"/>
                <w:szCs w:val="8"/>
                <w:color w:val="auto"/>
              </w:rPr>
            </w:pPr>
          </w:p>
        </w:tc>
        <w:tc>
          <w:tcPr>
            <w:tcW w:w="2120" w:type="dxa"/>
            <w:vAlign w:val="bottom"/>
            <w:shd w:val="clear" w:color="auto" w:fill="000000"/>
          </w:tcPr>
          <w:p>
            <w:pPr>
              <w:spacing w:after="0"/>
              <w:rPr>
                <w:sz w:val="8"/>
                <w:szCs w:val="8"/>
                <w:color w:val="auto"/>
              </w:rPr>
            </w:pPr>
          </w:p>
        </w:tc>
      </w:tr>
      <w:tr>
        <w:trPr>
          <w:trHeight w:val="312"/>
        </w:trPr>
        <w:tc>
          <w:tcPr>
            <w:tcW w:w="2420" w:type="dxa"/>
            <w:vAlign w:val="bottom"/>
          </w:tcPr>
          <w:p>
            <w:pPr>
              <w:ind w:left="160"/>
              <w:spacing w:after="0"/>
              <w:rPr>
                <w:sz w:val="20"/>
                <w:szCs w:val="20"/>
                <w:color w:val="auto"/>
              </w:rPr>
            </w:pPr>
            <w:r>
              <w:rPr>
                <w:rFonts w:ascii="Arial" w:cs="Arial" w:eastAsia="Arial" w:hAnsi="Arial"/>
                <w:sz w:val="14"/>
                <w:szCs w:val="14"/>
                <w:color w:val="auto"/>
              </w:rPr>
              <w:t>Andrew Liveris</w:t>
            </w:r>
          </w:p>
        </w:tc>
        <w:tc>
          <w:tcPr>
            <w:tcW w:w="2120" w:type="dxa"/>
            <w:vAlign w:val="bottom"/>
          </w:tcPr>
          <w:p>
            <w:pPr>
              <w:jc w:val="center"/>
              <w:ind w:left="530"/>
              <w:spacing w:after="0"/>
              <w:rPr>
                <w:sz w:val="20"/>
                <w:szCs w:val="20"/>
                <w:color w:val="auto"/>
              </w:rPr>
            </w:pPr>
            <w:r>
              <w:rPr>
                <w:rFonts w:ascii="Arial" w:cs="Arial" w:eastAsia="Arial" w:hAnsi="Arial"/>
                <w:sz w:val="14"/>
                <w:szCs w:val="14"/>
                <w:color w:val="auto"/>
              </w:rPr>
              <w:t>11,206</w:t>
            </w:r>
          </w:p>
        </w:tc>
      </w:tr>
      <w:tr>
        <w:trPr>
          <w:trHeight w:val="93"/>
        </w:trPr>
        <w:tc>
          <w:tcPr>
            <w:tcW w:w="242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r>
      <w:tr>
        <w:trPr>
          <w:trHeight w:val="292"/>
        </w:trPr>
        <w:tc>
          <w:tcPr>
            <w:tcW w:w="2420" w:type="dxa"/>
            <w:vAlign w:val="bottom"/>
            <w:shd w:val="clear" w:color="auto" w:fill="F7F7F7"/>
          </w:tcPr>
          <w:p>
            <w:pPr>
              <w:ind w:left="160"/>
              <w:spacing w:after="0"/>
              <w:rPr>
                <w:sz w:val="20"/>
                <w:szCs w:val="20"/>
                <w:color w:val="auto"/>
              </w:rPr>
            </w:pPr>
            <w:r>
              <w:rPr>
                <w:rFonts w:ascii="Arial" w:cs="Arial" w:eastAsia="Arial" w:hAnsi="Arial"/>
                <w:sz w:val="14"/>
                <w:szCs w:val="14"/>
                <w:color w:val="auto"/>
              </w:rPr>
              <w:t>Turqi Alnowaiser</w:t>
            </w:r>
          </w:p>
        </w:tc>
        <w:tc>
          <w:tcPr>
            <w:tcW w:w="2120" w:type="dxa"/>
            <w:vAlign w:val="bottom"/>
            <w:shd w:val="clear" w:color="auto" w:fill="F7F7F7"/>
          </w:tcPr>
          <w:p>
            <w:pPr>
              <w:jc w:val="center"/>
              <w:ind w:left="530"/>
              <w:spacing w:after="0"/>
              <w:rPr>
                <w:sz w:val="20"/>
                <w:szCs w:val="20"/>
                <w:color w:val="auto"/>
              </w:rPr>
            </w:pPr>
            <w:r>
              <w:rPr>
                <w:rFonts w:ascii="Arial" w:cs="Arial" w:eastAsia="Arial" w:hAnsi="Arial"/>
                <w:sz w:val="14"/>
                <w:szCs w:val="14"/>
                <w:color w:val="auto"/>
              </w:rPr>
              <w:t>11,206</w:t>
            </w:r>
          </w:p>
        </w:tc>
      </w:tr>
      <w:tr>
        <w:trPr>
          <w:trHeight w:val="93"/>
        </w:trPr>
        <w:tc>
          <w:tcPr>
            <w:tcW w:w="2420" w:type="dxa"/>
            <w:vAlign w:val="bottom"/>
            <w:tcBorders>
              <w:bottom w:val="single" w:sz="8" w:color="auto"/>
            </w:tcBorders>
            <w:shd w:val="clear" w:color="auto" w:fill="F7F7F7"/>
          </w:tcPr>
          <w:p>
            <w:pPr>
              <w:spacing w:after="0"/>
              <w:rPr>
                <w:sz w:val="8"/>
                <w:szCs w:val="8"/>
                <w:color w:val="auto"/>
              </w:rPr>
            </w:pPr>
          </w:p>
        </w:tc>
        <w:tc>
          <w:tcPr>
            <w:tcW w:w="2120" w:type="dxa"/>
            <w:vAlign w:val="bottom"/>
            <w:tcBorders>
              <w:bottom w:val="single" w:sz="8" w:color="auto"/>
            </w:tcBorders>
            <w:shd w:val="clear" w:color="auto" w:fill="F7F7F7"/>
          </w:tcPr>
          <w:p>
            <w:pPr>
              <w:spacing w:after="0"/>
              <w:rPr>
                <w:sz w:val="8"/>
                <w:szCs w:val="8"/>
                <w:color w:val="auto"/>
              </w:rPr>
            </w:pPr>
          </w:p>
        </w:tc>
      </w:tr>
      <w:tr>
        <w:trPr>
          <w:trHeight w:val="305"/>
        </w:trPr>
        <w:tc>
          <w:tcPr>
            <w:tcW w:w="2420" w:type="dxa"/>
            <w:vAlign w:val="bottom"/>
          </w:tcPr>
          <w:p>
            <w:pPr>
              <w:ind w:left="160"/>
              <w:spacing w:after="0"/>
              <w:rPr>
                <w:sz w:val="20"/>
                <w:szCs w:val="20"/>
                <w:color w:val="auto"/>
              </w:rPr>
            </w:pPr>
            <w:r>
              <w:rPr>
                <w:rFonts w:ascii="Arial" w:cs="Arial" w:eastAsia="Arial" w:hAnsi="Arial"/>
                <w:sz w:val="14"/>
                <w:szCs w:val="14"/>
                <w:color w:val="auto"/>
              </w:rPr>
              <w:t>Glenn R. August</w:t>
            </w:r>
          </w:p>
        </w:tc>
        <w:tc>
          <w:tcPr>
            <w:tcW w:w="2120" w:type="dxa"/>
            <w:vAlign w:val="bottom"/>
          </w:tcPr>
          <w:p>
            <w:pPr>
              <w:jc w:val="center"/>
              <w:ind w:left="530"/>
              <w:spacing w:after="0"/>
              <w:rPr>
                <w:sz w:val="20"/>
                <w:szCs w:val="20"/>
                <w:color w:val="auto"/>
              </w:rPr>
            </w:pPr>
            <w:r>
              <w:rPr>
                <w:rFonts w:ascii="Arial" w:cs="Arial" w:eastAsia="Arial" w:hAnsi="Arial"/>
                <w:sz w:val="14"/>
                <w:szCs w:val="14"/>
                <w:color w:val="auto"/>
              </w:rPr>
              <w:t>11,206</w:t>
            </w:r>
          </w:p>
        </w:tc>
      </w:tr>
      <w:tr>
        <w:trPr>
          <w:trHeight w:val="93"/>
        </w:trPr>
        <w:tc>
          <w:tcPr>
            <w:tcW w:w="242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r>
      <w:tr>
        <w:trPr>
          <w:trHeight w:val="305"/>
        </w:trPr>
        <w:tc>
          <w:tcPr>
            <w:tcW w:w="2420" w:type="dxa"/>
            <w:vAlign w:val="bottom"/>
            <w:shd w:val="clear" w:color="auto" w:fill="F7F7F7"/>
          </w:tcPr>
          <w:p>
            <w:pPr>
              <w:ind w:left="160"/>
              <w:spacing w:after="0"/>
              <w:rPr>
                <w:sz w:val="20"/>
                <w:szCs w:val="20"/>
                <w:color w:val="auto"/>
              </w:rPr>
            </w:pPr>
            <w:r>
              <w:rPr>
                <w:rFonts w:ascii="Arial" w:cs="Arial" w:eastAsia="Arial" w:hAnsi="Arial"/>
                <w:sz w:val="14"/>
                <w:szCs w:val="14"/>
                <w:color w:val="auto"/>
              </w:rPr>
              <w:t>Nancy Gioia</w:t>
            </w:r>
          </w:p>
        </w:tc>
        <w:tc>
          <w:tcPr>
            <w:tcW w:w="2120" w:type="dxa"/>
            <w:vAlign w:val="bottom"/>
            <w:shd w:val="clear" w:color="auto" w:fill="F7F7F7"/>
          </w:tcPr>
          <w:p>
            <w:pPr>
              <w:jc w:val="center"/>
              <w:ind w:left="530"/>
              <w:spacing w:after="0"/>
              <w:rPr>
                <w:sz w:val="20"/>
                <w:szCs w:val="20"/>
                <w:color w:val="auto"/>
              </w:rPr>
            </w:pPr>
            <w:r>
              <w:rPr>
                <w:rFonts w:ascii="Arial" w:cs="Arial" w:eastAsia="Arial" w:hAnsi="Arial"/>
                <w:sz w:val="14"/>
                <w:szCs w:val="14"/>
                <w:color w:val="auto"/>
              </w:rPr>
              <w:t>11,206</w:t>
            </w:r>
          </w:p>
        </w:tc>
      </w:tr>
      <w:tr>
        <w:trPr>
          <w:trHeight w:val="93"/>
        </w:trPr>
        <w:tc>
          <w:tcPr>
            <w:tcW w:w="2420" w:type="dxa"/>
            <w:vAlign w:val="bottom"/>
            <w:tcBorders>
              <w:bottom w:val="single" w:sz="8" w:color="auto"/>
            </w:tcBorders>
            <w:shd w:val="clear" w:color="auto" w:fill="F7F7F7"/>
          </w:tcPr>
          <w:p>
            <w:pPr>
              <w:spacing w:after="0"/>
              <w:rPr>
                <w:sz w:val="8"/>
                <w:szCs w:val="8"/>
                <w:color w:val="auto"/>
              </w:rPr>
            </w:pPr>
          </w:p>
        </w:tc>
        <w:tc>
          <w:tcPr>
            <w:tcW w:w="2120" w:type="dxa"/>
            <w:vAlign w:val="bottom"/>
            <w:tcBorders>
              <w:bottom w:val="single" w:sz="8" w:color="auto"/>
            </w:tcBorders>
            <w:shd w:val="clear" w:color="auto" w:fill="F7F7F7"/>
          </w:tcPr>
          <w:p>
            <w:pPr>
              <w:spacing w:after="0"/>
              <w:rPr>
                <w:sz w:val="8"/>
                <w:szCs w:val="8"/>
                <w:color w:val="auto"/>
              </w:rPr>
            </w:pPr>
          </w:p>
        </w:tc>
      </w:tr>
      <w:tr>
        <w:trPr>
          <w:trHeight w:val="305"/>
        </w:trPr>
        <w:tc>
          <w:tcPr>
            <w:tcW w:w="2420" w:type="dxa"/>
            <w:vAlign w:val="bottom"/>
          </w:tcPr>
          <w:p>
            <w:pPr>
              <w:ind w:left="160"/>
              <w:spacing w:after="0"/>
              <w:rPr>
                <w:sz w:val="20"/>
                <w:szCs w:val="20"/>
                <w:color w:val="auto"/>
              </w:rPr>
            </w:pPr>
            <w:r>
              <w:rPr>
                <w:rFonts w:ascii="Arial" w:cs="Arial" w:eastAsia="Arial" w:hAnsi="Arial"/>
                <w:sz w:val="14"/>
                <w:szCs w:val="14"/>
                <w:color w:val="auto"/>
              </w:rPr>
              <w:t>Frank Lindenberg</w:t>
            </w:r>
          </w:p>
        </w:tc>
        <w:tc>
          <w:tcPr>
            <w:tcW w:w="2120" w:type="dxa"/>
            <w:vAlign w:val="bottom"/>
          </w:tcPr>
          <w:p>
            <w:pPr>
              <w:jc w:val="center"/>
              <w:ind w:left="530"/>
              <w:spacing w:after="0"/>
              <w:rPr>
                <w:sz w:val="20"/>
                <w:szCs w:val="20"/>
                <w:color w:val="auto"/>
              </w:rPr>
            </w:pPr>
            <w:r>
              <w:rPr>
                <w:rFonts w:ascii="Arial" w:cs="Arial" w:eastAsia="Arial" w:hAnsi="Arial"/>
                <w:sz w:val="14"/>
                <w:szCs w:val="14"/>
                <w:color w:val="auto"/>
              </w:rPr>
              <w:t>11,206</w:t>
            </w:r>
          </w:p>
        </w:tc>
      </w:tr>
      <w:tr>
        <w:trPr>
          <w:trHeight w:val="93"/>
        </w:trPr>
        <w:tc>
          <w:tcPr>
            <w:tcW w:w="242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r>
      <w:tr>
        <w:trPr>
          <w:trHeight w:val="305"/>
        </w:trPr>
        <w:tc>
          <w:tcPr>
            <w:tcW w:w="2420" w:type="dxa"/>
            <w:vAlign w:val="bottom"/>
            <w:shd w:val="clear" w:color="auto" w:fill="F7F7F7"/>
          </w:tcPr>
          <w:p>
            <w:pPr>
              <w:ind w:left="160"/>
              <w:spacing w:after="0"/>
              <w:rPr>
                <w:sz w:val="20"/>
                <w:szCs w:val="20"/>
                <w:color w:val="auto"/>
              </w:rPr>
            </w:pPr>
            <w:r>
              <w:rPr>
                <w:rFonts w:ascii="Arial" w:cs="Arial" w:eastAsia="Arial" w:hAnsi="Arial"/>
                <w:sz w:val="14"/>
                <w:szCs w:val="14"/>
                <w:color w:val="auto"/>
              </w:rPr>
              <w:t>Nichelle Maynard-Elliot</w:t>
            </w:r>
          </w:p>
        </w:tc>
        <w:tc>
          <w:tcPr>
            <w:tcW w:w="2120" w:type="dxa"/>
            <w:vAlign w:val="bottom"/>
            <w:shd w:val="clear" w:color="auto" w:fill="F7F7F7"/>
          </w:tcPr>
          <w:p>
            <w:pPr>
              <w:jc w:val="center"/>
              <w:ind w:left="530"/>
              <w:spacing w:after="0"/>
              <w:rPr>
                <w:sz w:val="20"/>
                <w:szCs w:val="20"/>
                <w:color w:val="auto"/>
              </w:rPr>
            </w:pPr>
            <w:r>
              <w:rPr>
                <w:rFonts w:ascii="Arial" w:cs="Arial" w:eastAsia="Arial" w:hAnsi="Arial"/>
                <w:sz w:val="14"/>
                <w:szCs w:val="14"/>
                <w:color w:val="auto"/>
              </w:rPr>
              <w:t>11,206</w:t>
            </w:r>
          </w:p>
        </w:tc>
      </w:tr>
      <w:tr>
        <w:trPr>
          <w:trHeight w:val="93"/>
        </w:trPr>
        <w:tc>
          <w:tcPr>
            <w:tcW w:w="2420" w:type="dxa"/>
            <w:vAlign w:val="bottom"/>
            <w:tcBorders>
              <w:bottom w:val="single" w:sz="8" w:color="auto"/>
            </w:tcBorders>
            <w:shd w:val="clear" w:color="auto" w:fill="F7F7F7"/>
          </w:tcPr>
          <w:p>
            <w:pPr>
              <w:spacing w:after="0"/>
              <w:rPr>
                <w:sz w:val="8"/>
                <w:szCs w:val="8"/>
                <w:color w:val="auto"/>
              </w:rPr>
            </w:pPr>
          </w:p>
        </w:tc>
        <w:tc>
          <w:tcPr>
            <w:tcW w:w="2120" w:type="dxa"/>
            <w:vAlign w:val="bottom"/>
            <w:tcBorders>
              <w:bottom w:val="single" w:sz="8" w:color="auto"/>
            </w:tcBorders>
            <w:shd w:val="clear" w:color="auto" w:fill="F7F7F7"/>
          </w:tcPr>
          <w:p>
            <w:pPr>
              <w:spacing w:after="0"/>
              <w:rPr>
                <w:sz w:val="8"/>
                <w:szCs w:val="8"/>
                <w:color w:val="auto"/>
              </w:rPr>
            </w:pPr>
          </w:p>
        </w:tc>
      </w:tr>
      <w:tr>
        <w:trPr>
          <w:trHeight w:val="306"/>
        </w:trPr>
        <w:tc>
          <w:tcPr>
            <w:tcW w:w="2420" w:type="dxa"/>
            <w:vAlign w:val="bottom"/>
          </w:tcPr>
          <w:p>
            <w:pPr>
              <w:ind w:left="160"/>
              <w:spacing w:after="0"/>
              <w:rPr>
                <w:sz w:val="20"/>
                <w:szCs w:val="20"/>
                <w:color w:val="auto"/>
              </w:rPr>
            </w:pPr>
            <w:r>
              <w:rPr>
                <w:rFonts w:ascii="Arial" w:cs="Arial" w:eastAsia="Arial" w:hAnsi="Arial"/>
                <w:sz w:val="14"/>
                <w:szCs w:val="14"/>
                <w:color w:val="auto"/>
              </w:rPr>
              <w:t>Tony Posawatz</w:t>
            </w:r>
          </w:p>
        </w:tc>
        <w:tc>
          <w:tcPr>
            <w:tcW w:w="2120" w:type="dxa"/>
            <w:vAlign w:val="bottom"/>
          </w:tcPr>
          <w:p>
            <w:pPr>
              <w:jc w:val="center"/>
              <w:ind w:left="530"/>
              <w:spacing w:after="0"/>
              <w:rPr>
                <w:sz w:val="20"/>
                <w:szCs w:val="20"/>
                <w:color w:val="auto"/>
              </w:rPr>
            </w:pPr>
            <w:r>
              <w:rPr>
                <w:rFonts w:ascii="Arial" w:cs="Arial" w:eastAsia="Arial" w:hAnsi="Arial"/>
                <w:sz w:val="14"/>
                <w:szCs w:val="14"/>
                <w:color w:val="auto"/>
              </w:rPr>
              <w:t>11,206</w:t>
            </w:r>
          </w:p>
        </w:tc>
      </w:tr>
      <w:tr>
        <w:trPr>
          <w:trHeight w:val="93"/>
        </w:trPr>
        <w:tc>
          <w:tcPr>
            <w:tcW w:w="242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r>
      <w:tr>
        <w:trPr>
          <w:trHeight w:val="305"/>
        </w:trPr>
        <w:tc>
          <w:tcPr>
            <w:tcW w:w="2420" w:type="dxa"/>
            <w:vAlign w:val="bottom"/>
            <w:shd w:val="clear" w:color="auto" w:fill="F7F7F7"/>
          </w:tcPr>
          <w:p>
            <w:pPr>
              <w:ind w:left="160"/>
              <w:spacing w:after="0"/>
              <w:rPr>
                <w:sz w:val="20"/>
                <w:szCs w:val="20"/>
                <w:color w:val="auto"/>
              </w:rPr>
            </w:pPr>
            <w:r>
              <w:rPr>
                <w:rFonts w:ascii="Arial" w:cs="Arial" w:eastAsia="Arial" w:hAnsi="Arial"/>
                <w:sz w:val="14"/>
                <w:szCs w:val="14"/>
                <w:color w:val="auto"/>
              </w:rPr>
              <w:t>Janet S. Wong</w:t>
            </w:r>
          </w:p>
        </w:tc>
        <w:tc>
          <w:tcPr>
            <w:tcW w:w="2120" w:type="dxa"/>
            <w:vAlign w:val="bottom"/>
            <w:shd w:val="clear" w:color="auto" w:fill="F7F7F7"/>
          </w:tcPr>
          <w:p>
            <w:pPr>
              <w:jc w:val="center"/>
              <w:ind w:left="530"/>
              <w:spacing w:after="0"/>
              <w:rPr>
                <w:sz w:val="20"/>
                <w:szCs w:val="20"/>
                <w:color w:val="auto"/>
              </w:rPr>
            </w:pPr>
            <w:r>
              <w:rPr>
                <w:rFonts w:ascii="Arial" w:cs="Arial" w:eastAsia="Arial" w:hAnsi="Arial"/>
                <w:sz w:val="14"/>
                <w:szCs w:val="14"/>
                <w:color w:val="auto"/>
              </w:rPr>
              <w:t>11,206</w:t>
            </w:r>
          </w:p>
        </w:tc>
      </w:tr>
      <w:tr>
        <w:trPr>
          <w:trHeight w:val="93"/>
        </w:trPr>
        <w:tc>
          <w:tcPr>
            <w:tcW w:w="2420" w:type="dxa"/>
            <w:vAlign w:val="bottom"/>
            <w:tcBorders>
              <w:bottom w:val="single" w:sz="8" w:color="auto"/>
            </w:tcBorders>
            <w:shd w:val="clear" w:color="auto" w:fill="F7F7F7"/>
          </w:tcPr>
          <w:p>
            <w:pPr>
              <w:spacing w:after="0"/>
              <w:rPr>
                <w:sz w:val="8"/>
                <w:szCs w:val="8"/>
                <w:color w:val="auto"/>
              </w:rPr>
            </w:pPr>
          </w:p>
        </w:tc>
        <w:tc>
          <w:tcPr>
            <w:tcW w:w="2120" w:type="dxa"/>
            <w:vAlign w:val="bottom"/>
            <w:tcBorders>
              <w:bottom w:val="single" w:sz="8" w:color="auto"/>
            </w:tcBorders>
            <w:shd w:val="clear" w:color="auto" w:fill="F7F7F7"/>
          </w:tcPr>
          <w:p>
            <w:pPr>
              <w:spacing w:after="0"/>
              <w:rPr>
                <w:sz w:val="8"/>
                <w:szCs w:val="8"/>
                <w:color w:val="auto"/>
              </w:rPr>
            </w:pPr>
          </w:p>
        </w:tc>
      </w:tr>
    </w:tbl>
    <w:p>
      <w:pPr>
        <w:spacing w:after="0" w:line="238" w:lineRule="exact"/>
        <w:rPr>
          <w:sz w:val="20"/>
          <w:szCs w:val="20"/>
          <w:color w:val="auto"/>
        </w:rPr>
      </w:pPr>
    </w:p>
    <w:p>
      <w:pPr>
        <w:ind w:left="780" w:hanging="126"/>
        <w:spacing w:after="0"/>
        <w:tabs>
          <w:tab w:leader="none" w:pos="780" w:val="left"/>
        </w:tabs>
        <w:numPr>
          <w:ilvl w:val="0"/>
          <w:numId w:val="47"/>
        </w:numPr>
        <w:rPr>
          <w:rFonts w:ascii="Arial" w:cs="Arial" w:eastAsia="Arial" w:hAnsi="Arial"/>
          <w:sz w:val="15"/>
          <w:szCs w:val="15"/>
          <w:color w:val="auto"/>
          <w:vertAlign w:val="superscript"/>
        </w:rPr>
      </w:pPr>
      <w:r>
        <w:rPr>
          <w:rFonts w:ascii="Arial" w:cs="Arial" w:eastAsia="Arial" w:hAnsi="Arial"/>
          <w:sz w:val="10"/>
          <w:szCs w:val="10"/>
          <w:color w:val="auto"/>
        </w:rPr>
        <w:t>Each entry represents the number of shares underlying any outstanding unvested restricted stock unit award.</w:t>
      </w:r>
    </w:p>
    <w:p>
      <w:pPr>
        <w:sectPr>
          <w:pgSz w:w="11900" w:h="16838" w:orient="portrait"/>
          <w:cols w:equalWidth="0" w:num="1">
            <w:col w:w="10040"/>
          </w:cols>
          <w:pgMar w:left="580" w:top="132"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2"/>
          <w:szCs w:val="12"/>
          <w:b w:val="1"/>
          <w:bCs w:val="1"/>
          <w:color w:val="auto"/>
        </w:rPr>
        <w:t>64</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110490</wp:posOffset>
            </wp:positionV>
            <wp:extent cx="68319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type w:val="continuous"/>
        </w:sectPr>
      </w:pPr>
    </w:p>
    <w:bookmarkStart w:id="73" w:name="page74"/>
    <w:bookmarkEnd w:id="73"/>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36"/>
          <w:szCs w:val="36"/>
          <w:b w:val="1"/>
          <w:bCs w:val="1"/>
          <w:color w:val="auto"/>
        </w:rPr>
        <w:t>Equity Compensation Plan Information</w:t>
      </w:r>
    </w:p>
    <w:p>
      <w:pPr>
        <w:spacing w:after="0" w:line="200" w:lineRule="exact"/>
        <w:rPr>
          <w:sz w:val="20"/>
          <w:szCs w:val="20"/>
          <w:color w:val="auto"/>
        </w:rPr>
      </w:pPr>
    </w:p>
    <w:p>
      <w:pPr>
        <w:spacing w:after="0" w:line="2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our equity compensation plan information as of December 31, 2021:</w:t>
      </w:r>
    </w:p>
    <w:p>
      <w:pPr>
        <w:spacing w:after="0" w:line="287" w:lineRule="exact"/>
        <w:rPr>
          <w:sz w:val="20"/>
          <w:szCs w:val="20"/>
          <w:color w:val="auto"/>
        </w:rPr>
      </w:pPr>
    </w:p>
    <w:tbl>
      <w:tblPr>
        <w:tblLayout w:type="fixed"/>
        <w:tblInd w:w="660" w:type="dxa"/>
        <w:tblCellMar>
          <w:top w:w="0" w:type="dxa"/>
          <w:left w:w="0" w:type="dxa"/>
          <w:bottom w:w="0" w:type="dxa"/>
          <w:right w:w="0" w:type="dxa"/>
        </w:tblCellMar>
      </w:tblPr>
      <w:tr>
        <w:trPr>
          <w:trHeight w:val="248"/>
        </w:trPr>
        <w:tc>
          <w:tcPr>
            <w:tcW w:w="2580" w:type="dxa"/>
            <w:vAlign w:val="bottom"/>
            <w:shd w:val="clear" w:color="auto" w:fill="000000"/>
          </w:tcPr>
          <w:p>
            <w:pPr>
              <w:ind w:left="120"/>
              <w:spacing w:after="0"/>
              <w:rPr>
                <w:sz w:val="20"/>
                <w:szCs w:val="20"/>
                <w:color w:val="auto"/>
              </w:rPr>
            </w:pPr>
            <w:r>
              <w:rPr>
                <w:rFonts w:ascii="Arial" w:cs="Arial" w:eastAsia="Arial" w:hAnsi="Arial"/>
                <w:sz w:val="13"/>
                <w:szCs w:val="13"/>
                <w:b w:val="1"/>
                <w:bCs w:val="1"/>
                <w:color w:val="FEFEFE"/>
              </w:rPr>
              <w:t>Plan Category</w:t>
            </w:r>
          </w:p>
        </w:tc>
        <w:tc>
          <w:tcPr>
            <w:tcW w:w="2400" w:type="dxa"/>
            <w:vAlign w:val="bottom"/>
            <w:shd w:val="clear" w:color="auto" w:fill="000000"/>
          </w:tcPr>
          <w:p>
            <w:pPr>
              <w:jc w:val="center"/>
              <w:ind w:left="114"/>
              <w:spacing w:after="0"/>
              <w:rPr>
                <w:sz w:val="20"/>
                <w:szCs w:val="20"/>
                <w:color w:val="auto"/>
              </w:rPr>
            </w:pPr>
            <w:r>
              <w:rPr>
                <w:rFonts w:ascii="Arial" w:cs="Arial" w:eastAsia="Arial" w:hAnsi="Arial"/>
                <w:sz w:val="13"/>
                <w:szCs w:val="13"/>
                <w:b w:val="1"/>
                <w:bCs w:val="1"/>
                <w:color w:val="FEFEFE"/>
                <w:w w:val="97"/>
              </w:rPr>
              <w:t>Number of Securities to Be</w:t>
            </w:r>
          </w:p>
        </w:tc>
        <w:tc>
          <w:tcPr>
            <w:tcW w:w="218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w w:val="96"/>
              </w:rPr>
              <w:t>Weighted-average Exercise Price</w:t>
            </w:r>
          </w:p>
        </w:tc>
        <w:tc>
          <w:tcPr>
            <w:tcW w:w="2220" w:type="dxa"/>
            <w:vAlign w:val="bottom"/>
            <w:shd w:val="clear" w:color="auto" w:fill="000000"/>
          </w:tcPr>
          <w:p>
            <w:pPr>
              <w:jc w:val="center"/>
              <w:ind w:right="14"/>
              <w:spacing w:after="0"/>
              <w:rPr>
                <w:sz w:val="20"/>
                <w:szCs w:val="20"/>
                <w:color w:val="auto"/>
              </w:rPr>
            </w:pPr>
            <w:r>
              <w:rPr>
                <w:rFonts w:ascii="Arial" w:cs="Arial" w:eastAsia="Arial" w:hAnsi="Arial"/>
                <w:sz w:val="13"/>
                <w:szCs w:val="13"/>
                <w:b w:val="1"/>
                <w:bCs w:val="1"/>
                <w:color w:val="FEFEFE"/>
                <w:w w:val="96"/>
              </w:rPr>
              <w:t>Number of Securities Remaining</w:t>
            </w:r>
          </w:p>
        </w:tc>
      </w:tr>
      <w:tr>
        <w:trPr>
          <w:trHeight w:val="135"/>
        </w:trPr>
        <w:tc>
          <w:tcPr>
            <w:tcW w:w="2580" w:type="dxa"/>
            <w:vAlign w:val="bottom"/>
            <w:shd w:val="clear" w:color="auto" w:fill="000000"/>
          </w:tcPr>
          <w:p>
            <w:pPr>
              <w:spacing w:after="0"/>
              <w:rPr>
                <w:sz w:val="11"/>
                <w:szCs w:val="11"/>
                <w:color w:val="auto"/>
              </w:rPr>
            </w:pPr>
          </w:p>
        </w:tc>
        <w:tc>
          <w:tcPr>
            <w:tcW w:w="2400" w:type="dxa"/>
            <w:vAlign w:val="bottom"/>
            <w:shd w:val="clear" w:color="auto" w:fill="000000"/>
          </w:tcPr>
          <w:p>
            <w:pPr>
              <w:jc w:val="center"/>
              <w:ind w:left="114"/>
              <w:spacing w:after="0" w:line="135" w:lineRule="exact"/>
              <w:rPr>
                <w:sz w:val="20"/>
                <w:szCs w:val="20"/>
                <w:color w:val="auto"/>
              </w:rPr>
            </w:pPr>
            <w:r>
              <w:rPr>
                <w:rFonts w:ascii="Arial" w:cs="Arial" w:eastAsia="Arial" w:hAnsi="Arial"/>
                <w:sz w:val="13"/>
                <w:szCs w:val="13"/>
                <w:b w:val="1"/>
                <w:bCs w:val="1"/>
                <w:color w:val="FEFEFE"/>
                <w:w w:val="96"/>
              </w:rPr>
              <w:t>Issued Upon Exercise of</w:t>
            </w:r>
          </w:p>
        </w:tc>
        <w:tc>
          <w:tcPr>
            <w:tcW w:w="2180" w:type="dxa"/>
            <w:vAlign w:val="bottom"/>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6"/>
              </w:rPr>
              <w:t>of Outstanding Options,</w:t>
            </w:r>
          </w:p>
        </w:tc>
        <w:tc>
          <w:tcPr>
            <w:tcW w:w="2220" w:type="dxa"/>
            <w:vAlign w:val="bottom"/>
            <w:shd w:val="clear" w:color="auto" w:fill="000000"/>
          </w:tcPr>
          <w:p>
            <w:pPr>
              <w:jc w:val="center"/>
              <w:ind w:right="34"/>
              <w:spacing w:after="0" w:line="135" w:lineRule="exact"/>
              <w:rPr>
                <w:sz w:val="20"/>
                <w:szCs w:val="20"/>
                <w:color w:val="auto"/>
              </w:rPr>
            </w:pPr>
            <w:r>
              <w:rPr>
                <w:rFonts w:ascii="Arial" w:cs="Arial" w:eastAsia="Arial" w:hAnsi="Arial"/>
                <w:sz w:val="13"/>
                <w:szCs w:val="13"/>
                <w:b w:val="1"/>
                <w:bCs w:val="1"/>
                <w:color w:val="FEFEFE"/>
                <w:w w:val="97"/>
              </w:rPr>
              <w:t>Available for Future Issuance</w:t>
            </w:r>
          </w:p>
        </w:tc>
      </w:tr>
      <w:tr>
        <w:trPr>
          <w:trHeight w:val="135"/>
        </w:trPr>
        <w:tc>
          <w:tcPr>
            <w:tcW w:w="2580" w:type="dxa"/>
            <w:vAlign w:val="bottom"/>
            <w:shd w:val="clear" w:color="auto" w:fill="000000"/>
          </w:tcPr>
          <w:p>
            <w:pPr>
              <w:spacing w:after="0"/>
              <w:rPr>
                <w:sz w:val="11"/>
                <w:szCs w:val="11"/>
                <w:color w:val="auto"/>
              </w:rPr>
            </w:pPr>
          </w:p>
        </w:tc>
        <w:tc>
          <w:tcPr>
            <w:tcW w:w="2400" w:type="dxa"/>
            <w:vAlign w:val="bottom"/>
            <w:shd w:val="clear" w:color="auto" w:fill="000000"/>
          </w:tcPr>
          <w:p>
            <w:pPr>
              <w:jc w:val="center"/>
              <w:ind w:left="114"/>
              <w:spacing w:after="0" w:line="135" w:lineRule="exact"/>
              <w:rPr>
                <w:sz w:val="20"/>
                <w:szCs w:val="20"/>
                <w:color w:val="auto"/>
              </w:rPr>
            </w:pPr>
            <w:r>
              <w:rPr>
                <w:rFonts w:ascii="Arial" w:cs="Arial" w:eastAsia="Arial" w:hAnsi="Arial"/>
                <w:sz w:val="13"/>
                <w:szCs w:val="13"/>
                <w:b w:val="1"/>
                <w:bCs w:val="1"/>
                <w:color w:val="FEFEFE"/>
                <w:w w:val="96"/>
              </w:rPr>
              <w:t>Outstanding Options, Warrants,</w:t>
            </w:r>
          </w:p>
        </w:tc>
        <w:tc>
          <w:tcPr>
            <w:tcW w:w="2180" w:type="dxa"/>
            <w:vAlign w:val="bottom"/>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7"/>
              </w:rPr>
              <w:t>Warrants and Rights</w:t>
            </w:r>
          </w:p>
        </w:tc>
        <w:tc>
          <w:tcPr>
            <w:tcW w:w="2220" w:type="dxa"/>
            <w:vAlign w:val="bottom"/>
            <w:shd w:val="clear" w:color="auto" w:fill="000000"/>
          </w:tcPr>
          <w:p>
            <w:pPr>
              <w:jc w:val="center"/>
              <w:ind w:right="34"/>
              <w:spacing w:after="0" w:line="135" w:lineRule="exact"/>
              <w:rPr>
                <w:sz w:val="20"/>
                <w:szCs w:val="20"/>
                <w:color w:val="auto"/>
              </w:rPr>
            </w:pPr>
            <w:r>
              <w:rPr>
                <w:rFonts w:ascii="Arial" w:cs="Arial" w:eastAsia="Arial" w:hAnsi="Arial"/>
                <w:sz w:val="13"/>
                <w:szCs w:val="13"/>
                <w:b w:val="1"/>
                <w:bCs w:val="1"/>
                <w:color w:val="FEFEFE"/>
                <w:w w:val="96"/>
              </w:rPr>
              <w:t>Under Equity Compensation</w:t>
            </w:r>
          </w:p>
        </w:tc>
      </w:tr>
      <w:tr>
        <w:trPr>
          <w:trHeight w:val="135"/>
        </w:trPr>
        <w:tc>
          <w:tcPr>
            <w:tcW w:w="2580" w:type="dxa"/>
            <w:vAlign w:val="bottom"/>
            <w:shd w:val="clear" w:color="auto" w:fill="000000"/>
          </w:tcPr>
          <w:p>
            <w:pPr>
              <w:spacing w:after="0"/>
              <w:rPr>
                <w:sz w:val="11"/>
                <w:szCs w:val="11"/>
                <w:color w:val="auto"/>
              </w:rPr>
            </w:pPr>
          </w:p>
        </w:tc>
        <w:tc>
          <w:tcPr>
            <w:tcW w:w="2400" w:type="dxa"/>
            <w:vAlign w:val="bottom"/>
            <w:shd w:val="clear" w:color="auto" w:fill="000000"/>
          </w:tcPr>
          <w:p>
            <w:pPr>
              <w:jc w:val="center"/>
              <w:ind w:left="94"/>
              <w:spacing w:after="0" w:line="135" w:lineRule="exact"/>
              <w:rPr>
                <w:sz w:val="20"/>
                <w:szCs w:val="20"/>
                <w:color w:val="auto"/>
              </w:rPr>
            </w:pPr>
            <w:r>
              <w:rPr>
                <w:rFonts w:ascii="Arial" w:cs="Arial" w:eastAsia="Arial" w:hAnsi="Arial"/>
                <w:sz w:val="13"/>
                <w:szCs w:val="13"/>
                <w:b w:val="1"/>
                <w:bCs w:val="1"/>
                <w:color w:val="FEFEFE"/>
                <w:w w:val="97"/>
              </w:rPr>
              <w:t>Rights and Restricted Stock Units</w:t>
            </w:r>
          </w:p>
        </w:tc>
        <w:tc>
          <w:tcPr>
            <w:tcW w:w="2180" w:type="dxa"/>
            <w:vAlign w:val="bottom"/>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6"/>
              </w:rPr>
              <w:t>(b)</w:t>
            </w:r>
          </w:p>
        </w:tc>
        <w:tc>
          <w:tcPr>
            <w:tcW w:w="2220" w:type="dxa"/>
            <w:vAlign w:val="bottom"/>
            <w:shd w:val="clear" w:color="auto" w:fill="000000"/>
          </w:tcPr>
          <w:p>
            <w:pPr>
              <w:jc w:val="center"/>
              <w:ind w:right="14"/>
              <w:spacing w:after="0" w:line="135" w:lineRule="exact"/>
              <w:rPr>
                <w:sz w:val="20"/>
                <w:szCs w:val="20"/>
                <w:color w:val="auto"/>
              </w:rPr>
            </w:pPr>
            <w:r>
              <w:rPr>
                <w:rFonts w:ascii="Arial" w:cs="Arial" w:eastAsia="Arial" w:hAnsi="Arial"/>
                <w:sz w:val="13"/>
                <w:szCs w:val="13"/>
                <w:b w:val="1"/>
                <w:bCs w:val="1"/>
                <w:color w:val="FEFEFE"/>
                <w:w w:val="96"/>
              </w:rPr>
              <w:t>Plans (excluding securities</w:t>
            </w:r>
          </w:p>
        </w:tc>
      </w:tr>
      <w:tr>
        <w:trPr>
          <w:trHeight w:val="135"/>
        </w:trPr>
        <w:tc>
          <w:tcPr>
            <w:tcW w:w="2580" w:type="dxa"/>
            <w:vAlign w:val="bottom"/>
            <w:shd w:val="clear" w:color="auto" w:fill="000000"/>
          </w:tcPr>
          <w:p>
            <w:pPr>
              <w:spacing w:after="0"/>
              <w:rPr>
                <w:sz w:val="11"/>
                <w:szCs w:val="11"/>
                <w:color w:val="auto"/>
              </w:rPr>
            </w:pPr>
          </w:p>
        </w:tc>
        <w:tc>
          <w:tcPr>
            <w:tcW w:w="2400" w:type="dxa"/>
            <w:vAlign w:val="bottom"/>
            <w:shd w:val="clear" w:color="auto" w:fill="000000"/>
          </w:tcPr>
          <w:p>
            <w:pPr>
              <w:jc w:val="center"/>
              <w:ind w:left="94"/>
              <w:spacing w:after="0" w:line="135" w:lineRule="exact"/>
              <w:rPr>
                <w:sz w:val="20"/>
                <w:szCs w:val="20"/>
                <w:color w:val="auto"/>
              </w:rPr>
            </w:pPr>
            <w:r>
              <w:rPr>
                <w:rFonts w:ascii="Arial" w:cs="Arial" w:eastAsia="Arial" w:hAnsi="Arial"/>
                <w:sz w:val="13"/>
                <w:szCs w:val="13"/>
                <w:b w:val="1"/>
                <w:bCs w:val="1"/>
                <w:color w:val="FEFEFE"/>
              </w:rPr>
              <w:t>(a)</w:t>
            </w:r>
          </w:p>
        </w:tc>
        <w:tc>
          <w:tcPr>
            <w:tcW w:w="2180" w:type="dxa"/>
            <w:vAlign w:val="bottom"/>
            <w:shd w:val="clear" w:color="auto" w:fill="000000"/>
          </w:tcPr>
          <w:p>
            <w:pPr>
              <w:spacing w:after="0"/>
              <w:rPr>
                <w:sz w:val="11"/>
                <w:szCs w:val="11"/>
                <w:color w:val="auto"/>
              </w:rPr>
            </w:pPr>
          </w:p>
        </w:tc>
        <w:tc>
          <w:tcPr>
            <w:tcW w:w="2220" w:type="dxa"/>
            <w:vAlign w:val="bottom"/>
            <w:shd w:val="clear" w:color="auto" w:fill="000000"/>
          </w:tcPr>
          <w:p>
            <w:pPr>
              <w:jc w:val="center"/>
              <w:ind w:right="14"/>
              <w:spacing w:after="0" w:line="135" w:lineRule="exact"/>
              <w:rPr>
                <w:sz w:val="20"/>
                <w:szCs w:val="20"/>
                <w:color w:val="auto"/>
              </w:rPr>
            </w:pPr>
            <w:r>
              <w:rPr>
                <w:rFonts w:ascii="Arial" w:cs="Arial" w:eastAsia="Arial" w:hAnsi="Arial"/>
                <w:sz w:val="13"/>
                <w:szCs w:val="13"/>
                <w:b w:val="1"/>
                <w:bCs w:val="1"/>
                <w:color w:val="FEFEFE"/>
                <w:w w:val="96"/>
              </w:rPr>
              <w:t>reflected in column (a))</w:t>
            </w:r>
          </w:p>
        </w:tc>
      </w:tr>
      <w:tr>
        <w:trPr>
          <w:trHeight w:val="168"/>
        </w:trPr>
        <w:tc>
          <w:tcPr>
            <w:tcW w:w="2580" w:type="dxa"/>
            <w:vAlign w:val="bottom"/>
            <w:shd w:val="clear" w:color="auto" w:fill="000000"/>
          </w:tcPr>
          <w:p>
            <w:pPr>
              <w:spacing w:after="0"/>
              <w:rPr>
                <w:sz w:val="14"/>
                <w:szCs w:val="14"/>
                <w:color w:val="auto"/>
              </w:rPr>
            </w:pPr>
          </w:p>
        </w:tc>
        <w:tc>
          <w:tcPr>
            <w:tcW w:w="2400" w:type="dxa"/>
            <w:vAlign w:val="bottom"/>
            <w:shd w:val="clear" w:color="auto" w:fill="000000"/>
          </w:tcPr>
          <w:p>
            <w:pPr>
              <w:spacing w:after="0"/>
              <w:rPr>
                <w:sz w:val="14"/>
                <w:szCs w:val="14"/>
                <w:color w:val="auto"/>
              </w:rPr>
            </w:pPr>
          </w:p>
        </w:tc>
        <w:tc>
          <w:tcPr>
            <w:tcW w:w="2180" w:type="dxa"/>
            <w:vAlign w:val="bottom"/>
            <w:shd w:val="clear" w:color="auto" w:fill="000000"/>
          </w:tcPr>
          <w:p>
            <w:pPr>
              <w:spacing w:after="0"/>
              <w:rPr>
                <w:sz w:val="14"/>
                <w:szCs w:val="14"/>
                <w:color w:val="auto"/>
              </w:rPr>
            </w:pPr>
          </w:p>
        </w:tc>
        <w:tc>
          <w:tcPr>
            <w:tcW w:w="2220" w:type="dxa"/>
            <w:vAlign w:val="bottom"/>
            <w:shd w:val="clear" w:color="auto" w:fill="000000"/>
          </w:tcPr>
          <w:p>
            <w:pPr>
              <w:jc w:val="center"/>
              <w:ind w:right="34"/>
              <w:spacing w:after="0"/>
              <w:rPr>
                <w:sz w:val="20"/>
                <w:szCs w:val="20"/>
                <w:color w:val="auto"/>
              </w:rPr>
            </w:pPr>
            <w:r>
              <w:rPr>
                <w:rFonts w:ascii="Arial" w:cs="Arial" w:eastAsia="Arial" w:hAnsi="Arial"/>
                <w:sz w:val="13"/>
                <w:szCs w:val="13"/>
                <w:b w:val="1"/>
                <w:bCs w:val="1"/>
                <w:color w:val="FEFEFE"/>
              </w:rPr>
              <w:t>(c)</w:t>
            </w:r>
          </w:p>
        </w:tc>
      </w:tr>
      <w:tr>
        <w:trPr>
          <w:trHeight w:val="124"/>
        </w:trPr>
        <w:tc>
          <w:tcPr>
            <w:tcW w:w="2580" w:type="dxa"/>
            <w:vAlign w:val="bottom"/>
            <w:shd w:val="clear" w:color="auto" w:fill="000000"/>
          </w:tcPr>
          <w:p>
            <w:pPr>
              <w:spacing w:after="0"/>
              <w:rPr>
                <w:sz w:val="10"/>
                <w:szCs w:val="10"/>
                <w:color w:val="auto"/>
              </w:rPr>
            </w:pPr>
          </w:p>
        </w:tc>
        <w:tc>
          <w:tcPr>
            <w:tcW w:w="2400" w:type="dxa"/>
            <w:vAlign w:val="bottom"/>
            <w:shd w:val="clear" w:color="auto" w:fill="000000"/>
          </w:tcPr>
          <w:p>
            <w:pPr>
              <w:spacing w:after="0"/>
              <w:rPr>
                <w:sz w:val="10"/>
                <w:szCs w:val="10"/>
                <w:color w:val="auto"/>
              </w:rPr>
            </w:pPr>
          </w:p>
        </w:tc>
        <w:tc>
          <w:tcPr>
            <w:tcW w:w="2180" w:type="dxa"/>
            <w:vAlign w:val="bottom"/>
            <w:shd w:val="clear" w:color="auto" w:fill="000000"/>
          </w:tcPr>
          <w:p>
            <w:pPr>
              <w:spacing w:after="0"/>
              <w:rPr>
                <w:sz w:val="10"/>
                <w:szCs w:val="10"/>
                <w:color w:val="auto"/>
              </w:rPr>
            </w:pPr>
          </w:p>
        </w:tc>
        <w:tc>
          <w:tcPr>
            <w:tcW w:w="2220" w:type="dxa"/>
            <w:vAlign w:val="bottom"/>
            <w:shd w:val="clear" w:color="auto" w:fill="000000"/>
          </w:tcPr>
          <w:p>
            <w:pPr>
              <w:spacing w:after="0"/>
              <w:rPr>
                <w:sz w:val="10"/>
                <w:szCs w:val="10"/>
                <w:color w:val="auto"/>
              </w:rPr>
            </w:pPr>
          </w:p>
        </w:tc>
      </w:tr>
      <w:tr>
        <w:trPr>
          <w:trHeight w:val="302"/>
        </w:trPr>
        <w:tc>
          <w:tcPr>
            <w:tcW w:w="2580" w:type="dxa"/>
            <w:vAlign w:val="bottom"/>
          </w:tcPr>
          <w:p>
            <w:pPr>
              <w:ind w:left="120"/>
              <w:spacing w:after="0"/>
              <w:rPr>
                <w:sz w:val="20"/>
                <w:szCs w:val="20"/>
                <w:color w:val="auto"/>
              </w:rPr>
            </w:pPr>
            <w:r>
              <w:rPr>
                <w:rFonts w:ascii="Arial" w:cs="Arial" w:eastAsia="Arial" w:hAnsi="Arial"/>
                <w:sz w:val="14"/>
                <w:szCs w:val="14"/>
                <w:color w:val="auto"/>
              </w:rPr>
              <w:t>Equity Compensation Plans</w:t>
            </w:r>
          </w:p>
        </w:tc>
        <w:tc>
          <w:tcPr>
            <w:tcW w:w="24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72"/>
        </w:trPr>
        <w:tc>
          <w:tcPr>
            <w:tcW w:w="2580" w:type="dxa"/>
            <w:vAlign w:val="bottom"/>
          </w:tcPr>
          <w:p>
            <w:pPr>
              <w:ind w:left="120"/>
              <w:spacing w:after="0"/>
              <w:rPr>
                <w:sz w:val="20"/>
                <w:szCs w:val="20"/>
                <w:color w:val="auto"/>
              </w:rPr>
            </w:pPr>
            <w:r>
              <w:rPr>
                <w:rFonts w:ascii="Arial" w:cs="Arial" w:eastAsia="Arial" w:hAnsi="Arial"/>
                <w:sz w:val="14"/>
                <w:szCs w:val="14"/>
                <w:color w:val="auto"/>
              </w:rPr>
              <w:t>Approved by Security Holders</w:t>
            </w:r>
          </w:p>
        </w:tc>
        <w:tc>
          <w:tcPr>
            <w:tcW w:w="2400" w:type="dxa"/>
            <w:vAlign w:val="bottom"/>
          </w:tcPr>
          <w:p>
            <w:pPr>
              <w:jc w:val="right"/>
              <w:ind w:right="634"/>
              <w:spacing w:after="0"/>
              <w:rPr>
                <w:sz w:val="20"/>
                <w:szCs w:val="20"/>
                <w:color w:val="auto"/>
              </w:rPr>
            </w:pPr>
            <w:r>
              <w:rPr>
                <w:rFonts w:ascii="Arial" w:cs="Arial" w:eastAsia="Arial" w:hAnsi="Arial"/>
                <w:sz w:val="14"/>
                <w:szCs w:val="14"/>
                <w:color w:val="auto"/>
              </w:rPr>
              <w:t>112,363,404</w:t>
            </w:r>
          </w:p>
        </w:tc>
        <w:tc>
          <w:tcPr>
            <w:tcW w:w="2180" w:type="dxa"/>
            <w:vAlign w:val="bottom"/>
          </w:tcPr>
          <w:p>
            <w:pPr>
              <w:jc w:val="right"/>
              <w:ind w:right="893"/>
              <w:spacing w:after="0"/>
              <w:rPr>
                <w:sz w:val="20"/>
                <w:szCs w:val="20"/>
                <w:color w:val="auto"/>
              </w:rPr>
            </w:pPr>
            <w:r>
              <w:rPr>
                <w:rFonts w:ascii="Arial" w:cs="Arial" w:eastAsia="Arial" w:hAnsi="Arial"/>
                <w:sz w:val="14"/>
                <w:szCs w:val="14"/>
                <w:color w:val="auto"/>
              </w:rPr>
              <w:t>0.61</w:t>
            </w:r>
          </w:p>
        </w:tc>
        <w:tc>
          <w:tcPr>
            <w:tcW w:w="2220" w:type="dxa"/>
            <w:vAlign w:val="bottom"/>
          </w:tcPr>
          <w:p>
            <w:pPr>
              <w:jc w:val="right"/>
              <w:ind w:right="714"/>
              <w:spacing w:after="0"/>
              <w:rPr>
                <w:sz w:val="20"/>
                <w:szCs w:val="20"/>
                <w:color w:val="auto"/>
              </w:rPr>
            </w:pPr>
            <w:r>
              <w:rPr>
                <w:rFonts w:ascii="Arial" w:cs="Arial" w:eastAsia="Arial" w:hAnsi="Arial"/>
                <w:sz w:val="14"/>
                <w:szCs w:val="14"/>
                <w:color w:val="auto"/>
              </w:rPr>
              <w:t>17,268,388</w:t>
            </w:r>
          </w:p>
        </w:tc>
      </w:tr>
      <w:tr>
        <w:trPr>
          <w:trHeight w:val="107"/>
        </w:trPr>
        <w:tc>
          <w:tcPr>
            <w:tcW w:w="2580" w:type="dxa"/>
            <w:vAlign w:val="bottom"/>
            <w:tcBorders>
              <w:bottom w:val="single" w:sz="8" w:color="auto"/>
            </w:tcBorders>
          </w:tcPr>
          <w:p>
            <w:pPr>
              <w:spacing w:after="0"/>
              <w:rPr>
                <w:sz w:val="9"/>
                <w:szCs w:val="9"/>
                <w:color w:val="auto"/>
              </w:rPr>
            </w:pPr>
          </w:p>
        </w:tc>
        <w:tc>
          <w:tcPr>
            <w:tcW w:w="240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r>
      <w:tr>
        <w:trPr>
          <w:trHeight w:val="282"/>
        </w:trPr>
        <w:tc>
          <w:tcPr>
            <w:tcW w:w="2580" w:type="dxa"/>
            <w:vAlign w:val="bottom"/>
            <w:shd w:val="clear" w:color="auto" w:fill="F7F7F7"/>
          </w:tcPr>
          <w:p>
            <w:pPr>
              <w:ind w:left="120"/>
              <w:spacing w:after="0"/>
              <w:rPr>
                <w:sz w:val="20"/>
                <w:szCs w:val="20"/>
                <w:color w:val="auto"/>
              </w:rPr>
            </w:pPr>
            <w:r>
              <w:rPr>
                <w:rFonts w:ascii="Arial" w:cs="Arial" w:eastAsia="Arial" w:hAnsi="Arial"/>
                <w:sz w:val="14"/>
                <w:szCs w:val="14"/>
                <w:color w:val="auto"/>
              </w:rPr>
              <w:t>Equity Compensation Plans</w:t>
            </w:r>
          </w:p>
        </w:tc>
        <w:tc>
          <w:tcPr>
            <w:tcW w:w="2400" w:type="dxa"/>
            <w:vAlign w:val="bottom"/>
            <w:shd w:val="clear" w:color="auto" w:fill="F7F7F7"/>
          </w:tcPr>
          <w:p>
            <w:pPr>
              <w:spacing w:after="0"/>
              <w:rPr>
                <w:sz w:val="24"/>
                <w:szCs w:val="24"/>
                <w:color w:val="auto"/>
              </w:rPr>
            </w:pPr>
          </w:p>
        </w:tc>
        <w:tc>
          <w:tcPr>
            <w:tcW w:w="2180" w:type="dxa"/>
            <w:vAlign w:val="bottom"/>
            <w:shd w:val="clear" w:color="auto" w:fill="F7F7F7"/>
          </w:tcPr>
          <w:p>
            <w:pPr>
              <w:spacing w:after="0"/>
              <w:rPr>
                <w:sz w:val="24"/>
                <w:szCs w:val="24"/>
                <w:color w:val="auto"/>
              </w:rPr>
            </w:pPr>
          </w:p>
        </w:tc>
        <w:tc>
          <w:tcPr>
            <w:tcW w:w="2220" w:type="dxa"/>
            <w:vAlign w:val="bottom"/>
            <w:shd w:val="clear" w:color="auto" w:fill="F7F7F7"/>
          </w:tcPr>
          <w:p>
            <w:pPr>
              <w:spacing w:after="0"/>
              <w:rPr>
                <w:sz w:val="24"/>
                <w:szCs w:val="24"/>
                <w:color w:val="auto"/>
              </w:rPr>
            </w:pPr>
          </w:p>
        </w:tc>
      </w:tr>
      <w:tr>
        <w:trPr>
          <w:trHeight w:val="172"/>
        </w:trPr>
        <w:tc>
          <w:tcPr>
            <w:tcW w:w="2580" w:type="dxa"/>
            <w:vAlign w:val="bottom"/>
            <w:shd w:val="clear" w:color="auto" w:fill="F7F7F7"/>
          </w:tcPr>
          <w:p>
            <w:pPr>
              <w:ind w:left="120"/>
              <w:spacing w:after="0"/>
              <w:rPr>
                <w:sz w:val="20"/>
                <w:szCs w:val="20"/>
                <w:color w:val="auto"/>
              </w:rPr>
            </w:pPr>
            <w:r>
              <w:rPr>
                <w:rFonts w:ascii="Arial" w:cs="Arial" w:eastAsia="Arial" w:hAnsi="Arial"/>
                <w:sz w:val="14"/>
                <w:szCs w:val="14"/>
                <w:color w:val="auto"/>
              </w:rPr>
              <w:t>Not Approved by Security Holders</w:t>
            </w:r>
          </w:p>
        </w:tc>
        <w:tc>
          <w:tcPr>
            <w:tcW w:w="2400" w:type="dxa"/>
            <w:vAlign w:val="bottom"/>
            <w:shd w:val="clear" w:color="auto" w:fill="F7F7F7"/>
          </w:tcPr>
          <w:p>
            <w:pPr>
              <w:jc w:val="right"/>
              <w:ind w:right="634"/>
              <w:spacing w:after="0"/>
              <w:rPr>
                <w:sz w:val="20"/>
                <w:szCs w:val="20"/>
                <w:color w:val="auto"/>
              </w:rPr>
            </w:pPr>
            <w:r>
              <w:rPr>
                <w:rFonts w:ascii="Arial" w:cs="Arial" w:eastAsia="Arial" w:hAnsi="Arial"/>
                <w:sz w:val="14"/>
                <w:szCs w:val="14"/>
                <w:color w:val="auto"/>
              </w:rPr>
              <w:t>—</w:t>
            </w:r>
          </w:p>
        </w:tc>
        <w:tc>
          <w:tcPr>
            <w:tcW w:w="2180" w:type="dxa"/>
            <w:vAlign w:val="bottom"/>
            <w:shd w:val="clear" w:color="auto" w:fill="F7F7F7"/>
          </w:tcPr>
          <w:p>
            <w:pPr>
              <w:jc w:val="right"/>
              <w:ind w:right="893"/>
              <w:spacing w:after="0"/>
              <w:rPr>
                <w:sz w:val="20"/>
                <w:szCs w:val="20"/>
                <w:color w:val="auto"/>
              </w:rPr>
            </w:pPr>
            <w:r>
              <w:rPr>
                <w:rFonts w:ascii="Arial" w:cs="Arial" w:eastAsia="Arial" w:hAnsi="Arial"/>
                <w:sz w:val="14"/>
                <w:szCs w:val="14"/>
                <w:color w:val="auto"/>
              </w:rPr>
              <w:t>—</w:t>
            </w:r>
          </w:p>
        </w:tc>
        <w:tc>
          <w:tcPr>
            <w:tcW w:w="2220" w:type="dxa"/>
            <w:vAlign w:val="bottom"/>
            <w:shd w:val="clear" w:color="auto" w:fill="F7F7F7"/>
          </w:tcPr>
          <w:p>
            <w:pPr>
              <w:jc w:val="right"/>
              <w:ind w:right="714"/>
              <w:spacing w:after="0"/>
              <w:rPr>
                <w:sz w:val="20"/>
                <w:szCs w:val="20"/>
                <w:color w:val="auto"/>
              </w:rPr>
            </w:pPr>
            <w:r>
              <w:rPr>
                <w:rFonts w:ascii="Arial" w:cs="Arial" w:eastAsia="Arial" w:hAnsi="Arial"/>
                <w:sz w:val="14"/>
                <w:szCs w:val="14"/>
                <w:color w:val="auto"/>
              </w:rPr>
              <w:t>—</w:t>
            </w:r>
          </w:p>
        </w:tc>
      </w:tr>
      <w:tr>
        <w:trPr>
          <w:trHeight w:val="107"/>
        </w:trPr>
        <w:tc>
          <w:tcPr>
            <w:tcW w:w="2580" w:type="dxa"/>
            <w:vAlign w:val="bottom"/>
            <w:tcBorders>
              <w:bottom w:val="single" w:sz="8" w:color="auto"/>
            </w:tcBorders>
            <w:shd w:val="clear" w:color="auto" w:fill="F7F7F7"/>
          </w:tcPr>
          <w:p>
            <w:pPr>
              <w:spacing w:after="0"/>
              <w:rPr>
                <w:sz w:val="9"/>
                <w:szCs w:val="9"/>
                <w:color w:val="auto"/>
              </w:rPr>
            </w:pPr>
          </w:p>
        </w:tc>
        <w:tc>
          <w:tcPr>
            <w:tcW w:w="2400" w:type="dxa"/>
            <w:vAlign w:val="bottom"/>
            <w:tcBorders>
              <w:bottom w:val="single" w:sz="8" w:color="auto"/>
            </w:tcBorders>
            <w:shd w:val="clear" w:color="auto" w:fill="F7F7F7"/>
          </w:tcPr>
          <w:p>
            <w:pPr>
              <w:spacing w:after="0"/>
              <w:rPr>
                <w:sz w:val="9"/>
                <w:szCs w:val="9"/>
                <w:color w:val="auto"/>
              </w:rPr>
            </w:pPr>
          </w:p>
        </w:tc>
        <w:tc>
          <w:tcPr>
            <w:tcW w:w="2180" w:type="dxa"/>
            <w:vAlign w:val="bottom"/>
            <w:tcBorders>
              <w:bottom w:val="single" w:sz="8" w:color="auto"/>
            </w:tcBorders>
            <w:shd w:val="clear" w:color="auto" w:fill="F7F7F7"/>
          </w:tcPr>
          <w:p>
            <w:pPr>
              <w:spacing w:after="0"/>
              <w:rPr>
                <w:sz w:val="9"/>
                <w:szCs w:val="9"/>
                <w:color w:val="auto"/>
              </w:rPr>
            </w:pPr>
          </w:p>
        </w:tc>
        <w:tc>
          <w:tcPr>
            <w:tcW w:w="2220" w:type="dxa"/>
            <w:vAlign w:val="bottom"/>
            <w:tcBorders>
              <w:bottom w:val="single" w:sz="8" w:color="auto"/>
            </w:tcBorders>
            <w:shd w:val="clear" w:color="auto" w:fill="F7F7F7"/>
          </w:tcPr>
          <w:p>
            <w:pPr>
              <w:spacing w:after="0"/>
              <w:rPr>
                <w:sz w:val="9"/>
                <w:szCs w:val="9"/>
                <w:color w:val="auto"/>
              </w:rPr>
            </w:pPr>
          </w:p>
        </w:tc>
      </w:tr>
      <w:tr>
        <w:trPr>
          <w:trHeight w:val="292"/>
        </w:trPr>
        <w:tc>
          <w:tcPr>
            <w:tcW w:w="2580" w:type="dxa"/>
            <w:vAlign w:val="bottom"/>
          </w:tcPr>
          <w:p>
            <w:pPr>
              <w:spacing w:after="0"/>
              <w:rPr>
                <w:sz w:val="24"/>
                <w:szCs w:val="24"/>
                <w:color w:val="auto"/>
              </w:rPr>
            </w:pPr>
          </w:p>
        </w:tc>
        <w:tc>
          <w:tcPr>
            <w:tcW w:w="2400" w:type="dxa"/>
            <w:vAlign w:val="bottom"/>
          </w:tcPr>
          <w:p>
            <w:pPr>
              <w:jc w:val="right"/>
              <w:ind w:right="634"/>
              <w:spacing w:after="0"/>
              <w:rPr>
                <w:sz w:val="20"/>
                <w:szCs w:val="20"/>
                <w:color w:val="auto"/>
              </w:rPr>
            </w:pPr>
            <w:r>
              <w:rPr>
                <w:rFonts w:ascii="Arial" w:cs="Arial" w:eastAsia="Arial" w:hAnsi="Arial"/>
                <w:sz w:val="14"/>
                <w:szCs w:val="14"/>
                <w:color w:val="auto"/>
              </w:rPr>
              <w:t>112,363,404</w:t>
            </w:r>
          </w:p>
        </w:tc>
        <w:tc>
          <w:tcPr>
            <w:tcW w:w="2180" w:type="dxa"/>
            <w:vAlign w:val="bottom"/>
          </w:tcPr>
          <w:p>
            <w:pPr>
              <w:jc w:val="right"/>
              <w:ind w:right="893"/>
              <w:spacing w:after="0"/>
              <w:rPr>
                <w:sz w:val="20"/>
                <w:szCs w:val="20"/>
                <w:color w:val="auto"/>
              </w:rPr>
            </w:pPr>
            <w:r>
              <w:rPr>
                <w:rFonts w:ascii="Arial" w:cs="Arial" w:eastAsia="Arial" w:hAnsi="Arial"/>
                <w:sz w:val="14"/>
                <w:szCs w:val="14"/>
                <w:color w:val="auto"/>
              </w:rPr>
              <w:t>0.61</w:t>
            </w:r>
          </w:p>
        </w:tc>
        <w:tc>
          <w:tcPr>
            <w:tcW w:w="2220" w:type="dxa"/>
            <w:vAlign w:val="bottom"/>
          </w:tcPr>
          <w:p>
            <w:pPr>
              <w:jc w:val="right"/>
              <w:ind w:right="714"/>
              <w:spacing w:after="0"/>
              <w:rPr>
                <w:sz w:val="20"/>
                <w:szCs w:val="20"/>
                <w:color w:val="auto"/>
              </w:rPr>
            </w:pPr>
            <w:r>
              <w:rPr>
                <w:rFonts w:ascii="Arial" w:cs="Arial" w:eastAsia="Arial" w:hAnsi="Arial"/>
                <w:sz w:val="14"/>
                <w:szCs w:val="14"/>
                <w:color w:val="auto"/>
              </w:rPr>
              <w:t>17,268,388</w:t>
            </w:r>
          </w:p>
        </w:tc>
      </w:tr>
      <w:tr>
        <w:trPr>
          <w:trHeight w:val="93"/>
        </w:trPr>
        <w:tc>
          <w:tcPr>
            <w:tcW w:w="2580" w:type="dxa"/>
            <w:vAlign w:val="bottom"/>
            <w:tcBorders>
              <w:bottom w:val="single" w:sz="8" w:color="auto"/>
            </w:tcBorders>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ectPr>
          <w:pgSz w:w="11900" w:h="16838" w:orient="portrait"/>
          <w:cols w:equalWidth="0" w:num="1">
            <w:col w:w="10040"/>
          </w:cols>
          <w:pgMar w:left="580" w:top="132"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spacing w:after="0"/>
        <w:tabs>
          <w:tab w:leader="none" w:pos="9880" w:val="left"/>
        </w:tabs>
        <w:rPr>
          <w:sz w:val="20"/>
          <w:szCs w:val="20"/>
          <w:color w:val="auto"/>
        </w:rPr>
      </w:pPr>
      <w:r>
        <w:rPr>
          <w:rFonts w:ascii="Arial" w:cs="Arial" w:eastAsia="Arial" w:hAnsi="Arial"/>
          <w:sz w:val="13"/>
          <w:szCs w:val="13"/>
          <w:color w:val="auto"/>
        </w:rPr>
        <w:t>2022 Proxy Statement</w:t>
      </w:r>
      <w:r>
        <w:rPr>
          <w:sz w:val="20"/>
          <w:szCs w:val="20"/>
          <w:color w:val="auto"/>
        </w:rPr>
        <w:tab/>
      </w:r>
      <w:r>
        <w:rPr>
          <w:rFonts w:ascii="Arial" w:cs="Arial" w:eastAsia="Arial" w:hAnsi="Arial"/>
          <w:sz w:val="12"/>
          <w:szCs w:val="12"/>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type w:val="continuous"/>
        </w:sectPr>
      </w:pPr>
    </w:p>
    <w:bookmarkStart w:id="74" w:name="page75"/>
    <w:bookmarkEnd w:id="74"/>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right="1080"/>
        <w:spacing w:after="0" w:line="259" w:lineRule="auto"/>
        <w:rPr>
          <w:sz w:val="20"/>
          <w:szCs w:val="20"/>
          <w:color w:val="auto"/>
        </w:rPr>
      </w:pPr>
      <w:r>
        <w:rPr>
          <w:rFonts w:ascii="Arial" w:cs="Arial" w:eastAsia="Arial" w:hAnsi="Arial"/>
          <w:sz w:val="36"/>
          <w:szCs w:val="36"/>
          <w:b w:val="1"/>
          <w:bCs w:val="1"/>
          <w:color w:val="auto"/>
        </w:rPr>
        <w:t>Security Ownership of Certain Beneficial Owners and Management</w:t>
      </w:r>
    </w:p>
    <w:p>
      <w:pPr>
        <w:spacing w:after="0" w:line="3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certain information known to us regarding the beneficial ownership of our Common Stock as of</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March 15, 2022 by:</w:t>
      </w:r>
    </w:p>
    <w:p>
      <w:pPr>
        <w:spacing w:after="0" w:line="167" w:lineRule="exact"/>
        <w:rPr>
          <w:sz w:val="20"/>
          <w:szCs w:val="20"/>
          <w:color w:val="auto"/>
        </w:rPr>
      </w:pPr>
    </w:p>
    <w:p>
      <w:pPr>
        <w:ind w:left="820" w:hanging="166"/>
        <w:spacing w:after="0"/>
        <w:tabs>
          <w:tab w:leader="none" w:pos="820" w:val="left"/>
        </w:tabs>
        <w:numPr>
          <w:ilvl w:val="0"/>
          <w:numId w:val="48"/>
        </w:numPr>
        <w:rPr>
          <w:rFonts w:ascii="Arial" w:cs="Arial" w:eastAsia="Arial" w:hAnsi="Arial"/>
          <w:sz w:val="16"/>
          <w:szCs w:val="16"/>
          <w:color w:val="886B25"/>
        </w:rPr>
      </w:pPr>
      <w:r>
        <w:rPr>
          <w:rFonts w:ascii="Arial" w:cs="Arial" w:eastAsia="Arial" w:hAnsi="Arial"/>
          <w:sz w:val="16"/>
          <w:szCs w:val="16"/>
          <w:color w:val="auto"/>
        </w:rPr>
        <w:t>each person whom we know to own beneficially more than 5% of our Common Stock;</w:t>
      </w:r>
    </w:p>
    <w:p>
      <w:pPr>
        <w:spacing w:after="0" w:line="167" w:lineRule="exact"/>
        <w:rPr>
          <w:rFonts w:ascii="Arial" w:cs="Arial" w:eastAsia="Arial" w:hAnsi="Arial"/>
          <w:sz w:val="16"/>
          <w:szCs w:val="16"/>
          <w:color w:val="886B25"/>
        </w:rPr>
      </w:pPr>
    </w:p>
    <w:p>
      <w:pPr>
        <w:ind w:left="820" w:hanging="166"/>
        <w:spacing w:after="0"/>
        <w:tabs>
          <w:tab w:leader="none" w:pos="820" w:val="left"/>
        </w:tabs>
        <w:numPr>
          <w:ilvl w:val="0"/>
          <w:numId w:val="48"/>
        </w:numPr>
        <w:rPr>
          <w:rFonts w:ascii="Arial" w:cs="Arial" w:eastAsia="Arial" w:hAnsi="Arial"/>
          <w:sz w:val="16"/>
          <w:szCs w:val="16"/>
          <w:color w:val="886B25"/>
        </w:rPr>
      </w:pPr>
      <w:r>
        <w:rPr>
          <w:rFonts w:ascii="Arial" w:cs="Arial" w:eastAsia="Arial" w:hAnsi="Arial"/>
          <w:sz w:val="16"/>
          <w:szCs w:val="16"/>
          <w:color w:val="auto"/>
        </w:rPr>
        <w:t>each of our current named executive officers and directors individually; and</w:t>
      </w:r>
    </w:p>
    <w:p>
      <w:pPr>
        <w:spacing w:after="0" w:line="167" w:lineRule="exact"/>
        <w:rPr>
          <w:rFonts w:ascii="Arial" w:cs="Arial" w:eastAsia="Arial" w:hAnsi="Arial"/>
          <w:sz w:val="16"/>
          <w:szCs w:val="16"/>
          <w:color w:val="886B25"/>
        </w:rPr>
      </w:pPr>
    </w:p>
    <w:p>
      <w:pPr>
        <w:ind w:left="820" w:hanging="166"/>
        <w:spacing w:after="0"/>
        <w:tabs>
          <w:tab w:leader="none" w:pos="820" w:val="left"/>
        </w:tabs>
        <w:numPr>
          <w:ilvl w:val="0"/>
          <w:numId w:val="48"/>
        </w:numPr>
        <w:rPr>
          <w:rFonts w:ascii="Arial" w:cs="Arial" w:eastAsia="Arial" w:hAnsi="Arial"/>
          <w:sz w:val="16"/>
          <w:szCs w:val="16"/>
          <w:color w:val="886B25"/>
        </w:rPr>
      </w:pPr>
      <w:r>
        <w:rPr>
          <w:rFonts w:ascii="Arial" w:cs="Arial" w:eastAsia="Arial" w:hAnsi="Arial"/>
          <w:sz w:val="16"/>
          <w:szCs w:val="16"/>
          <w:color w:val="auto"/>
        </w:rPr>
        <w:t>all of our current executive officers and directors as a group.</w:t>
      </w:r>
    </w:p>
    <w:p>
      <w:pPr>
        <w:spacing w:after="0" w:line="248" w:lineRule="exact"/>
        <w:rPr>
          <w:sz w:val="20"/>
          <w:szCs w:val="20"/>
          <w:color w:val="auto"/>
        </w:rPr>
      </w:pPr>
    </w:p>
    <w:p>
      <w:pPr>
        <w:ind w:left="660" w:right="140"/>
        <w:spacing w:after="0" w:line="284" w:lineRule="auto"/>
        <w:rPr>
          <w:sz w:val="20"/>
          <w:szCs w:val="20"/>
          <w:color w:val="auto"/>
        </w:rPr>
      </w:pPr>
      <w:r>
        <w:rPr>
          <w:rFonts w:ascii="Arial" w:cs="Arial" w:eastAsia="Arial" w:hAnsi="Arial"/>
          <w:sz w:val="16"/>
          <w:szCs w:val="16"/>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of March 15, 2022. Except as described in the footnotes below and subject to applicable community property laws and similar laws, we believe that each person listed below has sole voting and investment power with respect to such shares. The beneficial ownership of our Common Stock in the “Shares Beneficially Owned” column in the table is based on 1,665,050,601 shares of our Common Stock issued and outstanding as of March 15, 2022.</w:t>
      </w:r>
    </w:p>
    <w:p>
      <w:pPr>
        <w:spacing w:after="0" w:line="243" w:lineRule="exact"/>
        <w:rPr>
          <w:sz w:val="20"/>
          <w:szCs w:val="20"/>
          <w:color w:val="auto"/>
        </w:rPr>
      </w:pPr>
    </w:p>
    <w:tbl>
      <w:tblPr>
        <w:tblLayout w:type="fixed"/>
        <w:tblInd w:w="660" w:type="dxa"/>
        <w:tblCellMar>
          <w:top w:w="0" w:type="dxa"/>
          <w:left w:w="0" w:type="dxa"/>
          <w:bottom w:w="0" w:type="dxa"/>
          <w:right w:w="0" w:type="dxa"/>
        </w:tblCellMar>
      </w:tblPr>
      <w:tr>
        <w:trPr>
          <w:trHeight w:val="248"/>
        </w:trPr>
        <w:tc>
          <w:tcPr>
            <w:tcW w:w="160" w:type="dxa"/>
            <w:vAlign w:val="bottom"/>
            <w:shd w:val="clear" w:color="auto" w:fill="000000"/>
          </w:tcPr>
          <w:p>
            <w:pPr>
              <w:spacing w:after="0"/>
              <w:rPr>
                <w:sz w:val="21"/>
                <w:szCs w:val="21"/>
                <w:color w:val="auto"/>
              </w:rPr>
            </w:pPr>
          </w:p>
        </w:tc>
        <w:tc>
          <w:tcPr>
            <w:tcW w:w="7120" w:type="dxa"/>
            <w:vAlign w:val="bottom"/>
            <w:shd w:val="clear" w:color="auto" w:fill="000000"/>
          </w:tcPr>
          <w:p>
            <w:pPr>
              <w:spacing w:after="0"/>
              <w:rPr>
                <w:sz w:val="21"/>
                <w:szCs w:val="21"/>
                <w:color w:val="auto"/>
              </w:rPr>
            </w:pPr>
          </w:p>
        </w:tc>
        <w:tc>
          <w:tcPr>
            <w:tcW w:w="2100" w:type="dxa"/>
            <w:vAlign w:val="bottom"/>
            <w:gridSpan w:val="2"/>
            <w:shd w:val="clear" w:color="auto" w:fill="000000"/>
          </w:tcPr>
          <w:p>
            <w:pPr>
              <w:jc w:val="right"/>
              <w:ind w:right="509"/>
              <w:spacing w:after="0"/>
              <w:rPr>
                <w:sz w:val="20"/>
                <w:szCs w:val="20"/>
                <w:color w:val="auto"/>
              </w:rPr>
            </w:pPr>
            <w:r>
              <w:rPr>
                <w:rFonts w:ascii="Arial" w:cs="Arial" w:eastAsia="Arial" w:hAnsi="Arial"/>
                <w:sz w:val="13"/>
                <w:szCs w:val="13"/>
                <w:b w:val="1"/>
                <w:bCs w:val="1"/>
                <w:color w:val="FEFEFE"/>
              </w:rPr>
              <w:t>Shares Beneficially</w:t>
            </w:r>
          </w:p>
        </w:tc>
        <w:tc>
          <w:tcPr>
            <w:tcW w:w="0" w:type="dxa"/>
            <w:vAlign w:val="bottom"/>
          </w:tcPr>
          <w:p>
            <w:pPr>
              <w:spacing w:after="0"/>
              <w:rPr>
                <w:sz w:val="1"/>
                <w:szCs w:val="1"/>
                <w:color w:val="auto"/>
              </w:rPr>
            </w:pPr>
          </w:p>
        </w:tc>
      </w:tr>
      <w:tr>
        <w:trPr>
          <w:trHeight w:val="168"/>
        </w:trPr>
        <w:tc>
          <w:tcPr>
            <w:tcW w:w="160" w:type="dxa"/>
            <w:vAlign w:val="bottom"/>
            <w:shd w:val="clear" w:color="auto" w:fill="000000"/>
          </w:tcPr>
          <w:p>
            <w:pPr>
              <w:spacing w:after="0"/>
              <w:rPr>
                <w:sz w:val="14"/>
                <w:szCs w:val="14"/>
                <w:color w:val="auto"/>
              </w:rPr>
            </w:pPr>
          </w:p>
        </w:tc>
        <w:tc>
          <w:tcPr>
            <w:tcW w:w="7120" w:type="dxa"/>
            <w:vAlign w:val="bottom"/>
            <w:shd w:val="clear" w:color="auto" w:fill="000000"/>
          </w:tcPr>
          <w:p>
            <w:pPr>
              <w:spacing w:after="0"/>
              <w:rPr>
                <w:sz w:val="14"/>
                <w:szCs w:val="14"/>
                <w:color w:val="auto"/>
              </w:rPr>
            </w:pPr>
          </w:p>
        </w:tc>
        <w:tc>
          <w:tcPr>
            <w:tcW w:w="118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Owned</w:t>
            </w:r>
          </w:p>
        </w:tc>
        <w:tc>
          <w:tcPr>
            <w:tcW w:w="9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160" w:type="dxa"/>
            <w:vAlign w:val="bottom"/>
            <w:shd w:val="clear" w:color="auto" w:fill="000000"/>
          </w:tcPr>
          <w:p>
            <w:pPr>
              <w:spacing w:after="0"/>
              <w:rPr>
                <w:sz w:val="9"/>
                <w:szCs w:val="9"/>
                <w:color w:val="auto"/>
              </w:rPr>
            </w:pPr>
          </w:p>
        </w:tc>
        <w:tc>
          <w:tcPr>
            <w:tcW w:w="7120" w:type="dxa"/>
            <w:vAlign w:val="bottom"/>
            <w:vMerge w:val="restart"/>
            <w:shd w:val="clear" w:color="auto" w:fill="000000"/>
          </w:tcPr>
          <w:p>
            <w:pPr>
              <w:spacing w:after="0"/>
              <w:rPr>
                <w:sz w:val="20"/>
                <w:szCs w:val="20"/>
                <w:color w:val="auto"/>
              </w:rPr>
            </w:pPr>
            <w:r>
              <w:rPr>
                <w:rFonts w:ascii="Arial" w:cs="Arial" w:eastAsia="Arial" w:hAnsi="Arial"/>
                <w:sz w:val="13"/>
                <w:szCs w:val="13"/>
                <w:b w:val="1"/>
                <w:bCs w:val="1"/>
                <w:color w:val="FEFEFE"/>
              </w:rPr>
              <w:t>Name and Address of Beneficial Owner</w:t>
            </w:r>
            <w:r>
              <w:rPr>
                <w:rFonts w:ascii="Arial" w:cs="Arial" w:eastAsia="Arial" w:hAnsi="Arial"/>
                <w:sz w:val="16"/>
                <w:szCs w:val="16"/>
                <w:b w:val="1"/>
                <w:bCs w:val="1"/>
                <w:color w:val="FEFEFE"/>
                <w:vertAlign w:val="superscript"/>
              </w:rPr>
              <w:t>(1)</w:t>
            </w:r>
          </w:p>
        </w:tc>
        <w:tc>
          <w:tcPr>
            <w:tcW w:w="1180" w:type="dxa"/>
            <w:vAlign w:val="bottom"/>
            <w:shd w:val="clear" w:color="auto" w:fill="000000"/>
          </w:tcPr>
          <w:p>
            <w:pPr>
              <w:spacing w:after="0"/>
              <w:rPr>
                <w:sz w:val="9"/>
                <w:szCs w:val="9"/>
                <w:color w:val="auto"/>
              </w:rPr>
            </w:pPr>
          </w:p>
        </w:tc>
        <w:tc>
          <w:tcPr>
            <w:tcW w:w="9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60" w:type="dxa"/>
            <w:vAlign w:val="bottom"/>
            <w:shd w:val="clear" w:color="auto" w:fill="000000"/>
          </w:tcPr>
          <w:p>
            <w:pPr>
              <w:spacing w:after="0"/>
              <w:rPr>
                <w:sz w:val="24"/>
                <w:szCs w:val="24"/>
                <w:color w:val="auto"/>
              </w:rPr>
            </w:pPr>
          </w:p>
        </w:tc>
        <w:tc>
          <w:tcPr>
            <w:tcW w:w="7120" w:type="dxa"/>
            <w:vAlign w:val="bottom"/>
            <w:vMerge w:val="continue"/>
            <w:shd w:val="clear" w:color="auto" w:fill="000000"/>
          </w:tcPr>
          <w:p>
            <w:pPr>
              <w:spacing w:after="0"/>
              <w:rPr>
                <w:sz w:val="24"/>
                <w:szCs w:val="24"/>
                <w:color w:val="auto"/>
              </w:rPr>
            </w:pPr>
          </w:p>
        </w:tc>
        <w:tc>
          <w:tcPr>
            <w:tcW w:w="1180" w:type="dxa"/>
            <w:vAlign w:val="bottom"/>
            <w:shd w:val="clear" w:color="auto" w:fill="000000"/>
          </w:tcPr>
          <w:p>
            <w:pPr>
              <w:jc w:val="right"/>
              <w:ind w:right="390"/>
              <w:spacing w:after="0"/>
              <w:rPr>
                <w:sz w:val="20"/>
                <w:szCs w:val="20"/>
                <w:color w:val="auto"/>
              </w:rPr>
            </w:pPr>
            <w:r>
              <w:rPr>
                <w:rFonts w:ascii="Arial" w:cs="Arial" w:eastAsia="Arial" w:hAnsi="Arial"/>
                <w:sz w:val="13"/>
                <w:szCs w:val="13"/>
                <w:b w:val="1"/>
                <w:bCs w:val="1"/>
                <w:color w:val="FEFEFE"/>
              </w:rPr>
              <w:t>Number</w:t>
            </w:r>
          </w:p>
        </w:tc>
        <w:tc>
          <w:tcPr>
            <w:tcW w:w="920" w:type="dxa"/>
            <w:vAlign w:val="bottom"/>
            <w:shd w:val="clear" w:color="auto" w:fill="000000"/>
          </w:tcPr>
          <w:p>
            <w:pPr>
              <w:jc w:val="right"/>
              <w:ind w:right="149"/>
              <w:spacing w:after="0"/>
              <w:rPr>
                <w:sz w:val="20"/>
                <w:szCs w:val="20"/>
                <w:color w:val="auto"/>
              </w:rPr>
            </w:pPr>
            <w:r>
              <w:rPr>
                <w:rFonts w:ascii="Arial" w:cs="Arial" w:eastAsia="Arial" w:hAnsi="Arial"/>
                <w:sz w:val="13"/>
                <w:szCs w:val="13"/>
                <w:b w:val="1"/>
                <w:bCs w:val="1"/>
                <w:color w:val="FEFEFE"/>
                <w:w w:val="96"/>
              </w:rPr>
              <w:t>Percentage</w:t>
            </w:r>
          </w:p>
        </w:tc>
        <w:tc>
          <w:tcPr>
            <w:tcW w:w="0" w:type="dxa"/>
            <w:vAlign w:val="bottom"/>
          </w:tcPr>
          <w:p>
            <w:pPr>
              <w:spacing w:after="0"/>
              <w:rPr>
                <w:sz w:val="1"/>
                <w:szCs w:val="1"/>
                <w:color w:val="auto"/>
              </w:rPr>
            </w:pPr>
          </w:p>
        </w:tc>
      </w:tr>
      <w:tr>
        <w:trPr>
          <w:trHeight w:val="82"/>
        </w:trPr>
        <w:tc>
          <w:tcPr>
            <w:tcW w:w="160" w:type="dxa"/>
            <w:vAlign w:val="bottom"/>
            <w:shd w:val="clear" w:color="auto" w:fill="000000"/>
          </w:tcPr>
          <w:p>
            <w:pPr>
              <w:spacing w:after="0"/>
              <w:rPr>
                <w:sz w:val="7"/>
                <w:szCs w:val="7"/>
                <w:color w:val="auto"/>
              </w:rPr>
            </w:pPr>
          </w:p>
        </w:tc>
        <w:tc>
          <w:tcPr>
            <w:tcW w:w="7120" w:type="dxa"/>
            <w:vAlign w:val="bottom"/>
            <w:shd w:val="clear" w:color="auto" w:fill="000000"/>
          </w:tcPr>
          <w:p>
            <w:pPr>
              <w:spacing w:after="0"/>
              <w:rPr>
                <w:sz w:val="7"/>
                <w:szCs w:val="7"/>
                <w:color w:val="auto"/>
              </w:rPr>
            </w:pPr>
          </w:p>
        </w:tc>
        <w:tc>
          <w:tcPr>
            <w:tcW w:w="118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160" w:type="dxa"/>
            <w:vAlign w:val="bottom"/>
          </w:tcPr>
          <w:p>
            <w:pPr>
              <w:spacing w:after="0"/>
              <w:rPr>
                <w:sz w:val="24"/>
                <w:szCs w:val="24"/>
                <w:color w:val="auto"/>
              </w:rPr>
            </w:pPr>
          </w:p>
        </w:tc>
        <w:tc>
          <w:tcPr>
            <w:tcW w:w="7120" w:type="dxa"/>
            <w:vAlign w:val="bottom"/>
          </w:tcPr>
          <w:p>
            <w:pPr>
              <w:spacing w:after="0"/>
              <w:rPr>
                <w:sz w:val="20"/>
                <w:szCs w:val="20"/>
                <w:color w:val="auto"/>
              </w:rPr>
            </w:pPr>
            <w:r>
              <w:rPr>
                <w:rFonts w:ascii="Arial" w:cs="Arial" w:eastAsia="Arial" w:hAnsi="Arial"/>
                <w:sz w:val="14"/>
                <w:szCs w:val="14"/>
                <w:b w:val="1"/>
                <w:bCs w:val="1"/>
                <w:i w:val="1"/>
                <w:iCs w:val="1"/>
                <w:color w:val="auto"/>
              </w:rPr>
              <w:t>Five Percent Holders</w:t>
            </w: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60" w:type="dxa"/>
            <w:vAlign w:val="bottom"/>
            <w:tcBorders>
              <w:bottom w:val="single" w:sz="8" w:color="auto"/>
            </w:tcBorders>
          </w:tcPr>
          <w:p>
            <w:pPr>
              <w:spacing w:after="0"/>
              <w:rPr>
                <w:sz w:val="6"/>
                <w:szCs w:val="6"/>
                <w:color w:val="auto"/>
              </w:rPr>
            </w:pPr>
          </w:p>
        </w:tc>
        <w:tc>
          <w:tcPr>
            <w:tcW w:w="71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17"/>
        </w:trPr>
        <w:tc>
          <w:tcPr>
            <w:tcW w:w="160" w:type="dxa"/>
            <w:vAlign w:val="bottom"/>
            <w:shd w:val="clear" w:color="auto" w:fill="F7F7F7"/>
          </w:tcPr>
          <w:p>
            <w:pPr>
              <w:spacing w:after="0"/>
              <w:rPr>
                <w:sz w:val="24"/>
                <w:szCs w:val="24"/>
                <w:color w:val="auto"/>
              </w:rPr>
            </w:pPr>
          </w:p>
        </w:tc>
        <w:tc>
          <w:tcPr>
            <w:tcW w:w="7120" w:type="dxa"/>
            <w:vAlign w:val="bottom"/>
            <w:shd w:val="clear" w:color="auto" w:fill="F7F7F7"/>
          </w:tcPr>
          <w:p>
            <w:pPr>
              <w:spacing w:after="0"/>
              <w:rPr>
                <w:sz w:val="20"/>
                <w:szCs w:val="20"/>
                <w:color w:val="auto"/>
              </w:rPr>
            </w:pPr>
            <w:r>
              <w:rPr>
                <w:rFonts w:ascii="Arial" w:cs="Arial" w:eastAsia="Arial" w:hAnsi="Arial"/>
                <w:sz w:val="14"/>
                <w:szCs w:val="14"/>
                <w:color w:val="auto"/>
              </w:rPr>
              <w:t>Churchill Sponsor IV LLC</w:t>
            </w:r>
            <w:r>
              <w:rPr>
                <w:rFonts w:ascii="Arial" w:cs="Arial" w:eastAsia="Arial" w:hAnsi="Arial"/>
                <w:sz w:val="17"/>
                <w:szCs w:val="17"/>
                <w:color w:val="auto"/>
                <w:vertAlign w:val="superscript"/>
              </w:rPr>
              <w:t>(2)</w:t>
            </w:r>
          </w:p>
        </w:tc>
        <w:tc>
          <w:tcPr>
            <w:tcW w:w="1180" w:type="dxa"/>
            <w:vAlign w:val="bottom"/>
            <w:shd w:val="clear" w:color="auto" w:fill="F7F7F7"/>
          </w:tcPr>
          <w:p>
            <w:pPr>
              <w:jc w:val="right"/>
              <w:ind w:right="150"/>
              <w:spacing w:after="0"/>
              <w:rPr>
                <w:sz w:val="20"/>
                <w:szCs w:val="20"/>
                <w:color w:val="auto"/>
              </w:rPr>
            </w:pPr>
            <w:r>
              <w:rPr>
                <w:rFonts w:ascii="Arial" w:cs="Arial" w:eastAsia="Arial" w:hAnsi="Arial"/>
                <w:sz w:val="14"/>
                <w:szCs w:val="14"/>
                <w:color w:val="auto"/>
              </w:rPr>
              <w:t>96,100,000</w:t>
            </w:r>
          </w:p>
        </w:tc>
        <w:tc>
          <w:tcPr>
            <w:tcW w:w="920" w:type="dxa"/>
            <w:vAlign w:val="bottom"/>
            <w:shd w:val="clear" w:color="auto" w:fill="F7F7F7"/>
          </w:tcPr>
          <w:p>
            <w:pPr>
              <w:jc w:val="right"/>
              <w:ind w:right="229"/>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68"/>
        </w:trPr>
        <w:tc>
          <w:tcPr>
            <w:tcW w:w="160" w:type="dxa"/>
            <w:vAlign w:val="bottom"/>
            <w:tcBorders>
              <w:bottom w:val="single" w:sz="8" w:color="auto"/>
            </w:tcBorders>
            <w:shd w:val="clear" w:color="auto" w:fill="F7F7F7"/>
          </w:tcPr>
          <w:p>
            <w:pPr>
              <w:spacing w:after="0"/>
              <w:rPr>
                <w:sz w:val="5"/>
                <w:szCs w:val="5"/>
                <w:color w:val="auto"/>
              </w:rPr>
            </w:pPr>
          </w:p>
        </w:tc>
        <w:tc>
          <w:tcPr>
            <w:tcW w:w="7120" w:type="dxa"/>
            <w:vAlign w:val="bottom"/>
            <w:tcBorders>
              <w:bottom w:val="single" w:sz="8" w:color="auto"/>
            </w:tcBorders>
            <w:shd w:val="clear" w:color="auto" w:fill="F7F7F7"/>
          </w:tcPr>
          <w:p>
            <w:pPr>
              <w:spacing w:after="0"/>
              <w:rPr>
                <w:sz w:val="5"/>
                <w:szCs w:val="5"/>
                <w:color w:val="auto"/>
              </w:rPr>
            </w:pPr>
          </w:p>
        </w:tc>
        <w:tc>
          <w:tcPr>
            <w:tcW w:w="1180" w:type="dxa"/>
            <w:vAlign w:val="bottom"/>
            <w:tcBorders>
              <w:bottom w:val="single" w:sz="8" w:color="auto"/>
            </w:tcBorders>
            <w:shd w:val="clear" w:color="auto" w:fill="F7F7F7"/>
          </w:tcPr>
          <w:p>
            <w:pPr>
              <w:spacing w:after="0"/>
              <w:rPr>
                <w:sz w:val="5"/>
                <w:szCs w:val="5"/>
                <w:color w:val="auto"/>
              </w:rPr>
            </w:pPr>
          </w:p>
        </w:tc>
        <w:tc>
          <w:tcPr>
            <w:tcW w:w="920" w:type="dxa"/>
            <w:vAlign w:val="bottom"/>
            <w:tcBorders>
              <w:bottom w:val="single" w:sz="8" w:color="auto"/>
            </w:tcBorders>
            <w:shd w:val="clear" w:color="auto" w:fill="F7F7F7"/>
          </w:tcPr>
          <w:p>
            <w:pPr>
              <w:spacing w:after="0"/>
              <w:rPr>
                <w:sz w:val="5"/>
                <w:szCs w:val="5"/>
                <w:color w:val="auto"/>
              </w:rPr>
            </w:pPr>
          </w:p>
        </w:tc>
        <w:tc>
          <w:tcPr>
            <w:tcW w:w="0" w:type="dxa"/>
            <w:vAlign w:val="bottom"/>
          </w:tcPr>
          <w:p>
            <w:pPr>
              <w:spacing w:after="0"/>
              <w:rPr>
                <w:sz w:val="1"/>
                <w:szCs w:val="1"/>
                <w:color w:val="auto"/>
              </w:rPr>
            </w:pPr>
          </w:p>
        </w:tc>
      </w:tr>
      <w:tr>
        <w:trPr>
          <w:trHeight w:val="317"/>
        </w:trPr>
        <w:tc>
          <w:tcPr>
            <w:tcW w:w="160" w:type="dxa"/>
            <w:vAlign w:val="bottom"/>
          </w:tcPr>
          <w:p>
            <w:pPr>
              <w:spacing w:after="0"/>
              <w:rPr>
                <w:sz w:val="24"/>
                <w:szCs w:val="24"/>
                <w:color w:val="auto"/>
              </w:rPr>
            </w:pPr>
          </w:p>
        </w:tc>
        <w:tc>
          <w:tcPr>
            <w:tcW w:w="7120" w:type="dxa"/>
            <w:vAlign w:val="bottom"/>
          </w:tcPr>
          <w:p>
            <w:pPr>
              <w:spacing w:after="0"/>
              <w:rPr>
                <w:sz w:val="20"/>
                <w:szCs w:val="20"/>
                <w:color w:val="auto"/>
              </w:rPr>
            </w:pPr>
            <w:r>
              <w:rPr>
                <w:rFonts w:ascii="Arial" w:cs="Arial" w:eastAsia="Arial" w:hAnsi="Arial"/>
                <w:sz w:val="14"/>
                <w:szCs w:val="14"/>
                <w:color w:val="auto"/>
              </w:rPr>
              <w:t>The Public Investment Fund</w:t>
            </w:r>
            <w:r>
              <w:rPr>
                <w:rFonts w:ascii="Arial" w:cs="Arial" w:eastAsia="Arial" w:hAnsi="Arial"/>
                <w:sz w:val="17"/>
                <w:szCs w:val="17"/>
                <w:color w:val="auto"/>
                <w:vertAlign w:val="superscript"/>
              </w:rPr>
              <w:t>(3)</w:t>
            </w:r>
          </w:p>
        </w:tc>
        <w:tc>
          <w:tcPr>
            <w:tcW w:w="1180" w:type="dxa"/>
            <w:vAlign w:val="bottom"/>
          </w:tcPr>
          <w:p>
            <w:pPr>
              <w:jc w:val="right"/>
              <w:ind w:right="150"/>
              <w:spacing w:after="0"/>
              <w:rPr>
                <w:sz w:val="20"/>
                <w:szCs w:val="20"/>
                <w:color w:val="auto"/>
              </w:rPr>
            </w:pPr>
            <w:r>
              <w:rPr>
                <w:rFonts w:ascii="Arial" w:cs="Arial" w:eastAsia="Arial" w:hAnsi="Arial"/>
                <w:sz w:val="14"/>
                <w:szCs w:val="14"/>
                <w:color w:val="auto"/>
              </w:rPr>
              <w:t>1,015,252,523</w:t>
            </w:r>
          </w:p>
        </w:tc>
        <w:tc>
          <w:tcPr>
            <w:tcW w:w="920" w:type="dxa"/>
            <w:vAlign w:val="bottom"/>
          </w:tcPr>
          <w:p>
            <w:pPr>
              <w:jc w:val="right"/>
              <w:ind w:right="229"/>
              <w:spacing w:after="0"/>
              <w:rPr>
                <w:sz w:val="20"/>
                <w:szCs w:val="20"/>
                <w:color w:val="auto"/>
              </w:rPr>
            </w:pPr>
            <w:r>
              <w:rPr>
                <w:rFonts w:ascii="Arial" w:cs="Arial" w:eastAsia="Arial" w:hAnsi="Arial"/>
                <w:sz w:val="14"/>
                <w:szCs w:val="14"/>
                <w:color w:val="auto"/>
              </w:rPr>
              <w:t>61.0%</w:t>
            </w:r>
          </w:p>
        </w:tc>
        <w:tc>
          <w:tcPr>
            <w:tcW w:w="0" w:type="dxa"/>
            <w:vAlign w:val="bottom"/>
          </w:tcPr>
          <w:p>
            <w:pPr>
              <w:spacing w:after="0"/>
              <w:rPr>
                <w:sz w:val="1"/>
                <w:szCs w:val="1"/>
                <w:color w:val="auto"/>
              </w:rPr>
            </w:pPr>
          </w:p>
        </w:tc>
      </w:tr>
      <w:tr>
        <w:trPr>
          <w:trHeight w:val="68"/>
        </w:trPr>
        <w:tc>
          <w:tcPr>
            <w:tcW w:w="160" w:type="dxa"/>
            <w:vAlign w:val="bottom"/>
            <w:tcBorders>
              <w:bottom w:val="single" w:sz="8" w:color="auto"/>
            </w:tcBorders>
          </w:tcPr>
          <w:p>
            <w:pPr>
              <w:spacing w:after="0"/>
              <w:rPr>
                <w:sz w:val="5"/>
                <w:szCs w:val="5"/>
                <w:color w:val="auto"/>
              </w:rPr>
            </w:pPr>
          </w:p>
        </w:tc>
        <w:tc>
          <w:tcPr>
            <w:tcW w:w="71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160" w:type="dxa"/>
            <w:vAlign w:val="bottom"/>
            <w:shd w:val="clear" w:color="auto" w:fill="F7F7F7"/>
          </w:tcPr>
          <w:p>
            <w:pPr>
              <w:spacing w:after="0"/>
              <w:rPr>
                <w:sz w:val="24"/>
                <w:szCs w:val="24"/>
                <w:color w:val="auto"/>
              </w:rPr>
            </w:pPr>
          </w:p>
        </w:tc>
        <w:tc>
          <w:tcPr>
            <w:tcW w:w="7120" w:type="dxa"/>
            <w:vAlign w:val="bottom"/>
            <w:shd w:val="clear" w:color="auto" w:fill="F7F7F7"/>
          </w:tcPr>
          <w:p>
            <w:pPr>
              <w:spacing w:after="0"/>
              <w:rPr>
                <w:sz w:val="20"/>
                <w:szCs w:val="20"/>
                <w:color w:val="auto"/>
              </w:rPr>
            </w:pPr>
            <w:r>
              <w:rPr>
                <w:rFonts w:ascii="Arial" w:cs="Arial" w:eastAsia="Arial" w:hAnsi="Arial"/>
                <w:sz w:val="14"/>
                <w:szCs w:val="14"/>
                <w:b w:val="1"/>
                <w:bCs w:val="1"/>
                <w:i w:val="1"/>
                <w:iCs w:val="1"/>
                <w:color w:val="auto"/>
              </w:rPr>
              <w:t>Named Executive Officers and Directors</w:t>
            </w:r>
          </w:p>
        </w:tc>
        <w:tc>
          <w:tcPr>
            <w:tcW w:w="1180" w:type="dxa"/>
            <w:vAlign w:val="bottom"/>
            <w:shd w:val="clear" w:color="auto" w:fill="F7F7F7"/>
          </w:tcPr>
          <w:p>
            <w:pPr>
              <w:spacing w:after="0"/>
              <w:rPr>
                <w:sz w:val="24"/>
                <w:szCs w:val="24"/>
                <w:color w:val="auto"/>
              </w:rPr>
            </w:pPr>
          </w:p>
        </w:tc>
        <w:tc>
          <w:tcPr>
            <w:tcW w:w="920" w:type="dxa"/>
            <w:vAlign w:val="bottom"/>
            <w:shd w:val="clear" w:color="auto" w:fill="F7F7F7"/>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60" w:type="dxa"/>
            <w:vAlign w:val="bottom"/>
            <w:tcBorders>
              <w:bottom w:val="single" w:sz="8" w:color="auto"/>
            </w:tcBorders>
            <w:shd w:val="clear" w:color="auto" w:fill="F7F7F7"/>
          </w:tcPr>
          <w:p>
            <w:pPr>
              <w:spacing w:after="0"/>
              <w:rPr>
                <w:sz w:val="6"/>
                <w:szCs w:val="6"/>
                <w:color w:val="auto"/>
              </w:rPr>
            </w:pPr>
          </w:p>
        </w:tc>
        <w:tc>
          <w:tcPr>
            <w:tcW w:w="7120" w:type="dxa"/>
            <w:vAlign w:val="bottom"/>
            <w:tcBorders>
              <w:bottom w:val="single" w:sz="8" w:color="auto"/>
            </w:tcBorders>
            <w:shd w:val="clear" w:color="auto" w:fill="F7F7F7"/>
          </w:tcPr>
          <w:p>
            <w:pPr>
              <w:spacing w:after="0"/>
              <w:rPr>
                <w:sz w:val="6"/>
                <w:szCs w:val="6"/>
                <w:color w:val="auto"/>
              </w:rPr>
            </w:pPr>
          </w:p>
        </w:tc>
        <w:tc>
          <w:tcPr>
            <w:tcW w:w="1180" w:type="dxa"/>
            <w:vAlign w:val="bottom"/>
            <w:tcBorders>
              <w:bottom w:val="single" w:sz="8" w:color="auto"/>
            </w:tcBorders>
            <w:shd w:val="clear" w:color="auto" w:fill="F7F7F7"/>
          </w:tcPr>
          <w:p>
            <w:pPr>
              <w:spacing w:after="0"/>
              <w:rPr>
                <w:sz w:val="6"/>
                <w:szCs w:val="6"/>
                <w:color w:val="auto"/>
              </w:rPr>
            </w:pPr>
          </w:p>
        </w:tc>
        <w:tc>
          <w:tcPr>
            <w:tcW w:w="920" w:type="dxa"/>
            <w:vAlign w:val="bottom"/>
            <w:tcBorders>
              <w:bottom w:val="single" w:sz="8" w:color="auto"/>
            </w:tcBorders>
            <w:shd w:val="clear" w:color="auto" w:fill="F7F7F7"/>
          </w:tcPr>
          <w:p>
            <w:pPr>
              <w:spacing w:after="0"/>
              <w:rPr>
                <w:sz w:val="6"/>
                <w:szCs w:val="6"/>
                <w:color w:val="auto"/>
              </w:rPr>
            </w:pPr>
          </w:p>
        </w:tc>
        <w:tc>
          <w:tcPr>
            <w:tcW w:w="0" w:type="dxa"/>
            <w:vAlign w:val="bottom"/>
          </w:tcPr>
          <w:p>
            <w:pPr>
              <w:spacing w:after="0"/>
              <w:rPr>
                <w:sz w:val="1"/>
                <w:szCs w:val="1"/>
                <w:color w:val="auto"/>
              </w:rPr>
            </w:pPr>
          </w:p>
        </w:tc>
      </w:tr>
      <w:tr>
        <w:trPr>
          <w:trHeight w:val="317"/>
        </w:trPr>
        <w:tc>
          <w:tcPr>
            <w:tcW w:w="160" w:type="dxa"/>
            <w:vAlign w:val="bottom"/>
          </w:tcPr>
          <w:p>
            <w:pPr>
              <w:spacing w:after="0"/>
              <w:rPr>
                <w:sz w:val="24"/>
                <w:szCs w:val="24"/>
                <w:color w:val="auto"/>
              </w:rPr>
            </w:pPr>
          </w:p>
        </w:tc>
        <w:tc>
          <w:tcPr>
            <w:tcW w:w="7120" w:type="dxa"/>
            <w:vAlign w:val="bottom"/>
          </w:tcPr>
          <w:p>
            <w:pPr>
              <w:spacing w:after="0"/>
              <w:rPr>
                <w:sz w:val="20"/>
                <w:szCs w:val="20"/>
                <w:color w:val="auto"/>
              </w:rPr>
            </w:pPr>
            <w:r>
              <w:rPr>
                <w:rFonts w:ascii="Arial" w:cs="Arial" w:eastAsia="Arial" w:hAnsi="Arial"/>
                <w:sz w:val="14"/>
                <w:szCs w:val="14"/>
                <w:color w:val="auto"/>
              </w:rPr>
              <w:t>Peter Rawlinson</w:t>
            </w:r>
            <w:r>
              <w:rPr>
                <w:rFonts w:ascii="Arial" w:cs="Arial" w:eastAsia="Arial" w:hAnsi="Arial"/>
                <w:sz w:val="17"/>
                <w:szCs w:val="17"/>
                <w:color w:val="auto"/>
                <w:vertAlign w:val="superscript"/>
              </w:rPr>
              <w:t>(4)</w:t>
            </w:r>
          </w:p>
        </w:tc>
        <w:tc>
          <w:tcPr>
            <w:tcW w:w="1180" w:type="dxa"/>
            <w:vAlign w:val="bottom"/>
          </w:tcPr>
          <w:p>
            <w:pPr>
              <w:jc w:val="right"/>
              <w:ind w:right="150"/>
              <w:spacing w:after="0"/>
              <w:rPr>
                <w:sz w:val="20"/>
                <w:szCs w:val="20"/>
                <w:color w:val="auto"/>
              </w:rPr>
            </w:pPr>
            <w:r>
              <w:rPr>
                <w:rFonts w:ascii="Arial" w:cs="Arial" w:eastAsia="Arial" w:hAnsi="Arial"/>
                <w:sz w:val="14"/>
                <w:szCs w:val="14"/>
                <w:color w:val="auto"/>
              </w:rPr>
              <w:t>20,163,240</w:t>
            </w:r>
          </w:p>
        </w:tc>
        <w:tc>
          <w:tcPr>
            <w:tcW w:w="920" w:type="dxa"/>
            <w:vAlign w:val="bottom"/>
          </w:tcPr>
          <w:p>
            <w:pPr>
              <w:jc w:val="right"/>
              <w:ind w:right="229"/>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68"/>
        </w:trPr>
        <w:tc>
          <w:tcPr>
            <w:tcW w:w="160" w:type="dxa"/>
            <w:vAlign w:val="bottom"/>
            <w:tcBorders>
              <w:bottom w:val="single" w:sz="8" w:color="auto"/>
            </w:tcBorders>
          </w:tcPr>
          <w:p>
            <w:pPr>
              <w:spacing w:after="0"/>
              <w:rPr>
                <w:sz w:val="5"/>
                <w:szCs w:val="5"/>
                <w:color w:val="auto"/>
              </w:rPr>
            </w:pPr>
          </w:p>
        </w:tc>
        <w:tc>
          <w:tcPr>
            <w:tcW w:w="71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160" w:type="dxa"/>
            <w:vAlign w:val="bottom"/>
            <w:shd w:val="clear" w:color="auto" w:fill="F7F7F7"/>
          </w:tcPr>
          <w:p>
            <w:pPr>
              <w:spacing w:after="0"/>
              <w:rPr>
                <w:sz w:val="24"/>
                <w:szCs w:val="24"/>
                <w:color w:val="auto"/>
              </w:rPr>
            </w:pPr>
          </w:p>
        </w:tc>
        <w:tc>
          <w:tcPr>
            <w:tcW w:w="7120" w:type="dxa"/>
            <w:vAlign w:val="bottom"/>
            <w:shd w:val="clear" w:color="auto" w:fill="F7F7F7"/>
          </w:tcPr>
          <w:p>
            <w:pPr>
              <w:spacing w:after="0"/>
              <w:rPr>
                <w:sz w:val="20"/>
                <w:szCs w:val="20"/>
                <w:color w:val="auto"/>
              </w:rPr>
            </w:pPr>
            <w:r>
              <w:rPr>
                <w:rFonts w:ascii="Arial" w:cs="Arial" w:eastAsia="Arial" w:hAnsi="Arial"/>
                <w:sz w:val="14"/>
                <w:szCs w:val="14"/>
                <w:color w:val="auto"/>
              </w:rPr>
              <w:t>Sherry House</w:t>
            </w:r>
          </w:p>
        </w:tc>
        <w:tc>
          <w:tcPr>
            <w:tcW w:w="1180" w:type="dxa"/>
            <w:vAlign w:val="bottom"/>
            <w:shd w:val="clear" w:color="auto" w:fill="F7F7F7"/>
          </w:tcPr>
          <w:p>
            <w:pPr>
              <w:jc w:val="right"/>
              <w:ind w:right="150"/>
              <w:spacing w:after="0"/>
              <w:rPr>
                <w:sz w:val="20"/>
                <w:szCs w:val="20"/>
                <w:color w:val="auto"/>
              </w:rPr>
            </w:pPr>
            <w:r>
              <w:rPr>
                <w:rFonts w:ascii="Arial" w:cs="Arial" w:eastAsia="Arial" w:hAnsi="Arial"/>
                <w:sz w:val="14"/>
                <w:szCs w:val="14"/>
                <w:color w:val="auto"/>
              </w:rPr>
              <w:t>—</w:t>
            </w:r>
          </w:p>
        </w:tc>
        <w:tc>
          <w:tcPr>
            <w:tcW w:w="920" w:type="dxa"/>
            <w:vAlign w:val="bottom"/>
            <w:shd w:val="clear" w:color="auto" w:fill="F7F7F7"/>
          </w:tcPr>
          <w:p>
            <w:pPr>
              <w:jc w:val="right"/>
              <w:ind w:right="3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160" w:type="dxa"/>
            <w:vAlign w:val="bottom"/>
            <w:tcBorders>
              <w:bottom w:val="single" w:sz="8" w:color="auto"/>
            </w:tcBorders>
            <w:shd w:val="clear" w:color="auto" w:fill="F7F7F7"/>
          </w:tcPr>
          <w:p>
            <w:pPr>
              <w:spacing w:after="0"/>
              <w:rPr>
                <w:sz w:val="6"/>
                <w:szCs w:val="6"/>
                <w:color w:val="auto"/>
              </w:rPr>
            </w:pPr>
          </w:p>
        </w:tc>
        <w:tc>
          <w:tcPr>
            <w:tcW w:w="7120" w:type="dxa"/>
            <w:vAlign w:val="bottom"/>
            <w:tcBorders>
              <w:bottom w:val="single" w:sz="8" w:color="auto"/>
            </w:tcBorders>
            <w:shd w:val="clear" w:color="auto" w:fill="F7F7F7"/>
          </w:tcPr>
          <w:p>
            <w:pPr>
              <w:spacing w:after="0"/>
              <w:rPr>
                <w:sz w:val="6"/>
                <w:szCs w:val="6"/>
                <w:color w:val="auto"/>
              </w:rPr>
            </w:pPr>
          </w:p>
        </w:tc>
        <w:tc>
          <w:tcPr>
            <w:tcW w:w="1180" w:type="dxa"/>
            <w:vAlign w:val="bottom"/>
            <w:tcBorders>
              <w:bottom w:val="single" w:sz="8" w:color="auto"/>
            </w:tcBorders>
            <w:shd w:val="clear" w:color="auto" w:fill="F7F7F7"/>
          </w:tcPr>
          <w:p>
            <w:pPr>
              <w:spacing w:after="0"/>
              <w:rPr>
                <w:sz w:val="6"/>
                <w:szCs w:val="6"/>
                <w:color w:val="auto"/>
              </w:rPr>
            </w:pPr>
          </w:p>
        </w:tc>
        <w:tc>
          <w:tcPr>
            <w:tcW w:w="920" w:type="dxa"/>
            <w:vAlign w:val="bottom"/>
            <w:tcBorders>
              <w:bottom w:val="single" w:sz="8" w:color="auto"/>
            </w:tcBorders>
            <w:shd w:val="clear" w:color="auto" w:fill="F7F7F7"/>
          </w:tcPr>
          <w:p>
            <w:pPr>
              <w:spacing w:after="0"/>
              <w:rPr>
                <w:sz w:val="6"/>
                <w:szCs w:val="6"/>
                <w:color w:val="auto"/>
              </w:rPr>
            </w:pPr>
          </w:p>
        </w:tc>
        <w:tc>
          <w:tcPr>
            <w:tcW w:w="0" w:type="dxa"/>
            <w:vAlign w:val="bottom"/>
          </w:tcPr>
          <w:p>
            <w:pPr>
              <w:spacing w:after="0"/>
              <w:rPr>
                <w:sz w:val="1"/>
                <w:szCs w:val="1"/>
                <w:color w:val="auto"/>
              </w:rPr>
            </w:pPr>
          </w:p>
        </w:tc>
      </w:tr>
      <w:tr>
        <w:trPr>
          <w:trHeight w:val="317"/>
        </w:trPr>
        <w:tc>
          <w:tcPr>
            <w:tcW w:w="160" w:type="dxa"/>
            <w:vAlign w:val="bottom"/>
          </w:tcPr>
          <w:p>
            <w:pPr>
              <w:spacing w:after="0"/>
              <w:rPr>
                <w:sz w:val="24"/>
                <w:szCs w:val="24"/>
                <w:color w:val="auto"/>
              </w:rPr>
            </w:pPr>
          </w:p>
        </w:tc>
        <w:tc>
          <w:tcPr>
            <w:tcW w:w="7120" w:type="dxa"/>
            <w:vAlign w:val="bottom"/>
          </w:tcPr>
          <w:p>
            <w:pPr>
              <w:spacing w:after="0"/>
              <w:rPr>
                <w:sz w:val="20"/>
                <w:szCs w:val="20"/>
                <w:color w:val="auto"/>
              </w:rPr>
            </w:pPr>
            <w:r>
              <w:rPr>
                <w:rFonts w:ascii="Arial" w:cs="Arial" w:eastAsia="Arial" w:hAnsi="Arial"/>
                <w:sz w:val="14"/>
                <w:szCs w:val="14"/>
                <w:color w:val="auto"/>
              </w:rPr>
              <w:t>Eric Bach</w:t>
            </w:r>
            <w:r>
              <w:rPr>
                <w:rFonts w:ascii="Arial" w:cs="Arial" w:eastAsia="Arial" w:hAnsi="Arial"/>
                <w:sz w:val="17"/>
                <w:szCs w:val="17"/>
                <w:color w:val="auto"/>
                <w:vertAlign w:val="superscript"/>
              </w:rPr>
              <w:t>(5)</w:t>
            </w:r>
          </w:p>
        </w:tc>
        <w:tc>
          <w:tcPr>
            <w:tcW w:w="1180" w:type="dxa"/>
            <w:vAlign w:val="bottom"/>
          </w:tcPr>
          <w:p>
            <w:pPr>
              <w:jc w:val="right"/>
              <w:ind w:right="150"/>
              <w:spacing w:after="0"/>
              <w:rPr>
                <w:sz w:val="20"/>
                <w:szCs w:val="20"/>
                <w:color w:val="auto"/>
              </w:rPr>
            </w:pPr>
            <w:r>
              <w:rPr>
                <w:rFonts w:ascii="Arial" w:cs="Arial" w:eastAsia="Arial" w:hAnsi="Arial"/>
                <w:sz w:val="14"/>
                <w:szCs w:val="14"/>
                <w:color w:val="auto"/>
              </w:rPr>
              <w:t>2,782,718</w:t>
            </w:r>
          </w:p>
        </w:tc>
        <w:tc>
          <w:tcPr>
            <w:tcW w:w="92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160" w:type="dxa"/>
            <w:vAlign w:val="bottom"/>
            <w:tcBorders>
              <w:bottom w:val="single" w:sz="8" w:color="auto"/>
            </w:tcBorders>
          </w:tcPr>
          <w:p>
            <w:pPr>
              <w:spacing w:after="0"/>
              <w:rPr>
                <w:sz w:val="5"/>
                <w:szCs w:val="5"/>
                <w:color w:val="auto"/>
              </w:rPr>
            </w:pPr>
          </w:p>
        </w:tc>
        <w:tc>
          <w:tcPr>
            <w:tcW w:w="71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160" w:type="dxa"/>
            <w:vAlign w:val="bottom"/>
            <w:shd w:val="clear" w:color="auto" w:fill="F7F7F7"/>
          </w:tcPr>
          <w:p>
            <w:pPr>
              <w:spacing w:after="0"/>
              <w:rPr>
                <w:sz w:val="24"/>
                <w:szCs w:val="24"/>
                <w:color w:val="auto"/>
              </w:rPr>
            </w:pPr>
          </w:p>
        </w:tc>
        <w:tc>
          <w:tcPr>
            <w:tcW w:w="7120" w:type="dxa"/>
            <w:vAlign w:val="bottom"/>
            <w:shd w:val="clear" w:color="auto" w:fill="F7F7F7"/>
          </w:tcPr>
          <w:p>
            <w:pPr>
              <w:spacing w:after="0"/>
              <w:rPr>
                <w:sz w:val="20"/>
                <w:szCs w:val="20"/>
                <w:color w:val="auto"/>
              </w:rPr>
            </w:pPr>
            <w:r>
              <w:rPr>
                <w:rFonts w:ascii="Arial" w:cs="Arial" w:eastAsia="Arial" w:hAnsi="Arial"/>
                <w:sz w:val="14"/>
                <w:szCs w:val="14"/>
                <w:color w:val="auto"/>
              </w:rPr>
              <w:t>Michael Bell</w:t>
            </w:r>
          </w:p>
        </w:tc>
        <w:tc>
          <w:tcPr>
            <w:tcW w:w="1180" w:type="dxa"/>
            <w:vAlign w:val="bottom"/>
            <w:shd w:val="clear" w:color="auto" w:fill="F7F7F7"/>
          </w:tcPr>
          <w:p>
            <w:pPr>
              <w:jc w:val="right"/>
              <w:ind w:right="150"/>
              <w:spacing w:after="0"/>
              <w:rPr>
                <w:sz w:val="20"/>
                <w:szCs w:val="20"/>
                <w:color w:val="auto"/>
              </w:rPr>
            </w:pPr>
            <w:r>
              <w:rPr>
                <w:rFonts w:ascii="Arial" w:cs="Arial" w:eastAsia="Arial" w:hAnsi="Arial"/>
                <w:sz w:val="14"/>
                <w:szCs w:val="14"/>
                <w:color w:val="auto"/>
              </w:rPr>
              <w:t>66,838</w:t>
            </w:r>
          </w:p>
        </w:tc>
        <w:tc>
          <w:tcPr>
            <w:tcW w:w="920" w:type="dxa"/>
            <w:vAlign w:val="bottom"/>
            <w:shd w:val="clear" w:color="auto" w:fill="F7F7F7"/>
          </w:tcPr>
          <w:p>
            <w:pPr>
              <w:jc w:val="right"/>
              <w:ind w:right="3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160" w:type="dxa"/>
            <w:vAlign w:val="bottom"/>
            <w:tcBorders>
              <w:bottom w:val="single" w:sz="8" w:color="auto"/>
            </w:tcBorders>
            <w:shd w:val="clear" w:color="auto" w:fill="F7F7F7"/>
          </w:tcPr>
          <w:p>
            <w:pPr>
              <w:spacing w:after="0"/>
              <w:rPr>
                <w:sz w:val="6"/>
                <w:szCs w:val="6"/>
                <w:color w:val="auto"/>
              </w:rPr>
            </w:pPr>
          </w:p>
        </w:tc>
        <w:tc>
          <w:tcPr>
            <w:tcW w:w="7120" w:type="dxa"/>
            <w:vAlign w:val="bottom"/>
            <w:tcBorders>
              <w:bottom w:val="single" w:sz="8" w:color="auto"/>
            </w:tcBorders>
            <w:shd w:val="clear" w:color="auto" w:fill="F7F7F7"/>
          </w:tcPr>
          <w:p>
            <w:pPr>
              <w:spacing w:after="0"/>
              <w:rPr>
                <w:sz w:val="6"/>
                <w:szCs w:val="6"/>
                <w:color w:val="auto"/>
              </w:rPr>
            </w:pPr>
          </w:p>
        </w:tc>
        <w:tc>
          <w:tcPr>
            <w:tcW w:w="1180" w:type="dxa"/>
            <w:vAlign w:val="bottom"/>
            <w:tcBorders>
              <w:bottom w:val="single" w:sz="8" w:color="auto"/>
            </w:tcBorders>
            <w:shd w:val="clear" w:color="auto" w:fill="F7F7F7"/>
          </w:tcPr>
          <w:p>
            <w:pPr>
              <w:spacing w:after="0"/>
              <w:rPr>
                <w:sz w:val="6"/>
                <w:szCs w:val="6"/>
                <w:color w:val="auto"/>
              </w:rPr>
            </w:pPr>
          </w:p>
        </w:tc>
        <w:tc>
          <w:tcPr>
            <w:tcW w:w="920" w:type="dxa"/>
            <w:vAlign w:val="bottom"/>
            <w:tcBorders>
              <w:bottom w:val="single" w:sz="8" w:color="auto"/>
            </w:tcBorders>
            <w:shd w:val="clear" w:color="auto" w:fill="F7F7F7"/>
          </w:tcPr>
          <w:p>
            <w:pPr>
              <w:spacing w:after="0"/>
              <w:rPr>
                <w:sz w:val="6"/>
                <w:szCs w:val="6"/>
                <w:color w:val="auto"/>
              </w:rPr>
            </w:pPr>
          </w:p>
        </w:tc>
        <w:tc>
          <w:tcPr>
            <w:tcW w:w="0" w:type="dxa"/>
            <w:vAlign w:val="bottom"/>
          </w:tcPr>
          <w:p>
            <w:pPr>
              <w:spacing w:after="0"/>
              <w:rPr>
                <w:sz w:val="1"/>
                <w:szCs w:val="1"/>
                <w:color w:val="auto"/>
              </w:rPr>
            </w:pPr>
          </w:p>
        </w:tc>
      </w:tr>
      <w:tr>
        <w:trPr>
          <w:trHeight w:val="317"/>
        </w:trPr>
        <w:tc>
          <w:tcPr>
            <w:tcW w:w="160" w:type="dxa"/>
            <w:vAlign w:val="bottom"/>
          </w:tcPr>
          <w:p>
            <w:pPr>
              <w:spacing w:after="0"/>
              <w:rPr>
                <w:sz w:val="24"/>
                <w:szCs w:val="24"/>
                <w:color w:val="auto"/>
              </w:rPr>
            </w:pPr>
          </w:p>
        </w:tc>
        <w:tc>
          <w:tcPr>
            <w:tcW w:w="7120" w:type="dxa"/>
            <w:vAlign w:val="bottom"/>
          </w:tcPr>
          <w:p>
            <w:pPr>
              <w:spacing w:after="0"/>
              <w:rPr>
                <w:sz w:val="20"/>
                <w:szCs w:val="20"/>
                <w:color w:val="auto"/>
              </w:rPr>
            </w:pPr>
            <w:r>
              <w:rPr>
                <w:rFonts w:ascii="Arial" w:cs="Arial" w:eastAsia="Arial" w:hAnsi="Arial"/>
                <w:sz w:val="14"/>
                <w:szCs w:val="14"/>
                <w:color w:val="auto"/>
              </w:rPr>
              <w:t>Turqi Alnowaiser</w:t>
            </w:r>
            <w:r>
              <w:rPr>
                <w:rFonts w:ascii="Arial" w:cs="Arial" w:eastAsia="Arial" w:hAnsi="Arial"/>
                <w:sz w:val="17"/>
                <w:szCs w:val="17"/>
                <w:color w:val="auto"/>
                <w:vertAlign w:val="superscript"/>
              </w:rPr>
              <w:t>(6)</w:t>
            </w:r>
          </w:p>
        </w:tc>
        <w:tc>
          <w:tcPr>
            <w:tcW w:w="1180" w:type="dxa"/>
            <w:vAlign w:val="bottom"/>
          </w:tcPr>
          <w:p>
            <w:pPr>
              <w:jc w:val="right"/>
              <w:ind w:right="150"/>
              <w:spacing w:after="0"/>
              <w:rPr>
                <w:sz w:val="20"/>
                <w:szCs w:val="20"/>
                <w:color w:val="auto"/>
              </w:rPr>
            </w:pPr>
            <w:r>
              <w:rPr>
                <w:rFonts w:ascii="Arial" w:cs="Arial" w:eastAsia="Arial" w:hAnsi="Arial"/>
                <w:sz w:val="14"/>
                <w:szCs w:val="14"/>
                <w:color w:val="auto"/>
              </w:rPr>
              <w:t>1,017,322,661</w:t>
            </w:r>
          </w:p>
        </w:tc>
        <w:tc>
          <w:tcPr>
            <w:tcW w:w="920" w:type="dxa"/>
            <w:vAlign w:val="bottom"/>
          </w:tcPr>
          <w:p>
            <w:pPr>
              <w:jc w:val="right"/>
              <w:ind w:right="229"/>
              <w:spacing w:after="0"/>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r>
        <w:trPr>
          <w:trHeight w:val="68"/>
        </w:trPr>
        <w:tc>
          <w:tcPr>
            <w:tcW w:w="160" w:type="dxa"/>
            <w:vAlign w:val="bottom"/>
            <w:tcBorders>
              <w:bottom w:val="single" w:sz="8" w:color="auto"/>
            </w:tcBorders>
          </w:tcPr>
          <w:p>
            <w:pPr>
              <w:spacing w:after="0"/>
              <w:rPr>
                <w:sz w:val="5"/>
                <w:szCs w:val="5"/>
                <w:color w:val="auto"/>
              </w:rPr>
            </w:pPr>
          </w:p>
        </w:tc>
        <w:tc>
          <w:tcPr>
            <w:tcW w:w="71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7"/>
        </w:trPr>
        <w:tc>
          <w:tcPr>
            <w:tcW w:w="160" w:type="dxa"/>
            <w:vAlign w:val="bottom"/>
            <w:shd w:val="clear" w:color="auto" w:fill="F7F7F7"/>
          </w:tcPr>
          <w:p>
            <w:pPr>
              <w:spacing w:after="0"/>
              <w:rPr>
                <w:sz w:val="24"/>
                <w:szCs w:val="24"/>
                <w:color w:val="auto"/>
              </w:rPr>
            </w:pPr>
          </w:p>
        </w:tc>
        <w:tc>
          <w:tcPr>
            <w:tcW w:w="7120" w:type="dxa"/>
            <w:vAlign w:val="bottom"/>
            <w:shd w:val="clear" w:color="auto" w:fill="F7F7F7"/>
          </w:tcPr>
          <w:p>
            <w:pPr>
              <w:spacing w:after="0"/>
              <w:rPr>
                <w:sz w:val="20"/>
                <w:szCs w:val="20"/>
                <w:color w:val="auto"/>
              </w:rPr>
            </w:pPr>
            <w:r>
              <w:rPr>
                <w:rFonts w:ascii="Arial" w:cs="Arial" w:eastAsia="Arial" w:hAnsi="Arial"/>
                <w:sz w:val="14"/>
                <w:szCs w:val="14"/>
                <w:color w:val="auto"/>
              </w:rPr>
              <w:t>Glenn R. August</w:t>
            </w:r>
            <w:r>
              <w:rPr>
                <w:rFonts w:ascii="Arial" w:cs="Arial" w:eastAsia="Arial" w:hAnsi="Arial"/>
                <w:sz w:val="17"/>
                <w:szCs w:val="17"/>
                <w:color w:val="auto"/>
                <w:vertAlign w:val="superscript"/>
              </w:rPr>
              <w:t>(7)</w:t>
            </w:r>
          </w:p>
        </w:tc>
        <w:tc>
          <w:tcPr>
            <w:tcW w:w="1180" w:type="dxa"/>
            <w:vAlign w:val="bottom"/>
            <w:shd w:val="clear" w:color="auto" w:fill="F7F7F7"/>
          </w:tcPr>
          <w:p>
            <w:pPr>
              <w:jc w:val="right"/>
              <w:ind w:right="150"/>
              <w:spacing w:after="0"/>
              <w:rPr>
                <w:sz w:val="20"/>
                <w:szCs w:val="20"/>
                <w:color w:val="auto"/>
              </w:rPr>
            </w:pPr>
            <w:r>
              <w:rPr>
                <w:rFonts w:ascii="Arial" w:cs="Arial" w:eastAsia="Arial" w:hAnsi="Arial"/>
                <w:sz w:val="14"/>
                <w:szCs w:val="14"/>
                <w:color w:val="auto"/>
              </w:rPr>
              <w:t>—</w:t>
            </w:r>
          </w:p>
        </w:tc>
        <w:tc>
          <w:tcPr>
            <w:tcW w:w="920" w:type="dxa"/>
            <w:vAlign w:val="bottom"/>
            <w:shd w:val="clear" w:color="auto" w:fill="F7F7F7"/>
          </w:tcPr>
          <w:p>
            <w:pPr>
              <w:jc w:val="right"/>
              <w:ind w:right="3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160" w:type="dxa"/>
            <w:vAlign w:val="bottom"/>
            <w:tcBorders>
              <w:bottom w:val="single" w:sz="8" w:color="auto"/>
            </w:tcBorders>
            <w:shd w:val="clear" w:color="auto" w:fill="F7F7F7"/>
          </w:tcPr>
          <w:p>
            <w:pPr>
              <w:spacing w:after="0"/>
              <w:rPr>
                <w:sz w:val="5"/>
                <w:szCs w:val="5"/>
                <w:color w:val="auto"/>
              </w:rPr>
            </w:pPr>
          </w:p>
        </w:tc>
        <w:tc>
          <w:tcPr>
            <w:tcW w:w="7120" w:type="dxa"/>
            <w:vAlign w:val="bottom"/>
            <w:tcBorders>
              <w:bottom w:val="single" w:sz="8" w:color="auto"/>
            </w:tcBorders>
            <w:shd w:val="clear" w:color="auto" w:fill="F7F7F7"/>
          </w:tcPr>
          <w:p>
            <w:pPr>
              <w:spacing w:after="0"/>
              <w:rPr>
                <w:sz w:val="5"/>
                <w:szCs w:val="5"/>
                <w:color w:val="auto"/>
              </w:rPr>
            </w:pPr>
          </w:p>
        </w:tc>
        <w:tc>
          <w:tcPr>
            <w:tcW w:w="1180" w:type="dxa"/>
            <w:vAlign w:val="bottom"/>
            <w:tcBorders>
              <w:bottom w:val="single" w:sz="8" w:color="auto"/>
            </w:tcBorders>
            <w:shd w:val="clear" w:color="auto" w:fill="F7F7F7"/>
          </w:tcPr>
          <w:p>
            <w:pPr>
              <w:spacing w:after="0"/>
              <w:rPr>
                <w:sz w:val="5"/>
                <w:szCs w:val="5"/>
                <w:color w:val="auto"/>
              </w:rPr>
            </w:pPr>
          </w:p>
        </w:tc>
        <w:tc>
          <w:tcPr>
            <w:tcW w:w="920" w:type="dxa"/>
            <w:vAlign w:val="bottom"/>
            <w:tcBorders>
              <w:bottom w:val="single" w:sz="8" w:color="auto"/>
            </w:tcBorders>
            <w:shd w:val="clear" w:color="auto" w:fill="F7F7F7"/>
          </w:tcPr>
          <w:p>
            <w:pPr>
              <w:spacing w:after="0"/>
              <w:rPr>
                <w:sz w:val="5"/>
                <w:szCs w:val="5"/>
                <w:color w:val="auto"/>
              </w:rPr>
            </w:pPr>
          </w:p>
        </w:tc>
        <w:tc>
          <w:tcPr>
            <w:tcW w:w="0" w:type="dxa"/>
            <w:vAlign w:val="bottom"/>
          </w:tcPr>
          <w:p>
            <w:pPr>
              <w:spacing w:after="0"/>
              <w:rPr>
                <w:sz w:val="1"/>
                <w:szCs w:val="1"/>
                <w:color w:val="auto"/>
              </w:rPr>
            </w:pPr>
          </w:p>
        </w:tc>
      </w:tr>
      <w:tr>
        <w:trPr>
          <w:trHeight w:val="317"/>
        </w:trPr>
        <w:tc>
          <w:tcPr>
            <w:tcW w:w="160" w:type="dxa"/>
            <w:vAlign w:val="bottom"/>
          </w:tcPr>
          <w:p>
            <w:pPr>
              <w:spacing w:after="0"/>
              <w:rPr>
                <w:sz w:val="24"/>
                <w:szCs w:val="24"/>
                <w:color w:val="auto"/>
              </w:rPr>
            </w:pPr>
          </w:p>
        </w:tc>
        <w:tc>
          <w:tcPr>
            <w:tcW w:w="7120" w:type="dxa"/>
            <w:vAlign w:val="bottom"/>
          </w:tcPr>
          <w:p>
            <w:pPr>
              <w:spacing w:after="0"/>
              <w:rPr>
                <w:sz w:val="20"/>
                <w:szCs w:val="20"/>
                <w:color w:val="auto"/>
              </w:rPr>
            </w:pPr>
            <w:r>
              <w:rPr>
                <w:rFonts w:ascii="Arial" w:cs="Arial" w:eastAsia="Arial" w:hAnsi="Arial"/>
                <w:sz w:val="14"/>
                <w:szCs w:val="14"/>
                <w:color w:val="auto"/>
              </w:rPr>
              <w:t>Nancy Gioia</w:t>
            </w:r>
            <w:r>
              <w:rPr>
                <w:rFonts w:ascii="Arial" w:cs="Arial" w:eastAsia="Arial" w:hAnsi="Arial"/>
                <w:sz w:val="17"/>
                <w:szCs w:val="17"/>
                <w:color w:val="auto"/>
                <w:vertAlign w:val="superscript"/>
              </w:rPr>
              <w:t>(7)</w:t>
            </w:r>
          </w:p>
        </w:tc>
        <w:tc>
          <w:tcPr>
            <w:tcW w:w="11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160" w:type="dxa"/>
            <w:vAlign w:val="bottom"/>
            <w:tcBorders>
              <w:bottom w:val="single" w:sz="8" w:color="auto"/>
            </w:tcBorders>
          </w:tcPr>
          <w:p>
            <w:pPr>
              <w:spacing w:after="0"/>
              <w:rPr>
                <w:sz w:val="5"/>
                <w:szCs w:val="5"/>
                <w:color w:val="auto"/>
              </w:rPr>
            </w:pPr>
          </w:p>
        </w:tc>
        <w:tc>
          <w:tcPr>
            <w:tcW w:w="71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160" w:type="dxa"/>
            <w:vAlign w:val="bottom"/>
            <w:shd w:val="clear" w:color="auto" w:fill="F7F7F7"/>
          </w:tcPr>
          <w:p>
            <w:pPr>
              <w:spacing w:after="0"/>
              <w:rPr>
                <w:sz w:val="24"/>
                <w:szCs w:val="24"/>
                <w:color w:val="auto"/>
              </w:rPr>
            </w:pPr>
          </w:p>
        </w:tc>
        <w:tc>
          <w:tcPr>
            <w:tcW w:w="7120" w:type="dxa"/>
            <w:vAlign w:val="bottom"/>
            <w:shd w:val="clear" w:color="auto" w:fill="F7F7F7"/>
          </w:tcPr>
          <w:p>
            <w:pPr>
              <w:spacing w:after="0"/>
              <w:rPr>
                <w:sz w:val="20"/>
                <w:szCs w:val="20"/>
                <w:color w:val="auto"/>
              </w:rPr>
            </w:pPr>
            <w:r>
              <w:rPr>
                <w:rFonts w:ascii="Arial" w:cs="Arial" w:eastAsia="Arial" w:hAnsi="Arial"/>
                <w:sz w:val="14"/>
                <w:szCs w:val="14"/>
                <w:color w:val="auto"/>
              </w:rPr>
              <w:t>Frank Lindenberg</w:t>
            </w:r>
          </w:p>
        </w:tc>
        <w:tc>
          <w:tcPr>
            <w:tcW w:w="1180" w:type="dxa"/>
            <w:vAlign w:val="bottom"/>
            <w:shd w:val="clear" w:color="auto" w:fill="F7F7F7"/>
          </w:tcPr>
          <w:p>
            <w:pPr>
              <w:jc w:val="right"/>
              <w:ind w:right="150"/>
              <w:spacing w:after="0"/>
              <w:rPr>
                <w:sz w:val="20"/>
                <w:szCs w:val="20"/>
                <w:color w:val="auto"/>
              </w:rPr>
            </w:pPr>
            <w:r>
              <w:rPr>
                <w:rFonts w:ascii="Arial" w:cs="Arial" w:eastAsia="Arial" w:hAnsi="Arial"/>
                <w:sz w:val="14"/>
                <w:szCs w:val="14"/>
                <w:color w:val="auto"/>
              </w:rPr>
              <w:t>—</w:t>
            </w:r>
          </w:p>
        </w:tc>
        <w:tc>
          <w:tcPr>
            <w:tcW w:w="920" w:type="dxa"/>
            <w:vAlign w:val="bottom"/>
            <w:shd w:val="clear" w:color="auto" w:fill="F7F7F7"/>
          </w:tcPr>
          <w:p>
            <w:pPr>
              <w:jc w:val="right"/>
              <w:ind w:right="3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160" w:type="dxa"/>
            <w:vAlign w:val="bottom"/>
            <w:tcBorders>
              <w:bottom w:val="single" w:sz="8" w:color="auto"/>
            </w:tcBorders>
            <w:shd w:val="clear" w:color="auto" w:fill="F7F7F7"/>
          </w:tcPr>
          <w:p>
            <w:pPr>
              <w:spacing w:after="0"/>
              <w:rPr>
                <w:sz w:val="6"/>
                <w:szCs w:val="6"/>
                <w:color w:val="auto"/>
              </w:rPr>
            </w:pPr>
          </w:p>
        </w:tc>
        <w:tc>
          <w:tcPr>
            <w:tcW w:w="7120" w:type="dxa"/>
            <w:vAlign w:val="bottom"/>
            <w:tcBorders>
              <w:bottom w:val="single" w:sz="8" w:color="auto"/>
            </w:tcBorders>
            <w:shd w:val="clear" w:color="auto" w:fill="F7F7F7"/>
          </w:tcPr>
          <w:p>
            <w:pPr>
              <w:spacing w:after="0"/>
              <w:rPr>
                <w:sz w:val="6"/>
                <w:szCs w:val="6"/>
                <w:color w:val="auto"/>
              </w:rPr>
            </w:pPr>
          </w:p>
        </w:tc>
        <w:tc>
          <w:tcPr>
            <w:tcW w:w="1180" w:type="dxa"/>
            <w:vAlign w:val="bottom"/>
            <w:tcBorders>
              <w:bottom w:val="single" w:sz="8" w:color="auto"/>
            </w:tcBorders>
            <w:shd w:val="clear" w:color="auto" w:fill="F7F7F7"/>
          </w:tcPr>
          <w:p>
            <w:pPr>
              <w:spacing w:after="0"/>
              <w:rPr>
                <w:sz w:val="6"/>
                <w:szCs w:val="6"/>
                <w:color w:val="auto"/>
              </w:rPr>
            </w:pPr>
          </w:p>
        </w:tc>
        <w:tc>
          <w:tcPr>
            <w:tcW w:w="920" w:type="dxa"/>
            <w:vAlign w:val="bottom"/>
            <w:tcBorders>
              <w:bottom w:val="single" w:sz="8" w:color="auto"/>
            </w:tcBorders>
            <w:shd w:val="clear" w:color="auto" w:fill="F7F7F7"/>
          </w:tcPr>
          <w:p>
            <w:pPr>
              <w:spacing w:after="0"/>
              <w:rPr>
                <w:sz w:val="6"/>
                <w:szCs w:val="6"/>
                <w:color w:val="auto"/>
              </w:rPr>
            </w:pPr>
          </w:p>
        </w:tc>
        <w:tc>
          <w:tcPr>
            <w:tcW w:w="0" w:type="dxa"/>
            <w:vAlign w:val="bottom"/>
          </w:tcPr>
          <w:p>
            <w:pPr>
              <w:spacing w:after="0"/>
              <w:rPr>
                <w:sz w:val="1"/>
                <w:szCs w:val="1"/>
                <w:color w:val="auto"/>
              </w:rPr>
            </w:pPr>
          </w:p>
        </w:tc>
      </w:tr>
      <w:tr>
        <w:trPr>
          <w:trHeight w:val="317"/>
        </w:trPr>
        <w:tc>
          <w:tcPr>
            <w:tcW w:w="160" w:type="dxa"/>
            <w:vAlign w:val="bottom"/>
          </w:tcPr>
          <w:p>
            <w:pPr>
              <w:spacing w:after="0"/>
              <w:rPr>
                <w:sz w:val="24"/>
                <w:szCs w:val="24"/>
                <w:color w:val="auto"/>
              </w:rPr>
            </w:pPr>
          </w:p>
        </w:tc>
        <w:tc>
          <w:tcPr>
            <w:tcW w:w="7120" w:type="dxa"/>
            <w:vAlign w:val="bottom"/>
          </w:tcPr>
          <w:p>
            <w:pPr>
              <w:spacing w:after="0"/>
              <w:rPr>
                <w:sz w:val="20"/>
                <w:szCs w:val="20"/>
                <w:color w:val="auto"/>
              </w:rPr>
            </w:pPr>
            <w:r>
              <w:rPr>
                <w:rFonts w:ascii="Arial" w:cs="Arial" w:eastAsia="Arial" w:hAnsi="Arial"/>
                <w:sz w:val="14"/>
                <w:szCs w:val="14"/>
                <w:color w:val="auto"/>
              </w:rPr>
              <w:t>Andrew Liveris</w:t>
            </w:r>
            <w:r>
              <w:rPr>
                <w:rFonts w:ascii="Arial" w:cs="Arial" w:eastAsia="Arial" w:hAnsi="Arial"/>
                <w:sz w:val="17"/>
                <w:szCs w:val="17"/>
                <w:color w:val="auto"/>
                <w:vertAlign w:val="superscript"/>
              </w:rPr>
              <w:t>(7)</w:t>
            </w:r>
          </w:p>
        </w:tc>
        <w:tc>
          <w:tcPr>
            <w:tcW w:w="1180" w:type="dxa"/>
            <w:vAlign w:val="bottom"/>
          </w:tcPr>
          <w:p>
            <w:pPr>
              <w:jc w:val="right"/>
              <w:ind w:right="150"/>
              <w:spacing w:after="0"/>
              <w:rPr>
                <w:sz w:val="20"/>
                <w:szCs w:val="20"/>
                <w:color w:val="auto"/>
              </w:rPr>
            </w:pPr>
            <w:r>
              <w:rPr>
                <w:rFonts w:ascii="Arial" w:cs="Arial" w:eastAsia="Arial" w:hAnsi="Arial"/>
                <w:sz w:val="14"/>
                <w:szCs w:val="14"/>
                <w:color w:val="auto"/>
              </w:rPr>
              <w:t>535,275</w:t>
            </w:r>
          </w:p>
        </w:tc>
        <w:tc>
          <w:tcPr>
            <w:tcW w:w="92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160" w:type="dxa"/>
            <w:vAlign w:val="bottom"/>
            <w:tcBorders>
              <w:bottom w:val="single" w:sz="8" w:color="auto"/>
            </w:tcBorders>
          </w:tcPr>
          <w:p>
            <w:pPr>
              <w:spacing w:after="0"/>
              <w:rPr>
                <w:sz w:val="5"/>
                <w:szCs w:val="5"/>
                <w:color w:val="auto"/>
              </w:rPr>
            </w:pPr>
          </w:p>
        </w:tc>
        <w:tc>
          <w:tcPr>
            <w:tcW w:w="71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160" w:type="dxa"/>
            <w:vAlign w:val="bottom"/>
            <w:shd w:val="clear" w:color="auto" w:fill="F7F7F7"/>
          </w:tcPr>
          <w:p>
            <w:pPr>
              <w:spacing w:after="0"/>
              <w:rPr>
                <w:sz w:val="24"/>
                <w:szCs w:val="24"/>
                <w:color w:val="auto"/>
              </w:rPr>
            </w:pPr>
          </w:p>
        </w:tc>
        <w:tc>
          <w:tcPr>
            <w:tcW w:w="7120" w:type="dxa"/>
            <w:vAlign w:val="bottom"/>
            <w:shd w:val="clear" w:color="auto" w:fill="F7F7F7"/>
          </w:tcPr>
          <w:p>
            <w:pPr>
              <w:spacing w:after="0"/>
              <w:rPr>
                <w:sz w:val="20"/>
                <w:szCs w:val="20"/>
                <w:color w:val="auto"/>
              </w:rPr>
            </w:pPr>
            <w:r>
              <w:rPr>
                <w:rFonts w:ascii="Arial" w:cs="Arial" w:eastAsia="Arial" w:hAnsi="Arial"/>
                <w:sz w:val="14"/>
                <w:szCs w:val="14"/>
                <w:color w:val="auto"/>
              </w:rPr>
              <w:t>Nichelle Maynard-Elliott</w:t>
            </w:r>
          </w:p>
        </w:tc>
        <w:tc>
          <w:tcPr>
            <w:tcW w:w="1180" w:type="dxa"/>
            <w:vAlign w:val="bottom"/>
            <w:shd w:val="clear" w:color="auto" w:fill="F7F7F7"/>
          </w:tcPr>
          <w:p>
            <w:pPr>
              <w:jc w:val="right"/>
              <w:ind w:right="150"/>
              <w:spacing w:after="0"/>
              <w:rPr>
                <w:sz w:val="20"/>
                <w:szCs w:val="20"/>
                <w:color w:val="auto"/>
              </w:rPr>
            </w:pPr>
            <w:r>
              <w:rPr>
                <w:rFonts w:ascii="Arial" w:cs="Arial" w:eastAsia="Arial" w:hAnsi="Arial"/>
                <w:sz w:val="14"/>
                <w:szCs w:val="14"/>
                <w:color w:val="auto"/>
              </w:rPr>
              <w:t>—</w:t>
            </w:r>
          </w:p>
        </w:tc>
        <w:tc>
          <w:tcPr>
            <w:tcW w:w="920" w:type="dxa"/>
            <w:vAlign w:val="bottom"/>
            <w:shd w:val="clear" w:color="auto" w:fill="F7F7F7"/>
          </w:tcPr>
          <w:p>
            <w:pPr>
              <w:jc w:val="right"/>
              <w:ind w:right="3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9"/>
        </w:trPr>
        <w:tc>
          <w:tcPr>
            <w:tcW w:w="160" w:type="dxa"/>
            <w:vAlign w:val="bottom"/>
            <w:tcBorders>
              <w:bottom w:val="single" w:sz="8" w:color="auto"/>
            </w:tcBorders>
            <w:shd w:val="clear" w:color="auto" w:fill="F7F7F7"/>
          </w:tcPr>
          <w:p>
            <w:pPr>
              <w:spacing w:after="0"/>
              <w:rPr>
                <w:sz w:val="6"/>
                <w:szCs w:val="6"/>
                <w:color w:val="auto"/>
              </w:rPr>
            </w:pPr>
          </w:p>
        </w:tc>
        <w:tc>
          <w:tcPr>
            <w:tcW w:w="7120" w:type="dxa"/>
            <w:vAlign w:val="bottom"/>
            <w:tcBorders>
              <w:bottom w:val="single" w:sz="8" w:color="auto"/>
            </w:tcBorders>
            <w:shd w:val="clear" w:color="auto" w:fill="F7F7F7"/>
          </w:tcPr>
          <w:p>
            <w:pPr>
              <w:spacing w:after="0"/>
              <w:rPr>
                <w:sz w:val="6"/>
                <w:szCs w:val="6"/>
                <w:color w:val="auto"/>
              </w:rPr>
            </w:pPr>
          </w:p>
        </w:tc>
        <w:tc>
          <w:tcPr>
            <w:tcW w:w="1180" w:type="dxa"/>
            <w:vAlign w:val="bottom"/>
            <w:tcBorders>
              <w:bottom w:val="single" w:sz="8" w:color="auto"/>
            </w:tcBorders>
            <w:shd w:val="clear" w:color="auto" w:fill="F7F7F7"/>
          </w:tcPr>
          <w:p>
            <w:pPr>
              <w:spacing w:after="0"/>
              <w:rPr>
                <w:sz w:val="6"/>
                <w:szCs w:val="6"/>
                <w:color w:val="auto"/>
              </w:rPr>
            </w:pPr>
          </w:p>
        </w:tc>
        <w:tc>
          <w:tcPr>
            <w:tcW w:w="920" w:type="dxa"/>
            <w:vAlign w:val="bottom"/>
            <w:tcBorders>
              <w:bottom w:val="single" w:sz="8" w:color="auto"/>
            </w:tcBorders>
            <w:shd w:val="clear" w:color="auto" w:fill="F7F7F7"/>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160" w:type="dxa"/>
            <w:vAlign w:val="bottom"/>
          </w:tcPr>
          <w:p>
            <w:pPr>
              <w:spacing w:after="0"/>
              <w:rPr>
                <w:sz w:val="24"/>
                <w:szCs w:val="24"/>
                <w:color w:val="auto"/>
              </w:rPr>
            </w:pPr>
          </w:p>
        </w:tc>
        <w:tc>
          <w:tcPr>
            <w:tcW w:w="7120" w:type="dxa"/>
            <w:vAlign w:val="bottom"/>
          </w:tcPr>
          <w:p>
            <w:pPr>
              <w:spacing w:after="0"/>
              <w:rPr>
                <w:sz w:val="20"/>
                <w:szCs w:val="20"/>
                <w:color w:val="auto"/>
              </w:rPr>
            </w:pPr>
            <w:r>
              <w:rPr>
                <w:rFonts w:ascii="Arial" w:cs="Arial" w:eastAsia="Arial" w:hAnsi="Arial"/>
                <w:sz w:val="14"/>
                <w:szCs w:val="14"/>
                <w:color w:val="auto"/>
              </w:rPr>
              <w:t>Tony Posawatz</w:t>
            </w:r>
          </w:p>
        </w:tc>
        <w:tc>
          <w:tcPr>
            <w:tcW w:w="1180" w:type="dxa"/>
            <w:vAlign w:val="bottom"/>
          </w:tcPr>
          <w:p>
            <w:pPr>
              <w:jc w:val="right"/>
              <w:ind w:right="150"/>
              <w:spacing w:after="0"/>
              <w:rPr>
                <w:sz w:val="20"/>
                <w:szCs w:val="20"/>
                <w:color w:val="auto"/>
              </w:rPr>
            </w:pPr>
            <w:r>
              <w:rPr>
                <w:rFonts w:ascii="Arial" w:cs="Arial" w:eastAsia="Arial" w:hAnsi="Arial"/>
                <w:sz w:val="14"/>
                <w:szCs w:val="14"/>
                <w:color w:val="auto"/>
              </w:rPr>
              <w:t>38,369</w:t>
            </w:r>
          </w:p>
        </w:tc>
        <w:tc>
          <w:tcPr>
            <w:tcW w:w="92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160" w:type="dxa"/>
            <w:vAlign w:val="bottom"/>
            <w:tcBorders>
              <w:bottom w:val="single" w:sz="8" w:color="auto"/>
            </w:tcBorders>
          </w:tcPr>
          <w:p>
            <w:pPr>
              <w:spacing w:after="0"/>
              <w:rPr>
                <w:sz w:val="6"/>
                <w:szCs w:val="6"/>
                <w:color w:val="auto"/>
              </w:rPr>
            </w:pPr>
          </w:p>
        </w:tc>
        <w:tc>
          <w:tcPr>
            <w:tcW w:w="71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160" w:type="dxa"/>
            <w:vAlign w:val="bottom"/>
            <w:shd w:val="clear" w:color="auto" w:fill="F7F7F7"/>
          </w:tcPr>
          <w:p>
            <w:pPr>
              <w:spacing w:after="0"/>
              <w:rPr>
                <w:sz w:val="24"/>
                <w:szCs w:val="24"/>
                <w:color w:val="auto"/>
              </w:rPr>
            </w:pPr>
          </w:p>
        </w:tc>
        <w:tc>
          <w:tcPr>
            <w:tcW w:w="7120" w:type="dxa"/>
            <w:vAlign w:val="bottom"/>
            <w:shd w:val="clear" w:color="auto" w:fill="F7F7F7"/>
          </w:tcPr>
          <w:p>
            <w:pPr>
              <w:spacing w:after="0"/>
              <w:rPr>
                <w:sz w:val="20"/>
                <w:szCs w:val="20"/>
                <w:color w:val="auto"/>
              </w:rPr>
            </w:pPr>
            <w:r>
              <w:rPr>
                <w:rFonts w:ascii="Arial" w:cs="Arial" w:eastAsia="Arial" w:hAnsi="Arial"/>
                <w:sz w:val="14"/>
                <w:szCs w:val="14"/>
                <w:color w:val="auto"/>
              </w:rPr>
              <w:t>Janet Wong</w:t>
            </w:r>
          </w:p>
        </w:tc>
        <w:tc>
          <w:tcPr>
            <w:tcW w:w="1180" w:type="dxa"/>
            <w:vAlign w:val="bottom"/>
            <w:shd w:val="clear" w:color="auto" w:fill="F7F7F7"/>
          </w:tcPr>
          <w:p>
            <w:pPr>
              <w:jc w:val="right"/>
              <w:ind w:right="150"/>
              <w:spacing w:after="0"/>
              <w:rPr>
                <w:sz w:val="20"/>
                <w:szCs w:val="20"/>
                <w:color w:val="auto"/>
              </w:rPr>
            </w:pPr>
            <w:r>
              <w:rPr>
                <w:rFonts w:ascii="Arial" w:cs="Arial" w:eastAsia="Arial" w:hAnsi="Arial"/>
                <w:sz w:val="14"/>
                <w:szCs w:val="14"/>
                <w:color w:val="auto"/>
              </w:rPr>
              <w:t>—</w:t>
            </w:r>
          </w:p>
        </w:tc>
        <w:tc>
          <w:tcPr>
            <w:tcW w:w="920" w:type="dxa"/>
            <w:vAlign w:val="bottom"/>
            <w:shd w:val="clear" w:color="auto" w:fill="F7F7F7"/>
          </w:tcPr>
          <w:p>
            <w:pPr>
              <w:jc w:val="right"/>
              <w:ind w:right="3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9"/>
        </w:trPr>
        <w:tc>
          <w:tcPr>
            <w:tcW w:w="160" w:type="dxa"/>
            <w:vAlign w:val="bottom"/>
            <w:tcBorders>
              <w:bottom w:val="single" w:sz="8" w:color="auto"/>
            </w:tcBorders>
            <w:shd w:val="clear" w:color="auto" w:fill="F7F7F7"/>
          </w:tcPr>
          <w:p>
            <w:pPr>
              <w:spacing w:after="0"/>
              <w:rPr>
                <w:sz w:val="6"/>
                <w:szCs w:val="6"/>
                <w:color w:val="auto"/>
              </w:rPr>
            </w:pPr>
          </w:p>
        </w:tc>
        <w:tc>
          <w:tcPr>
            <w:tcW w:w="7120" w:type="dxa"/>
            <w:vAlign w:val="bottom"/>
            <w:tcBorders>
              <w:bottom w:val="single" w:sz="8" w:color="auto"/>
            </w:tcBorders>
            <w:shd w:val="clear" w:color="auto" w:fill="F7F7F7"/>
          </w:tcPr>
          <w:p>
            <w:pPr>
              <w:spacing w:after="0"/>
              <w:rPr>
                <w:sz w:val="6"/>
                <w:szCs w:val="6"/>
                <w:color w:val="auto"/>
              </w:rPr>
            </w:pPr>
          </w:p>
        </w:tc>
        <w:tc>
          <w:tcPr>
            <w:tcW w:w="1180" w:type="dxa"/>
            <w:vAlign w:val="bottom"/>
            <w:tcBorders>
              <w:bottom w:val="single" w:sz="8" w:color="auto"/>
            </w:tcBorders>
            <w:shd w:val="clear" w:color="auto" w:fill="F7F7F7"/>
          </w:tcPr>
          <w:p>
            <w:pPr>
              <w:spacing w:after="0"/>
              <w:rPr>
                <w:sz w:val="6"/>
                <w:szCs w:val="6"/>
                <w:color w:val="auto"/>
              </w:rPr>
            </w:pPr>
          </w:p>
        </w:tc>
        <w:tc>
          <w:tcPr>
            <w:tcW w:w="920" w:type="dxa"/>
            <w:vAlign w:val="bottom"/>
            <w:tcBorders>
              <w:bottom w:val="single" w:sz="8" w:color="auto"/>
            </w:tcBorders>
            <w:shd w:val="clear" w:color="auto" w:fill="F7F7F7"/>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160" w:type="dxa"/>
            <w:vAlign w:val="bottom"/>
          </w:tcPr>
          <w:p>
            <w:pPr>
              <w:spacing w:after="0"/>
              <w:rPr>
                <w:sz w:val="24"/>
                <w:szCs w:val="24"/>
                <w:color w:val="auto"/>
              </w:rPr>
            </w:pPr>
          </w:p>
        </w:tc>
        <w:tc>
          <w:tcPr>
            <w:tcW w:w="7120" w:type="dxa"/>
            <w:vAlign w:val="bottom"/>
          </w:tcPr>
          <w:p>
            <w:pPr>
              <w:spacing w:after="0"/>
              <w:rPr>
                <w:sz w:val="20"/>
                <w:szCs w:val="20"/>
                <w:color w:val="auto"/>
              </w:rPr>
            </w:pPr>
            <w:r>
              <w:rPr>
                <w:rFonts w:ascii="Arial" w:cs="Arial" w:eastAsia="Arial" w:hAnsi="Arial"/>
                <w:sz w:val="14"/>
                <w:szCs w:val="14"/>
                <w:color w:val="auto"/>
              </w:rPr>
              <w:t>All executive officers and directors as a group (13 individuals)</w:t>
            </w:r>
          </w:p>
        </w:tc>
        <w:tc>
          <w:tcPr>
            <w:tcW w:w="1180" w:type="dxa"/>
            <w:vAlign w:val="bottom"/>
          </w:tcPr>
          <w:p>
            <w:pPr>
              <w:jc w:val="right"/>
              <w:ind w:right="150"/>
              <w:spacing w:after="0"/>
              <w:rPr>
                <w:sz w:val="20"/>
                <w:szCs w:val="20"/>
                <w:color w:val="auto"/>
              </w:rPr>
            </w:pPr>
            <w:r>
              <w:rPr>
                <w:rFonts w:ascii="Arial" w:cs="Arial" w:eastAsia="Arial" w:hAnsi="Arial"/>
                <w:sz w:val="14"/>
                <w:szCs w:val="14"/>
                <w:color w:val="auto"/>
              </w:rPr>
              <w:t>1,040,842,263</w:t>
            </w:r>
          </w:p>
        </w:tc>
        <w:tc>
          <w:tcPr>
            <w:tcW w:w="920" w:type="dxa"/>
            <w:vAlign w:val="bottom"/>
          </w:tcPr>
          <w:p>
            <w:pPr>
              <w:jc w:val="right"/>
              <w:ind w:right="229"/>
              <w:spacing w:after="0"/>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79"/>
        </w:trPr>
        <w:tc>
          <w:tcPr>
            <w:tcW w:w="160" w:type="dxa"/>
            <w:vAlign w:val="bottom"/>
            <w:tcBorders>
              <w:bottom w:val="single" w:sz="8" w:color="auto"/>
            </w:tcBorders>
          </w:tcPr>
          <w:p>
            <w:pPr>
              <w:spacing w:after="0"/>
              <w:rPr>
                <w:sz w:val="6"/>
                <w:szCs w:val="6"/>
                <w:color w:val="auto"/>
              </w:rPr>
            </w:pPr>
          </w:p>
        </w:tc>
        <w:tc>
          <w:tcPr>
            <w:tcW w:w="71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ind w:left="660"/>
        <w:spacing w:after="0"/>
        <w:rPr>
          <w:sz w:val="20"/>
          <w:szCs w:val="20"/>
          <w:color w:val="auto"/>
        </w:rPr>
      </w:pPr>
      <w:r>
        <w:rPr>
          <w:rFonts w:ascii="Arial" w:cs="Arial" w:eastAsia="Arial" w:hAnsi="Arial"/>
          <w:sz w:val="11"/>
          <w:szCs w:val="11"/>
          <w:color w:val="auto"/>
        </w:rPr>
        <w:t>*Less than 1%</w:t>
      </w:r>
    </w:p>
    <w:p>
      <w:pPr>
        <w:sectPr>
          <w:pgSz w:w="11900" w:h="16838" w:orient="portrait"/>
          <w:cols w:equalWidth="0" w:num="1">
            <w:col w:w="10040"/>
          </w:cols>
          <w:pgMar w:left="580" w:top="132" w:right="1279" w:bottom="1440" w:gutter="0" w:footer="0" w:header="0"/>
        </w:sectPr>
      </w:pPr>
    </w:p>
    <w:p>
      <w:pPr>
        <w:spacing w:after="0" w:line="395"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2"/>
          <w:szCs w:val="12"/>
          <w:b w:val="1"/>
          <w:bCs w:val="1"/>
          <w:color w:val="auto"/>
        </w:rPr>
        <w:t>66</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110490</wp:posOffset>
            </wp:positionV>
            <wp:extent cx="68319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type w:val="continuous"/>
        </w:sectPr>
      </w:pPr>
    </w:p>
    <w:bookmarkStart w:id="75" w:name="page76"/>
    <w:bookmarkEnd w:id="75"/>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80" w:hanging="126"/>
        <w:spacing w:after="0"/>
        <w:tabs>
          <w:tab w:leader="none" w:pos="780" w:val="left"/>
        </w:tabs>
        <w:numPr>
          <w:ilvl w:val="0"/>
          <w:numId w:val="49"/>
        </w:numPr>
        <w:rPr>
          <w:rFonts w:ascii="Arial" w:cs="Arial" w:eastAsia="Arial" w:hAnsi="Arial"/>
          <w:sz w:val="15"/>
          <w:szCs w:val="15"/>
          <w:color w:val="auto"/>
          <w:vertAlign w:val="superscript"/>
        </w:rPr>
      </w:pPr>
      <w:r>
        <w:rPr>
          <w:rFonts w:ascii="Arial" w:cs="Arial" w:eastAsia="Arial" w:hAnsi="Arial"/>
          <w:sz w:val="10"/>
          <w:szCs w:val="10"/>
          <w:color w:val="auto"/>
        </w:rPr>
        <w:t>Unless otherwise noted, the business address of each of the following entities or individuals is c/o Lucid Group, Inc., 7373 Gateway Blvd., Newark, CA 94560.</w:t>
      </w:r>
    </w:p>
    <w:p>
      <w:pPr>
        <w:spacing w:after="0" w:line="86" w:lineRule="exact"/>
        <w:rPr>
          <w:rFonts w:ascii="Arial" w:cs="Arial" w:eastAsia="Arial" w:hAnsi="Arial"/>
          <w:sz w:val="15"/>
          <w:szCs w:val="15"/>
          <w:color w:val="auto"/>
          <w:vertAlign w:val="superscript"/>
        </w:rPr>
      </w:pPr>
    </w:p>
    <w:p>
      <w:pPr>
        <w:ind w:left="780" w:right="40" w:hanging="126"/>
        <w:spacing w:after="0" w:line="233" w:lineRule="auto"/>
        <w:tabs>
          <w:tab w:leader="none" w:pos="780" w:val="left"/>
        </w:tabs>
        <w:numPr>
          <w:ilvl w:val="0"/>
          <w:numId w:val="49"/>
        </w:numPr>
        <w:rPr>
          <w:rFonts w:ascii="Arial" w:cs="Arial" w:eastAsia="Arial" w:hAnsi="Arial"/>
          <w:sz w:val="15"/>
          <w:szCs w:val="15"/>
          <w:color w:val="auto"/>
          <w:vertAlign w:val="superscript"/>
        </w:rPr>
      </w:pPr>
      <w:r>
        <w:rPr>
          <w:rFonts w:ascii="Arial" w:cs="Arial" w:eastAsia="Arial" w:hAnsi="Arial"/>
          <w:sz w:val="10"/>
          <w:szCs w:val="10"/>
          <w:color w:val="auto"/>
        </w:rPr>
        <w:t>Based on the Schedule 13G filed with the SEC on February 11, 2022 by the Sponsor. According to the Schedule 13G, the Sponsor has shared voting power and shared dispositive power over 96,100,000 shares of Common Stock. Interests shown consist of (i) 51,750,000 shares of Common Stock and (ii) 44,350,000 Private Placement Warrants (including 1,500,000 Working Capital Warrants) to purchase shares of Common Stock. Each warrant entitles the holder thereof to purchase one share of Common Stock at a price of $11.50 per share, subject to adjustment. Michael Klein is the sole stockholder of M. Klein Associates, Inc., which is the managing member of the Sponsor. The shares beneficially owned by the Sponsor may also be deemed to be beneficially owned by Mr. Klein. The business address for Mr. Klein is 640 Fifth Avenue, 12th Floor, New York, NY 10019.</w:t>
      </w:r>
    </w:p>
    <w:p>
      <w:pPr>
        <w:spacing w:after="0" w:line="101" w:lineRule="exact"/>
        <w:rPr>
          <w:rFonts w:ascii="Arial" w:cs="Arial" w:eastAsia="Arial" w:hAnsi="Arial"/>
          <w:sz w:val="15"/>
          <w:szCs w:val="15"/>
          <w:color w:val="auto"/>
          <w:vertAlign w:val="superscript"/>
        </w:rPr>
      </w:pPr>
    </w:p>
    <w:p>
      <w:pPr>
        <w:ind w:left="780" w:right="20" w:hanging="126"/>
        <w:spacing w:after="0" w:line="217" w:lineRule="auto"/>
        <w:tabs>
          <w:tab w:leader="none" w:pos="780" w:val="left"/>
        </w:tabs>
        <w:numPr>
          <w:ilvl w:val="0"/>
          <w:numId w:val="49"/>
        </w:numPr>
        <w:rPr>
          <w:rFonts w:ascii="Arial" w:cs="Arial" w:eastAsia="Arial" w:hAnsi="Arial"/>
          <w:sz w:val="15"/>
          <w:szCs w:val="15"/>
          <w:color w:val="auto"/>
          <w:vertAlign w:val="superscript"/>
        </w:rPr>
      </w:pPr>
      <w:r>
        <w:rPr>
          <w:rFonts w:ascii="Arial" w:cs="Arial" w:eastAsia="Arial" w:hAnsi="Arial"/>
          <w:sz w:val="10"/>
          <w:szCs w:val="10"/>
          <w:color w:val="auto"/>
        </w:rPr>
        <w:t>Based on the Schedule 13D filed with the SEC on July 23, 2021 by the Public Investment Fund of the Kingdom of Saudi Arabia (“PIF”). According to the Schedule 13D, PIF has sole voting power and sole dispositive power over 1,015,252,523 shares of Common Stock. Ayar is a wholly owned subsidiary of PIF. The Board of Directors of PIF, consisting of His Royal Highness Mohammad bin Salman Al-Saud (Chairman), H.E. Ibrahim Abdulaziz Al-Assaf, H.E. Mohammad Abdul Malek Al Shaikh, H.E. Khalid Abdulaziz Al-Falih, H.E. Dr. Majid Bin Abdullah Al Qasabi,</w:t>
      </w:r>
    </w:p>
    <w:p>
      <w:pPr>
        <w:ind w:left="780"/>
        <w:spacing w:after="0" w:line="233" w:lineRule="auto"/>
        <w:rPr>
          <w:rFonts w:ascii="Arial" w:cs="Arial" w:eastAsia="Arial" w:hAnsi="Arial"/>
          <w:sz w:val="15"/>
          <w:szCs w:val="15"/>
          <w:color w:val="auto"/>
          <w:vertAlign w:val="superscript"/>
        </w:rPr>
      </w:pPr>
      <w:r>
        <w:rPr>
          <w:rFonts w:ascii="Arial" w:cs="Arial" w:eastAsia="Arial" w:hAnsi="Arial"/>
          <w:sz w:val="11"/>
          <w:szCs w:val="11"/>
          <w:color w:val="auto"/>
        </w:rPr>
        <w:t>H.E. Mohammad Abdullah Al-Jadaan, H.E. Mohamed Mazyed Altwaijri, H.E. Ahmed Aqeel Al-Khateeb, and H.E. Yasir Othman Al-Rumayyan, has dispositive power over the shares held by Ayar by a majority of the votes of the Directors, with the Chairman having a casting vote. Each of the Board of Directors of PIF, H.E. Al-Rumayyan and Turqi Alnowaiser has shared voting power over the shares held by Ayar. Neither H.E. Al-Rumayyan, who is the Governor of PIF, nor Mr. Alnowaiser, who is Deputy Governor and Head of the International Investments Division of PIF, has a pecuniary interest in the shares held by Ayar, and each of H.E. Al-Rumayyan and Mr. Alnowaiser disclaims beneficial ownership of the shares held by Ayar. Interests shown do not include 4,604,595 shares of Common Stock held by H.E. Al-Rumayyan or 2,070,138 shares of Common Stock held by Mr. Alnowaiser. The business address for PIF and for H.E. Al-Rumayyan is Alr’idah Digital City, Building MU04, Al Nakhil District, P.O. Box 6847, Riyadh 11452, The Kingdom of Saudi Arabia.</w:t>
      </w:r>
    </w:p>
    <w:p>
      <w:pPr>
        <w:spacing w:after="0" w:line="86" w:lineRule="exact"/>
        <w:rPr>
          <w:rFonts w:ascii="Arial" w:cs="Arial" w:eastAsia="Arial" w:hAnsi="Arial"/>
          <w:sz w:val="15"/>
          <w:szCs w:val="15"/>
          <w:color w:val="auto"/>
          <w:vertAlign w:val="superscript"/>
        </w:rPr>
      </w:pPr>
    </w:p>
    <w:p>
      <w:pPr>
        <w:ind w:left="780" w:right="100" w:hanging="126"/>
        <w:spacing w:after="0" w:line="209" w:lineRule="auto"/>
        <w:tabs>
          <w:tab w:leader="none" w:pos="780" w:val="left"/>
        </w:tabs>
        <w:numPr>
          <w:ilvl w:val="0"/>
          <w:numId w:val="49"/>
        </w:numPr>
        <w:rPr>
          <w:rFonts w:ascii="Arial" w:cs="Arial" w:eastAsia="Arial" w:hAnsi="Arial"/>
          <w:sz w:val="15"/>
          <w:szCs w:val="15"/>
          <w:color w:val="auto"/>
          <w:vertAlign w:val="superscript"/>
        </w:rPr>
      </w:pPr>
      <w:r>
        <w:rPr>
          <w:rFonts w:ascii="Arial" w:cs="Arial" w:eastAsia="Arial" w:hAnsi="Arial"/>
          <w:sz w:val="10"/>
          <w:szCs w:val="10"/>
          <w:color w:val="auto"/>
        </w:rPr>
        <w:t>Interests shown consist of 7,981,825 shares of Common Stock and 12,181,415 shares of Common Stock subject to option awards that are currently exercisable or exercisable within 60 days of March 15, 2022.</w:t>
      </w:r>
    </w:p>
    <w:p>
      <w:pPr>
        <w:spacing w:after="0" w:line="87" w:lineRule="exact"/>
        <w:rPr>
          <w:rFonts w:ascii="Arial" w:cs="Arial" w:eastAsia="Arial" w:hAnsi="Arial"/>
          <w:sz w:val="15"/>
          <w:szCs w:val="15"/>
          <w:color w:val="auto"/>
          <w:vertAlign w:val="superscript"/>
        </w:rPr>
      </w:pPr>
    </w:p>
    <w:p>
      <w:pPr>
        <w:ind w:left="780" w:right="260" w:hanging="126"/>
        <w:spacing w:after="0" w:line="209" w:lineRule="auto"/>
        <w:tabs>
          <w:tab w:leader="none" w:pos="780" w:val="left"/>
        </w:tabs>
        <w:numPr>
          <w:ilvl w:val="0"/>
          <w:numId w:val="49"/>
        </w:numPr>
        <w:rPr>
          <w:rFonts w:ascii="Arial" w:cs="Arial" w:eastAsia="Arial" w:hAnsi="Arial"/>
          <w:sz w:val="15"/>
          <w:szCs w:val="15"/>
          <w:color w:val="auto"/>
          <w:vertAlign w:val="superscript"/>
        </w:rPr>
      </w:pPr>
      <w:r>
        <w:rPr>
          <w:rFonts w:ascii="Arial" w:cs="Arial" w:eastAsia="Arial" w:hAnsi="Arial"/>
          <w:sz w:val="10"/>
          <w:szCs w:val="10"/>
          <w:color w:val="auto"/>
        </w:rPr>
        <w:t>Interests shown consist of 977,620 shares of Common Stock and 1,805,098 shares of Common Stock subject to option awards that are currently exercisable or exercisable within 60 days of March 15, 2022.</w:t>
      </w:r>
    </w:p>
    <w:p>
      <w:pPr>
        <w:spacing w:after="0" w:line="100" w:lineRule="exact"/>
        <w:rPr>
          <w:rFonts w:ascii="Arial" w:cs="Arial" w:eastAsia="Arial" w:hAnsi="Arial"/>
          <w:sz w:val="15"/>
          <w:szCs w:val="15"/>
          <w:color w:val="auto"/>
          <w:vertAlign w:val="superscript"/>
        </w:rPr>
      </w:pPr>
    </w:p>
    <w:p>
      <w:pPr>
        <w:ind w:left="780" w:right="60" w:hanging="126"/>
        <w:spacing w:after="0" w:line="222" w:lineRule="auto"/>
        <w:tabs>
          <w:tab w:leader="none" w:pos="780" w:val="left"/>
        </w:tabs>
        <w:numPr>
          <w:ilvl w:val="0"/>
          <w:numId w:val="49"/>
        </w:numPr>
        <w:rPr>
          <w:rFonts w:ascii="Arial" w:cs="Arial" w:eastAsia="Arial" w:hAnsi="Arial"/>
          <w:sz w:val="15"/>
          <w:szCs w:val="15"/>
          <w:color w:val="auto"/>
          <w:vertAlign w:val="superscript"/>
        </w:rPr>
      </w:pPr>
      <w:r>
        <w:rPr>
          <w:rFonts w:ascii="Arial" w:cs="Arial" w:eastAsia="Arial" w:hAnsi="Arial"/>
          <w:sz w:val="10"/>
          <w:szCs w:val="10"/>
          <w:color w:val="auto"/>
        </w:rPr>
        <w:t>Interests shown consist of (i) 2,070,138 shares of Common Stock held by Mr. Alnowaiser and (ii) 1,015,252,523 shares of Common Stock held by Ayar. Mr. Alnowaiser, who is Deputy Governor and Head of the International Investments Division of PIF, has shared voting power with respect to the shares held by Ayar and has no pecuniary interest in and disclaims beneficial ownership of such shares. See note (3) above.</w:t>
      </w:r>
    </w:p>
    <w:p>
      <w:pPr>
        <w:spacing w:after="0" w:line="86" w:lineRule="exact"/>
        <w:rPr>
          <w:rFonts w:ascii="Arial" w:cs="Arial" w:eastAsia="Arial" w:hAnsi="Arial"/>
          <w:sz w:val="15"/>
          <w:szCs w:val="15"/>
          <w:color w:val="auto"/>
          <w:vertAlign w:val="superscript"/>
        </w:rPr>
      </w:pPr>
    </w:p>
    <w:p>
      <w:pPr>
        <w:ind w:left="780" w:right="100" w:hanging="126"/>
        <w:spacing w:after="0"/>
        <w:tabs>
          <w:tab w:leader="none" w:pos="780" w:val="left"/>
        </w:tabs>
        <w:numPr>
          <w:ilvl w:val="0"/>
          <w:numId w:val="49"/>
        </w:numPr>
        <w:rPr>
          <w:rFonts w:ascii="Arial" w:cs="Arial" w:eastAsia="Arial" w:hAnsi="Arial"/>
          <w:sz w:val="15"/>
          <w:szCs w:val="15"/>
          <w:color w:val="auto"/>
          <w:vertAlign w:val="superscript"/>
        </w:rPr>
      </w:pPr>
      <w:r>
        <w:rPr>
          <w:rFonts w:ascii="Arial" w:cs="Arial" w:eastAsia="Arial" w:hAnsi="Arial"/>
          <w:sz w:val="10"/>
          <w:szCs w:val="10"/>
          <w:color w:val="auto"/>
        </w:rPr>
        <w:t>Each of Nancy Gioia and Andrew Liveris has an economic interest in shares of Common Stock and Private Placement Warrants through his or her ownership of membership interests in the Sponsor, but Ms. Gioia does not beneficially own any Common Stock or warrants. In addition, Glenn R. August has an economic interest in the shares of Common Stock and Private Placement Warrants through his control and partial ownership of an entity, OHA Partner Global Co-Investment III, LLP, which owns membership interests in the Sponsor, but does not beneficially own any Common Stock or warrants.</w:t>
      </w:r>
    </w:p>
    <w:p>
      <w:pPr>
        <w:spacing w:after="0" w:line="318" w:lineRule="exact"/>
        <w:rPr>
          <w:sz w:val="20"/>
          <w:szCs w:val="20"/>
          <w:color w:val="auto"/>
        </w:rPr>
      </w:pPr>
    </w:p>
    <w:p>
      <w:pPr>
        <w:ind w:left="660" w:right="20"/>
        <w:spacing w:after="0" w:line="295" w:lineRule="auto"/>
        <w:rPr>
          <w:sz w:val="20"/>
          <w:szCs w:val="20"/>
          <w:color w:val="auto"/>
        </w:rPr>
      </w:pPr>
      <w:r>
        <w:rPr>
          <w:rFonts w:ascii="Arial" w:cs="Arial" w:eastAsia="Arial" w:hAnsi="Arial"/>
          <w:sz w:val="16"/>
          <w:szCs w:val="16"/>
          <w:color w:val="auto"/>
        </w:rPr>
        <w:t>The economic interest (or deemed economic interest) of these individuals and entity in shares of Common Stock and warrants held by the Sponsor is as shown below:</w:t>
      </w:r>
    </w:p>
    <w:p>
      <w:pPr>
        <w:spacing w:after="0" w:line="234" w:lineRule="exact"/>
        <w:rPr>
          <w:sz w:val="20"/>
          <w:szCs w:val="20"/>
          <w:color w:val="auto"/>
        </w:rPr>
      </w:pPr>
    </w:p>
    <w:tbl>
      <w:tblPr>
        <w:tblLayout w:type="fixed"/>
        <w:tblInd w:w="660" w:type="dxa"/>
        <w:tblCellMar>
          <w:top w:w="0" w:type="dxa"/>
          <w:left w:w="0" w:type="dxa"/>
          <w:bottom w:w="0" w:type="dxa"/>
          <w:right w:w="0" w:type="dxa"/>
        </w:tblCellMar>
      </w:tblPr>
      <w:tr>
        <w:trPr>
          <w:trHeight w:val="248"/>
        </w:trPr>
        <w:tc>
          <w:tcPr>
            <w:tcW w:w="5260" w:type="dxa"/>
            <w:vAlign w:val="bottom"/>
            <w:shd w:val="clear" w:color="auto" w:fill="000000"/>
          </w:tcPr>
          <w:p>
            <w:pPr>
              <w:spacing w:after="0"/>
              <w:rPr>
                <w:sz w:val="21"/>
                <w:szCs w:val="21"/>
                <w:color w:val="auto"/>
              </w:rPr>
            </w:pPr>
          </w:p>
        </w:tc>
        <w:tc>
          <w:tcPr>
            <w:tcW w:w="3140" w:type="dxa"/>
            <w:vAlign w:val="bottom"/>
            <w:shd w:val="clear" w:color="auto" w:fill="000000"/>
          </w:tcPr>
          <w:p>
            <w:pPr>
              <w:jc w:val="right"/>
              <w:ind w:right="152"/>
              <w:spacing w:after="0"/>
              <w:rPr>
                <w:sz w:val="20"/>
                <w:szCs w:val="20"/>
                <w:color w:val="auto"/>
              </w:rPr>
            </w:pPr>
            <w:r>
              <w:rPr>
                <w:rFonts w:ascii="Arial" w:cs="Arial" w:eastAsia="Arial" w:hAnsi="Arial"/>
                <w:sz w:val="13"/>
                <w:szCs w:val="13"/>
                <w:b w:val="1"/>
                <w:bCs w:val="1"/>
                <w:color w:val="FEFEFE"/>
              </w:rPr>
              <w:t>Common</w:t>
            </w:r>
          </w:p>
        </w:tc>
        <w:tc>
          <w:tcPr>
            <w:tcW w:w="980" w:type="dxa"/>
            <w:vAlign w:val="bottom"/>
            <w:shd w:val="clear" w:color="auto" w:fill="000000"/>
          </w:tcPr>
          <w:p>
            <w:pPr>
              <w:jc w:val="right"/>
              <w:ind w:right="210"/>
              <w:spacing w:after="0"/>
              <w:rPr>
                <w:sz w:val="20"/>
                <w:szCs w:val="20"/>
                <w:color w:val="auto"/>
              </w:rPr>
            </w:pPr>
            <w:r>
              <w:rPr>
                <w:rFonts w:ascii="Arial" w:cs="Arial" w:eastAsia="Arial" w:hAnsi="Arial"/>
                <w:sz w:val="13"/>
                <w:szCs w:val="13"/>
                <w:b w:val="1"/>
                <w:bCs w:val="1"/>
                <w:color w:val="FEFEFE"/>
              </w:rPr>
              <w:t>Warrants</w:t>
            </w:r>
          </w:p>
        </w:tc>
      </w:tr>
      <w:tr>
        <w:trPr>
          <w:trHeight w:val="168"/>
        </w:trPr>
        <w:tc>
          <w:tcPr>
            <w:tcW w:w="5260" w:type="dxa"/>
            <w:vAlign w:val="bottom"/>
            <w:shd w:val="clear" w:color="auto" w:fill="000000"/>
          </w:tcPr>
          <w:p>
            <w:pPr>
              <w:spacing w:after="0"/>
              <w:rPr>
                <w:sz w:val="14"/>
                <w:szCs w:val="14"/>
                <w:color w:val="auto"/>
              </w:rPr>
            </w:pPr>
          </w:p>
        </w:tc>
        <w:tc>
          <w:tcPr>
            <w:tcW w:w="3140" w:type="dxa"/>
            <w:vAlign w:val="bottom"/>
            <w:shd w:val="clear" w:color="auto" w:fill="000000"/>
          </w:tcPr>
          <w:p>
            <w:pPr>
              <w:jc w:val="right"/>
              <w:ind w:right="252"/>
              <w:spacing w:after="0"/>
              <w:rPr>
                <w:sz w:val="20"/>
                <w:szCs w:val="20"/>
                <w:color w:val="auto"/>
              </w:rPr>
            </w:pPr>
            <w:r>
              <w:rPr>
                <w:rFonts w:ascii="Arial" w:cs="Arial" w:eastAsia="Arial" w:hAnsi="Arial"/>
                <w:sz w:val="13"/>
                <w:szCs w:val="13"/>
                <w:b w:val="1"/>
                <w:bCs w:val="1"/>
                <w:color w:val="FEFEFE"/>
              </w:rPr>
              <w:t>Stock</w:t>
            </w:r>
          </w:p>
        </w:tc>
        <w:tc>
          <w:tcPr>
            <w:tcW w:w="980" w:type="dxa"/>
            <w:vAlign w:val="bottom"/>
            <w:shd w:val="clear" w:color="auto" w:fill="000000"/>
          </w:tcPr>
          <w:p>
            <w:pPr>
              <w:spacing w:after="0"/>
              <w:rPr>
                <w:sz w:val="14"/>
                <w:szCs w:val="14"/>
                <w:color w:val="auto"/>
              </w:rPr>
            </w:pPr>
          </w:p>
        </w:tc>
      </w:tr>
      <w:tr>
        <w:trPr>
          <w:trHeight w:val="124"/>
        </w:trPr>
        <w:tc>
          <w:tcPr>
            <w:tcW w:w="5260" w:type="dxa"/>
            <w:vAlign w:val="bottom"/>
            <w:shd w:val="clear" w:color="auto" w:fill="000000"/>
          </w:tcPr>
          <w:p>
            <w:pPr>
              <w:spacing w:after="0"/>
              <w:rPr>
                <w:sz w:val="10"/>
                <w:szCs w:val="10"/>
                <w:color w:val="auto"/>
              </w:rPr>
            </w:pPr>
          </w:p>
        </w:tc>
        <w:tc>
          <w:tcPr>
            <w:tcW w:w="3140" w:type="dxa"/>
            <w:vAlign w:val="bottom"/>
            <w:shd w:val="clear" w:color="auto" w:fill="000000"/>
          </w:tcPr>
          <w:p>
            <w:pPr>
              <w:spacing w:after="0"/>
              <w:rPr>
                <w:sz w:val="10"/>
                <w:szCs w:val="10"/>
                <w:color w:val="auto"/>
              </w:rPr>
            </w:pPr>
          </w:p>
        </w:tc>
        <w:tc>
          <w:tcPr>
            <w:tcW w:w="980" w:type="dxa"/>
            <w:vAlign w:val="bottom"/>
            <w:shd w:val="clear" w:color="auto" w:fill="000000"/>
          </w:tcPr>
          <w:p>
            <w:pPr>
              <w:spacing w:after="0"/>
              <w:rPr>
                <w:sz w:val="10"/>
                <w:szCs w:val="10"/>
                <w:color w:val="auto"/>
              </w:rPr>
            </w:pPr>
          </w:p>
        </w:tc>
      </w:tr>
      <w:tr>
        <w:trPr>
          <w:trHeight w:val="312"/>
        </w:trPr>
        <w:tc>
          <w:tcPr>
            <w:tcW w:w="5260" w:type="dxa"/>
            <w:vAlign w:val="bottom"/>
          </w:tcPr>
          <w:p>
            <w:pPr>
              <w:ind w:left="160"/>
              <w:spacing w:after="0"/>
              <w:rPr>
                <w:sz w:val="20"/>
                <w:szCs w:val="20"/>
                <w:color w:val="auto"/>
              </w:rPr>
            </w:pPr>
            <w:r>
              <w:rPr>
                <w:rFonts w:ascii="Arial" w:cs="Arial" w:eastAsia="Arial" w:hAnsi="Arial"/>
                <w:sz w:val="14"/>
                <w:szCs w:val="14"/>
                <w:color w:val="auto"/>
              </w:rPr>
              <w:t>Nancy Gioia</w:t>
            </w:r>
          </w:p>
        </w:tc>
        <w:tc>
          <w:tcPr>
            <w:tcW w:w="3140" w:type="dxa"/>
            <w:vAlign w:val="bottom"/>
          </w:tcPr>
          <w:p>
            <w:pPr>
              <w:jc w:val="right"/>
              <w:ind w:right="72"/>
              <w:spacing w:after="0"/>
              <w:rPr>
                <w:sz w:val="20"/>
                <w:szCs w:val="20"/>
                <w:color w:val="auto"/>
              </w:rPr>
            </w:pPr>
            <w:r>
              <w:rPr>
                <w:rFonts w:ascii="Arial" w:cs="Arial" w:eastAsia="Arial" w:hAnsi="Arial"/>
                <w:sz w:val="14"/>
                <w:szCs w:val="14"/>
                <w:color w:val="auto"/>
              </w:rPr>
              <w:t>125,000</w:t>
            </w:r>
          </w:p>
        </w:tc>
        <w:tc>
          <w:tcPr>
            <w:tcW w:w="980" w:type="dxa"/>
            <w:vAlign w:val="bottom"/>
          </w:tcPr>
          <w:p>
            <w:pPr>
              <w:jc w:val="right"/>
              <w:ind w:right="130"/>
              <w:spacing w:after="0"/>
              <w:rPr>
                <w:sz w:val="20"/>
                <w:szCs w:val="20"/>
                <w:color w:val="auto"/>
              </w:rPr>
            </w:pPr>
            <w:r>
              <w:rPr>
                <w:rFonts w:ascii="Arial" w:cs="Arial" w:eastAsia="Arial" w:hAnsi="Arial"/>
                <w:sz w:val="14"/>
                <w:szCs w:val="14"/>
                <w:color w:val="auto"/>
              </w:rPr>
              <w:t>0</w:t>
            </w:r>
          </w:p>
        </w:tc>
      </w:tr>
      <w:tr>
        <w:trPr>
          <w:trHeight w:val="93"/>
        </w:trPr>
        <w:tc>
          <w:tcPr>
            <w:tcW w:w="5260" w:type="dxa"/>
            <w:vAlign w:val="bottom"/>
            <w:tcBorders>
              <w:bottom w:val="single" w:sz="8" w:color="auto"/>
            </w:tcBorders>
          </w:tcPr>
          <w:p>
            <w:pPr>
              <w:spacing w:after="0"/>
              <w:rPr>
                <w:sz w:val="8"/>
                <w:szCs w:val="8"/>
                <w:color w:val="auto"/>
              </w:rPr>
            </w:pPr>
          </w:p>
        </w:tc>
        <w:tc>
          <w:tcPr>
            <w:tcW w:w="31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r>
      <w:tr>
        <w:trPr>
          <w:trHeight w:val="292"/>
        </w:trPr>
        <w:tc>
          <w:tcPr>
            <w:tcW w:w="5260" w:type="dxa"/>
            <w:vAlign w:val="bottom"/>
            <w:shd w:val="clear" w:color="auto" w:fill="F7F7F7"/>
          </w:tcPr>
          <w:p>
            <w:pPr>
              <w:ind w:left="160"/>
              <w:spacing w:after="0"/>
              <w:rPr>
                <w:sz w:val="20"/>
                <w:szCs w:val="20"/>
                <w:color w:val="auto"/>
              </w:rPr>
            </w:pPr>
            <w:r>
              <w:rPr>
                <w:rFonts w:ascii="Arial" w:cs="Arial" w:eastAsia="Arial" w:hAnsi="Arial"/>
                <w:sz w:val="14"/>
                <w:szCs w:val="14"/>
                <w:color w:val="auto"/>
              </w:rPr>
              <w:t>Andrew Liveris</w:t>
            </w:r>
          </w:p>
        </w:tc>
        <w:tc>
          <w:tcPr>
            <w:tcW w:w="3140" w:type="dxa"/>
            <w:vAlign w:val="bottom"/>
            <w:shd w:val="clear" w:color="auto" w:fill="F7F7F7"/>
          </w:tcPr>
          <w:p>
            <w:pPr>
              <w:jc w:val="right"/>
              <w:ind w:right="72"/>
              <w:spacing w:after="0"/>
              <w:rPr>
                <w:sz w:val="20"/>
                <w:szCs w:val="20"/>
                <w:color w:val="auto"/>
              </w:rPr>
            </w:pPr>
            <w:r>
              <w:rPr>
                <w:rFonts w:ascii="Arial" w:cs="Arial" w:eastAsia="Arial" w:hAnsi="Arial"/>
                <w:sz w:val="14"/>
                <w:szCs w:val="14"/>
                <w:color w:val="auto"/>
              </w:rPr>
              <w:t>400,000</w:t>
            </w:r>
          </w:p>
        </w:tc>
        <w:tc>
          <w:tcPr>
            <w:tcW w:w="980" w:type="dxa"/>
            <w:vAlign w:val="bottom"/>
            <w:shd w:val="clear" w:color="auto" w:fill="F7F7F7"/>
          </w:tcPr>
          <w:p>
            <w:pPr>
              <w:jc w:val="right"/>
              <w:ind w:right="130"/>
              <w:spacing w:after="0"/>
              <w:rPr>
                <w:sz w:val="20"/>
                <w:szCs w:val="20"/>
                <w:color w:val="auto"/>
              </w:rPr>
            </w:pPr>
            <w:r>
              <w:rPr>
                <w:rFonts w:ascii="Arial" w:cs="Arial" w:eastAsia="Arial" w:hAnsi="Arial"/>
                <w:sz w:val="14"/>
                <w:szCs w:val="14"/>
                <w:color w:val="auto"/>
              </w:rPr>
              <w:t>363,347</w:t>
            </w:r>
          </w:p>
        </w:tc>
      </w:tr>
      <w:tr>
        <w:trPr>
          <w:trHeight w:val="93"/>
        </w:trPr>
        <w:tc>
          <w:tcPr>
            <w:tcW w:w="5260" w:type="dxa"/>
            <w:vAlign w:val="bottom"/>
            <w:tcBorders>
              <w:bottom w:val="single" w:sz="8" w:color="auto"/>
            </w:tcBorders>
            <w:shd w:val="clear" w:color="auto" w:fill="F7F7F7"/>
          </w:tcPr>
          <w:p>
            <w:pPr>
              <w:spacing w:after="0"/>
              <w:rPr>
                <w:sz w:val="8"/>
                <w:szCs w:val="8"/>
                <w:color w:val="auto"/>
              </w:rPr>
            </w:pPr>
          </w:p>
        </w:tc>
        <w:tc>
          <w:tcPr>
            <w:tcW w:w="3140" w:type="dxa"/>
            <w:vAlign w:val="bottom"/>
            <w:tcBorders>
              <w:bottom w:val="single" w:sz="8" w:color="auto"/>
            </w:tcBorders>
            <w:shd w:val="clear" w:color="auto" w:fill="F7F7F7"/>
          </w:tcPr>
          <w:p>
            <w:pPr>
              <w:spacing w:after="0"/>
              <w:rPr>
                <w:sz w:val="8"/>
                <w:szCs w:val="8"/>
                <w:color w:val="auto"/>
              </w:rPr>
            </w:pPr>
          </w:p>
        </w:tc>
        <w:tc>
          <w:tcPr>
            <w:tcW w:w="980" w:type="dxa"/>
            <w:vAlign w:val="bottom"/>
            <w:tcBorders>
              <w:bottom w:val="single" w:sz="8" w:color="auto"/>
            </w:tcBorders>
            <w:shd w:val="clear" w:color="auto" w:fill="F7F7F7"/>
          </w:tcPr>
          <w:p>
            <w:pPr>
              <w:spacing w:after="0"/>
              <w:rPr>
                <w:sz w:val="8"/>
                <w:szCs w:val="8"/>
                <w:color w:val="auto"/>
              </w:rPr>
            </w:pPr>
          </w:p>
        </w:tc>
      </w:tr>
      <w:tr>
        <w:trPr>
          <w:trHeight w:val="292"/>
        </w:trPr>
        <w:tc>
          <w:tcPr>
            <w:tcW w:w="5260" w:type="dxa"/>
            <w:vAlign w:val="bottom"/>
          </w:tcPr>
          <w:p>
            <w:pPr>
              <w:ind w:left="160"/>
              <w:spacing w:after="0"/>
              <w:rPr>
                <w:sz w:val="20"/>
                <w:szCs w:val="20"/>
                <w:color w:val="auto"/>
              </w:rPr>
            </w:pPr>
            <w:r>
              <w:rPr>
                <w:rFonts w:ascii="Arial" w:cs="Arial" w:eastAsia="Arial" w:hAnsi="Arial"/>
                <w:sz w:val="14"/>
                <w:szCs w:val="14"/>
                <w:color w:val="auto"/>
              </w:rPr>
              <w:t>OHA Partner Global Co-Investment III, LLP</w:t>
            </w:r>
          </w:p>
        </w:tc>
        <w:tc>
          <w:tcPr>
            <w:tcW w:w="3140" w:type="dxa"/>
            <w:vAlign w:val="bottom"/>
          </w:tcPr>
          <w:p>
            <w:pPr>
              <w:jc w:val="right"/>
              <w:ind w:right="72"/>
              <w:spacing w:after="0"/>
              <w:rPr>
                <w:sz w:val="20"/>
                <w:szCs w:val="20"/>
                <w:color w:val="auto"/>
              </w:rPr>
            </w:pPr>
            <w:r>
              <w:rPr>
                <w:rFonts w:ascii="Arial" w:cs="Arial" w:eastAsia="Arial" w:hAnsi="Arial"/>
                <w:sz w:val="14"/>
                <w:szCs w:val="14"/>
                <w:color w:val="auto"/>
              </w:rPr>
              <w:t>7,000,000</w:t>
            </w:r>
          </w:p>
        </w:tc>
        <w:tc>
          <w:tcPr>
            <w:tcW w:w="980" w:type="dxa"/>
            <w:vAlign w:val="bottom"/>
          </w:tcPr>
          <w:p>
            <w:pPr>
              <w:jc w:val="right"/>
              <w:ind w:right="130"/>
              <w:spacing w:after="0"/>
              <w:rPr>
                <w:sz w:val="20"/>
                <w:szCs w:val="20"/>
                <w:color w:val="auto"/>
              </w:rPr>
            </w:pPr>
            <w:r>
              <w:rPr>
                <w:rFonts w:ascii="Arial" w:cs="Arial" w:eastAsia="Arial" w:hAnsi="Arial"/>
                <w:sz w:val="14"/>
                <w:szCs w:val="14"/>
                <w:color w:val="auto"/>
              </w:rPr>
              <w:t>6,858,569</w:t>
            </w:r>
          </w:p>
        </w:tc>
      </w:tr>
      <w:tr>
        <w:trPr>
          <w:trHeight w:val="93"/>
        </w:trPr>
        <w:tc>
          <w:tcPr>
            <w:tcW w:w="5260" w:type="dxa"/>
            <w:vAlign w:val="bottom"/>
            <w:tcBorders>
              <w:bottom w:val="single" w:sz="8" w:color="auto"/>
            </w:tcBorders>
          </w:tcPr>
          <w:p>
            <w:pPr>
              <w:spacing w:after="0"/>
              <w:rPr>
                <w:sz w:val="8"/>
                <w:szCs w:val="8"/>
                <w:color w:val="auto"/>
              </w:rPr>
            </w:pPr>
          </w:p>
        </w:tc>
        <w:tc>
          <w:tcPr>
            <w:tcW w:w="31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ectPr>
          <w:pgSz w:w="11900" w:h="16838" w:orient="portrait"/>
          <w:cols w:equalWidth="0" w:num="1">
            <w:col w:w="10040"/>
          </w:cols>
          <w:pgMar w:left="580" w:top="132"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60"/>
        <w:spacing w:after="0"/>
        <w:tabs>
          <w:tab w:leader="none" w:pos="9880" w:val="left"/>
        </w:tabs>
        <w:rPr>
          <w:sz w:val="20"/>
          <w:szCs w:val="20"/>
          <w:color w:val="auto"/>
        </w:rPr>
      </w:pPr>
      <w:r>
        <w:rPr>
          <w:rFonts w:ascii="Arial" w:cs="Arial" w:eastAsia="Arial" w:hAnsi="Arial"/>
          <w:sz w:val="13"/>
          <w:szCs w:val="13"/>
          <w:color w:val="auto"/>
        </w:rPr>
        <w:t>2022 Proxy Statement</w:t>
      </w:r>
      <w:r>
        <w:rPr>
          <w:sz w:val="20"/>
          <w:szCs w:val="20"/>
          <w:color w:val="auto"/>
        </w:rPr>
        <w:tab/>
      </w:r>
      <w:r>
        <w:rPr>
          <w:rFonts w:ascii="Arial" w:cs="Arial" w:eastAsia="Arial" w:hAnsi="Arial"/>
          <w:sz w:val="12"/>
          <w:szCs w:val="12"/>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2" w:right="1279" w:bottom="1440" w:gutter="0" w:footer="0" w:header="0"/>
          <w:type w:val="continuous"/>
        </w:sectPr>
      </w:pPr>
    </w:p>
    <w:bookmarkStart w:id="76" w:name="page77"/>
    <w:bookmarkEnd w:id="76"/>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36"/>
          <w:szCs w:val="36"/>
          <w:b w:val="1"/>
          <w:bCs w:val="1"/>
          <w:color w:val="auto"/>
        </w:rPr>
        <w:t>Certain Relationships and Related Party Transactions</w:t>
      </w:r>
    </w:p>
    <w:p>
      <w:pPr>
        <w:spacing w:after="0" w:line="396" w:lineRule="exact"/>
        <w:rPr>
          <w:sz w:val="20"/>
          <w:szCs w:val="20"/>
          <w:color w:val="auto"/>
        </w:rPr>
      </w:pPr>
    </w:p>
    <w:p>
      <w:pPr>
        <w:ind w:left="660" w:right="60"/>
        <w:spacing w:after="0" w:line="278" w:lineRule="auto"/>
        <w:rPr>
          <w:sz w:val="20"/>
          <w:szCs w:val="20"/>
          <w:color w:val="auto"/>
        </w:rPr>
      </w:pPr>
      <w:r>
        <w:rPr>
          <w:rFonts w:ascii="Arial" w:cs="Arial" w:eastAsia="Arial" w:hAnsi="Arial"/>
          <w:sz w:val="16"/>
          <w:szCs w:val="16"/>
          <w:color w:val="auto"/>
        </w:rPr>
        <w:t>We describe below transactions and series of similar transactions, since the beginning of our last fiscal year or currently proposed, to which we were a party or will be a party, in which:</w:t>
      </w:r>
    </w:p>
    <w:p>
      <w:pPr>
        <w:spacing w:after="0" w:line="127" w:lineRule="exact"/>
        <w:rPr>
          <w:sz w:val="20"/>
          <w:szCs w:val="20"/>
          <w:color w:val="auto"/>
        </w:rPr>
      </w:pPr>
    </w:p>
    <w:p>
      <w:pPr>
        <w:ind w:left="820" w:hanging="166"/>
        <w:spacing w:after="0"/>
        <w:tabs>
          <w:tab w:leader="none" w:pos="820" w:val="left"/>
        </w:tabs>
        <w:numPr>
          <w:ilvl w:val="0"/>
          <w:numId w:val="50"/>
        </w:numPr>
        <w:rPr>
          <w:rFonts w:ascii="Arial" w:cs="Arial" w:eastAsia="Arial" w:hAnsi="Arial"/>
          <w:sz w:val="16"/>
          <w:szCs w:val="16"/>
          <w:color w:val="886B25"/>
        </w:rPr>
      </w:pPr>
      <w:r>
        <w:rPr>
          <w:rFonts w:ascii="Arial" w:cs="Arial" w:eastAsia="Arial" w:hAnsi="Arial"/>
          <w:sz w:val="16"/>
          <w:szCs w:val="16"/>
          <w:color w:val="auto"/>
        </w:rPr>
        <w:t>the amounts involved exceeds $120,000; and</w:t>
      </w:r>
    </w:p>
    <w:p>
      <w:pPr>
        <w:spacing w:after="0" w:line="153" w:lineRule="exact"/>
        <w:rPr>
          <w:rFonts w:ascii="Arial" w:cs="Arial" w:eastAsia="Arial" w:hAnsi="Arial"/>
          <w:sz w:val="16"/>
          <w:szCs w:val="16"/>
          <w:color w:val="886B25"/>
        </w:rPr>
      </w:pPr>
    </w:p>
    <w:p>
      <w:pPr>
        <w:ind w:left="820" w:right="160" w:hanging="166"/>
        <w:spacing w:after="0" w:line="295" w:lineRule="auto"/>
        <w:tabs>
          <w:tab w:leader="none" w:pos="820" w:val="left"/>
        </w:tabs>
        <w:numPr>
          <w:ilvl w:val="0"/>
          <w:numId w:val="50"/>
        </w:numPr>
        <w:rPr>
          <w:rFonts w:ascii="Arial" w:cs="Arial" w:eastAsia="Arial" w:hAnsi="Arial"/>
          <w:sz w:val="16"/>
          <w:szCs w:val="16"/>
          <w:color w:val="886B25"/>
        </w:rPr>
      </w:pPr>
      <w:r>
        <w:rPr>
          <w:rFonts w:ascii="Arial" w:cs="Arial" w:eastAsia="Arial" w:hAnsi="Arial"/>
          <w:sz w:val="16"/>
          <w:szCs w:val="16"/>
          <w:color w:val="auto"/>
        </w:rPr>
        <w:t>any of our directors, executive officers or beneficial holders of more than 5% of any class of our capital stock had or will have a direct or indirect material interest.</w:t>
      </w:r>
    </w:p>
    <w:p>
      <w:pPr>
        <w:spacing w:after="0" w:line="182" w:lineRule="exact"/>
        <w:rPr>
          <w:sz w:val="20"/>
          <w:szCs w:val="20"/>
          <w:color w:val="auto"/>
        </w:rPr>
      </w:pPr>
    </w:p>
    <w:p>
      <w:pPr>
        <w:ind w:left="660" w:right="340"/>
        <w:spacing w:after="0" w:line="271" w:lineRule="auto"/>
        <w:rPr>
          <w:sz w:val="20"/>
          <w:szCs w:val="20"/>
          <w:color w:val="auto"/>
        </w:rPr>
      </w:pPr>
      <w:r>
        <w:rPr>
          <w:rFonts w:ascii="Arial" w:cs="Arial" w:eastAsia="Arial" w:hAnsi="Arial"/>
          <w:sz w:val="16"/>
          <w:szCs w:val="16"/>
          <w:color w:val="auto"/>
        </w:rPr>
        <w:t>Other than as described below, there have not been, nor are there any currently proposed, transactions or series of similar transactions meeting these criteria to which we have been or will be a party other than compensation arrangements, which are described where required under the sections titled “Director Compensation” and “Executive Compensation.”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Certain Relationships and Related Party Transactions of Churchill</w:t>
      </w:r>
    </w:p>
    <w:p>
      <w:pPr>
        <w:spacing w:after="0" w:line="36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Churchill IPO</w:t>
      </w:r>
    </w:p>
    <w:p>
      <w:pPr>
        <w:spacing w:after="0" w:line="192" w:lineRule="exact"/>
        <w:rPr>
          <w:sz w:val="20"/>
          <w:szCs w:val="20"/>
          <w:color w:val="auto"/>
        </w:rPr>
      </w:pPr>
    </w:p>
    <w:p>
      <w:pPr>
        <w:ind w:left="660" w:right="160"/>
        <w:spacing w:after="0" w:line="271" w:lineRule="auto"/>
        <w:rPr>
          <w:sz w:val="20"/>
          <w:szCs w:val="20"/>
          <w:color w:val="auto"/>
        </w:rPr>
      </w:pPr>
      <w:r>
        <w:rPr>
          <w:rFonts w:ascii="Arial" w:cs="Arial" w:eastAsia="Arial" w:hAnsi="Arial"/>
          <w:sz w:val="16"/>
          <w:szCs w:val="16"/>
          <w:color w:val="auto"/>
        </w:rPr>
        <w:t>In 2020, Churchill entered into an Administrative Services Agreement pursuant to which it paid an affiliate of its Sponsor a total of $50,000 per month for office space, administrative and support services. From and after July 1, 2021, Churchill ceased paying these monthly fees.</w:t>
      </w:r>
    </w:p>
    <w:p>
      <w:pPr>
        <w:spacing w:after="0" w:line="214" w:lineRule="exact"/>
        <w:rPr>
          <w:sz w:val="20"/>
          <w:szCs w:val="20"/>
          <w:color w:val="auto"/>
        </w:rPr>
      </w:pPr>
    </w:p>
    <w:p>
      <w:pPr>
        <w:jc w:val="both"/>
        <w:ind w:left="660" w:right="40"/>
        <w:spacing w:after="0" w:line="288" w:lineRule="auto"/>
        <w:rPr>
          <w:sz w:val="20"/>
          <w:szCs w:val="20"/>
          <w:color w:val="auto"/>
        </w:rPr>
      </w:pPr>
      <w:r>
        <w:rPr>
          <w:rFonts w:ascii="Arial" w:cs="Arial" w:eastAsia="Arial" w:hAnsi="Arial"/>
          <w:sz w:val="16"/>
          <w:szCs w:val="16"/>
          <w:color w:val="auto"/>
        </w:rPr>
        <w:t>The Churchill Sponsor, Churchill’s officers and directors and any of their respective affiliates were reimbursed for any out-of-pocket expenses incurred in connection with activities on Churchill’s behalf such as identifying potential target businesses and performing due diligence on suitable business combinations.</w:t>
      </w:r>
    </w:p>
    <w:p>
      <w:pPr>
        <w:spacing w:after="0" w:line="202" w:lineRule="exact"/>
        <w:rPr>
          <w:sz w:val="20"/>
          <w:szCs w:val="20"/>
          <w:color w:val="auto"/>
        </w:rPr>
      </w:pPr>
    </w:p>
    <w:p>
      <w:pPr>
        <w:ind w:left="660" w:right="120"/>
        <w:spacing w:after="0" w:line="286" w:lineRule="auto"/>
        <w:rPr>
          <w:sz w:val="20"/>
          <w:szCs w:val="20"/>
          <w:color w:val="auto"/>
        </w:rPr>
      </w:pPr>
      <w:r>
        <w:rPr>
          <w:rFonts w:ascii="Arial" w:cs="Arial" w:eastAsia="Arial" w:hAnsi="Arial"/>
          <w:sz w:val="16"/>
          <w:szCs w:val="16"/>
          <w:color w:val="auto"/>
        </w:rPr>
        <w:t>Churchill’s audit committee reviewed on a quarterly basis all payments that were made by Churchill to its Sponsor, officers, directors or its or any of their respective affiliates and determined which expenses and the amount of expenses that would be reimbursed. There was no cap or ceiling on the reimbursement of out-of-pocket expenses incurred by such persons in connection with activities on Churchill’s behalf.</w:t>
      </w:r>
    </w:p>
    <w:p>
      <w:pPr>
        <w:spacing w:after="0" w:line="203" w:lineRule="exact"/>
        <w:rPr>
          <w:sz w:val="20"/>
          <w:szCs w:val="20"/>
          <w:color w:val="auto"/>
        </w:rPr>
      </w:pPr>
    </w:p>
    <w:p>
      <w:pPr>
        <w:ind w:left="660" w:right="40"/>
        <w:spacing w:after="0" w:line="288" w:lineRule="auto"/>
        <w:rPr>
          <w:sz w:val="20"/>
          <w:szCs w:val="20"/>
          <w:color w:val="auto"/>
        </w:rPr>
      </w:pPr>
      <w:r>
        <w:rPr>
          <w:rFonts w:ascii="Arial" w:cs="Arial" w:eastAsia="Arial" w:hAnsi="Arial"/>
          <w:sz w:val="16"/>
          <w:szCs w:val="16"/>
          <w:color w:val="auto"/>
        </w:rPr>
        <w:t>Andrew Liveris is current Chairman of our Board, was the Chairman of Legacy Lucid’s board of directors and is an operating partner of the Churchill Sponsor. Mr. Liveris also has had an economic interest in shares of our Common Stock and the warrants issued to the Sponsor at the closing of the initial public offering of Churchill on August 3, 2020 (the “Churchill IPO”) in a simultaneous private placement (the “Private Placement Warrants”) through his ownership of membership interests in the Churchill Sponsor.</w:t>
      </w:r>
    </w:p>
    <w:p>
      <w:pPr>
        <w:spacing w:after="0" w:line="200" w:lineRule="exact"/>
        <w:rPr>
          <w:sz w:val="20"/>
          <w:szCs w:val="20"/>
          <w:color w:val="auto"/>
        </w:rPr>
      </w:pPr>
    </w:p>
    <w:p>
      <w:pPr>
        <w:spacing w:after="0" w:line="213" w:lineRule="exact"/>
        <w:rPr>
          <w:sz w:val="20"/>
          <w:szCs w:val="20"/>
          <w:color w:val="auto"/>
        </w:rPr>
      </w:pPr>
    </w:p>
    <w:p>
      <w:pPr>
        <w:ind w:left="660"/>
        <w:spacing w:after="0" w:line="284" w:lineRule="auto"/>
        <w:rPr>
          <w:sz w:val="20"/>
          <w:szCs w:val="20"/>
          <w:color w:val="auto"/>
        </w:rPr>
      </w:pPr>
      <w:r>
        <w:rPr>
          <w:rFonts w:ascii="Arial" w:cs="Arial" w:eastAsia="Arial" w:hAnsi="Arial"/>
          <w:sz w:val="16"/>
          <w:szCs w:val="16"/>
          <w:color w:val="auto"/>
        </w:rPr>
        <w:t>On February 22, 2021, Churchill issued a note in the principal amount of $1,500,000 to the Churchill Sponsor (the “Note”). The Note bore no interest and was repayable in full upon the closing of the transaction. In connection with the closing of the transaction, the Churchill Sponsor has elected to exercise its option to convert the unpaid balance of the Note of $1,500,000 into 1,500,000 warrants (the “Working Capital Warrants”). The terms of the Working Capital Warrant are identical to the terms of the Private Placement Warrants held by the Churchill Sponsor. The proceeds of the Note were used to fund expenses related to Churchill’s normal operating expenses and other transactional related expenses.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Sponsor Agreement</w:t>
      </w:r>
    </w:p>
    <w:p>
      <w:pPr>
        <w:spacing w:after="0" w:line="205" w:lineRule="exact"/>
        <w:rPr>
          <w:sz w:val="20"/>
          <w:szCs w:val="20"/>
          <w:color w:val="auto"/>
        </w:rPr>
      </w:pPr>
    </w:p>
    <w:p>
      <w:pPr>
        <w:ind w:left="660" w:right="40"/>
        <w:spacing w:after="0" w:line="285" w:lineRule="auto"/>
        <w:rPr>
          <w:sz w:val="20"/>
          <w:szCs w:val="20"/>
          <w:color w:val="auto"/>
        </w:rPr>
      </w:pPr>
      <w:r>
        <w:rPr>
          <w:rFonts w:ascii="Arial" w:cs="Arial" w:eastAsia="Arial" w:hAnsi="Arial"/>
          <w:sz w:val="16"/>
          <w:szCs w:val="16"/>
          <w:color w:val="auto"/>
        </w:rPr>
        <w:t>In connection with the execution of the Merger Agreement, the Churchill Sponsor and certain insiders entered into the Amended and Restated Sponsor Agreement, dated February 22, 2021 (the “Sponsor Agreement”) pursuant to which they agreed to comply with the provisions of the Merger Agreement applicable to such persons as well as the covenants set forth in the Sponsor Agreement, including voting all shares of common stock of Churchill beneficially owned by such persons in favor of the Merger and the other transactions contemplated by the Merger Agreement (the “Transactions”).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Subscription Agreements</w:t>
      </w:r>
    </w:p>
    <w:p>
      <w:pPr>
        <w:spacing w:after="0" w:line="205" w:lineRule="exact"/>
        <w:rPr>
          <w:sz w:val="20"/>
          <w:szCs w:val="20"/>
          <w:color w:val="auto"/>
        </w:rPr>
      </w:pPr>
    </w:p>
    <w:p>
      <w:pPr>
        <w:ind w:left="660" w:right="180"/>
        <w:spacing w:after="0" w:line="295" w:lineRule="auto"/>
        <w:rPr>
          <w:sz w:val="20"/>
          <w:szCs w:val="20"/>
          <w:color w:val="auto"/>
        </w:rPr>
      </w:pPr>
      <w:r>
        <w:rPr>
          <w:rFonts w:ascii="Arial" w:cs="Arial" w:eastAsia="Arial" w:hAnsi="Arial"/>
          <w:sz w:val="16"/>
          <w:szCs w:val="16"/>
          <w:color w:val="auto"/>
        </w:rPr>
        <w:t>In connection with the execution of the Merger Agreement, Churchill entered into common stock subscription agreements by and among Churchill, and the investor parties thereto (the “PIPE Investors”), in each case dated February 22, 2021 and entered</w:t>
      </w:r>
    </w:p>
    <w:p>
      <w:pPr>
        <w:sectPr>
          <w:pgSz w:w="11900" w:h="16838" w:orient="portrait"/>
          <w:cols w:equalWidth="0" w:num="1">
            <w:col w:w="10040"/>
          </w:cols>
          <w:pgMar w:left="580" w:top="131" w:right="1279" w:bottom="1440" w:gutter="0" w:footer="0" w:header="0"/>
        </w:sectPr>
      </w:pPr>
    </w:p>
    <w:p>
      <w:pPr>
        <w:spacing w:after="0" w:line="361"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2"/>
          <w:szCs w:val="12"/>
          <w:b w:val="1"/>
          <w:bCs w:val="1"/>
          <w:color w:val="auto"/>
        </w:rPr>
        <w:t>68</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110490</wp:posOffset>
            </wp:positionV>
            <wp:extent cx="68319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1" w:right="1279" w:bottom="1440" w:gutter="0" w:footer="0" w:header="0"/>
          <w:type w:val="continuous"/>
        </w:sectPr>
      </w:pPr>
    </w:p>
    <w:bookmarkStart w:id="77" w:name="page78"/>
    <w:bookmarkEnd w:id="77"/>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60" w:right="680"/>
        <w:spacing w:after="0" w:line="248" w:lineRule="auto"/>
        <w:rPr>
          <w:sz w:val="20"/>
          <w:szCs w:val="20"/>
          <w:color w:val="auto"/>
        </w:rPr>
      </w:pPr>
      <w:r>
        <w:rPr>
          <w:rFonts w:ascii="Arial" w:cs="Arial" w:eastAsia="Arial" w:hAnsi="Arial"/>
          <w:sz w:val="16"/>
          <w:szCs w:val="16"/>
          <w:color w:val="auto"/>
        </w:rPr>
        <w:t>into in connection with the PIPE Investment (as defined below) (the “PIPE Subscription Agreements”). Pursuant to the terms of the PIPE Subscription Agreements, Churchill agreed to issue and sell to the PIPE Investors, and the PIPE Investors agreed to buy, 166,666,667 shares of Common Stock at a purchase price of $15.00 per share for an aggregate commitment of $2,500,000,005 at the Closing of the Merger (the “PIPE Investment”). In connection with the PIPE Investment, Churchill entered into PIPE Subscription Agreements with Ayar, our majority stockholder; Aristeia Capital L.L.C., which previously beneficially owned greater than five percent of Churchill’s outstanding stock; and entities affiliated with Magnetar Financial LLC, which previously beneficially owned greater than five percent of Churchill’s outstanding stock. Pursuant to such PIPE Subscription Agreements, (i) Ayar subscribed for 13,333,333 shares of Common Stock for a commitment of $200.0 million, (ii) Aristeia subscribed for 666,667 shares of Common Stock for a commitment of $10.0 million, and (iii) entities affiliated with Magnetar subscribed for an aggregate of 10,000,000 shares of Common Stock for an aggregate commitment of $150.0 million.</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Investor Rights Agreement and Registration Rights</w:t>
      </w:r>
    </w:p>
    <w:p>
      <w:pPr>
        <w:spacing w:after="0" w:line="192" w:lineRule="exact"/>
        <w:rPr>
          <w:sz w:val="20"/>
          <w:szCs w:val="20"/>
          <w:color w:val="auto"/>
        </w:rPr>
      </w:pPr>
    </w:p>
    <w:p>
      <w:pPr>
        <w:ind w:left="660" w:right="700"/>
        <w:spacing w:after="0" w:line="248" w:lineRule="auto"/>
        <w:rPr>
          <w:sz w:val="20"/>
          <w:szCs w:val="20"/>
          <w:color w:val="auto"/>
        </w:rPr>
      </w:pPr>
      <w:r>
        <w:rPr>
          <w:rFonts w:ascii="Arial" w:cs="Arial" w:eastAsia="Arial" w:hAnsi="Arial"/>
          <w:sz w:val="16"/>
          <w:szCs w:val="16"/>
          <w:color w:val="auto"/>
        </w:rPr>
        <w:t>Churchill, the Churchill Sponsor, Ayar and certain other parties thereto entered into the Investor Rights Agreement, pursuant to which such stockholders are entitled to, among other things, certain registration rights, including demand, piggy-back and shelf registration rights, subject to cut-back provisions. We were also required to register additional shares of our Common Stock pursuant to the PIPE Subscription Agreements and the Warrant Agreement, dated July 29, 2020, entered into in connection with the Churchill IPO by and between Continental Stock Transfer &amp; Trust Company and Churchill (the “Warrant Agreement”). To satisfy these obligations, we registered up to 1,422,079,949 shares of Common Stock pursuant to a registration statement filed with the SEC on July 30, 2021, as amended on August 19, 2021. Certain parties to the Investor Rights Agreement, including the Churchill Sponsor and Ayar, have agreed not to sell, transfer, pledge or otherwise dispose of shares of Common Stock they hold or receive for certain time periods specified therein.</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Voting and Support Agreement</w:t>
      </w:r>
    </w:p>
    <w:p>
      <w:pPr>
        <w:spacing w:after="0" w:line="192" w:lineRule="exact"/>
        <w:rPr>
          <w:sz w:val="20"/>
          <w:szCs w:val="20"/>
          <w:color w:val="auto"/>
        </w:rPr>
      </w:pPr>
    </w:p>
    <w:p>
      <w:pPr>
        <w:ind w:left="660" w:right="720"/>
        <w:spacing w:after="0" w:line="266" w:lineRule="auto"/>
        <w:rPr>
          <w:sz w:val="20"/>
          <w:szCs w:val="20"/>
          <w:color w:val="auto"/>
        </w:rPr>
      </w:pPr>
      <w:r>
        <w:rPr>
          <w:rFonts w:ascii="Arial" w:cs="Arial" w:eastAsia="Arial" w:hAnsi="Arial"/>
          <w:sz w:val="16"/>
          <w:szCs w:val="16"/>
          <w:color w:val="auto"/>
        </w:rPr>
        <w:t>In connection with the Merger Agreement, on February 22, 2021, Churchill entered into a Voting and Support Agreement with Legacy Lucid and Ayar (the “Voting and Support Agreement”). Pursuant to the Voting and Support Agreement, Ayar agreed to vote all of its Legacy Lucid Shares, among other things, in favor of the adoption and approval of the Merger Agreement, the Transaction Agreements (as defined in the Merger Agreement) and the Transactions and in favor of the other matters set forth in the Merger Agreement, including the conversion of the Legacy Lucid Preferred Stock, par value $0.0001 per share, to Legacy Lucid Common Stock (the “Legacy Lucid Common Stock”), par value $0.0001 per share. The affirmative vote of the shares subject to the Voting and Support Agreement was sufficient to obtain the required approval by Legacy Lucid’s existing stockholders.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Certain Relationships and Related Person Transactions of Lucid and Legacy Lucid</w:t>
      </w:r>
    </w:p>
    <w:p>
      <w:pPr>
        <w:spacing w:after="0" w:line="37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Preferred Share and Convertible Note Financings</w:t>
      </w:r>
    </w:p>
    <w:p>
      <w:pPr>
        <w:spacing w:after="0" w:line="381" w:lineRule="exact"/>
        <w:rPr>
          <w:sz w:val="20"/>
          <w:szCs w:val="20"/>
          <w:color w:val="auto"/>
        </w:rPr>
      </w:pPr>
    </w:p>
    <w:p>
      <w:pPr>
        <w:ind w:left="660"/>
        <w:spacing w:after="0"/>
        <w:rPr>
          <w:sz w:val="20"/>
          <w:szCs w:val="20"/>
          <w:color w:val="auto"/>
        </w:rPr>
      </w:pPr>
      <w:r>
        <w:rPr>
          <w:rFonts w:ascii="Arial" w:cs="Arial" w:eastAsia="Arial" w:hAnsi="Arial"/>
          <w:sz w:val="16"/>
          <w:szCs w:val="16"/>
          <w:color w:val="886B25"/>
        </w:rPr>
        <w:t>Series E Financing</w:t>
      </w:r>
    </w:p>
    <w:p>
      <w:pPr>
        <w:spacing w:after="0" w:line="167" w:lineRule="exact"/>
        <w:rPr>
          <w:sz w:val="20"/>
          <w:szCs w:val="20"/>
          <w:color w:val="auto"/>
        </w:rPr>
      </w:pPr>
    </w:p>
    <w:p>
      <w:pPr>
        <w:ind w:left="660" w:right="820"/>
        <w:spacing w:after="0" w:line="267" w:lineRule="auto"/>
        <w:rPr>
          <w:sz w:val="20"/>
          <w:szCs w:val="20"/>
          <w:color w:val="auto"/>
        </w:rPr>
      </w:pPr>
      <w:r>
        <w:rPr>
          <w:rFonts w:ascii="Arial" w:cs="Arial" w:eastAsia="Arial" w:hAnsi="Arial"/>
          <w:sz w:val="16"/>
          <w:szCs w:val="16"/>
          <w:color w:val="auto"/>
        </w:rPr>
        <w:t>In September 2020, Legacy Lucid and Ayar entered into a preferred share purchase agreement (the “Series E Agreement”). Pursuant to the Series E Agreement, Legacy Lucid issued and sold Ayar an aggregate of 113,877,589 Legacy Lucid Series E Preferred Shares, par value $0.0001 per share, the (“Legacy Lucid Series E Preferred Shares”) in two closings in September and December 2020 at a purchase price of approximately $7.90 per share (the “Series E Price”) for aggregate cash consideration of approximately $900.0 million.</w:t>
      </w:r>
    </w:p>
    <w:p>
      <w:pPr>
        <w:spacing w:after="0" w:line="205" w:lineRule="exact"/>
        <w:rPr>
          <w:sz w:val="20"/>
          <w:szCs w:val="20"/>
          <w:color w:val="auto"/>
        </w:rPr>
      </w:pPr>
    </w:p>
    <w:p>
      <w:pPr>
        <w:jc w:val="both"/>
        <w:ind w:left="660" w:right="960"/>
        <w:spacing w:after="0" w:line="264" w:lineRule="auto"/>
        <w:rPr>
          <w:sz w:val="20"/>
          <w:szCs w:val="20"/>
          <w:color w:val="auto"/>
        </w:rPr>
      </w:pPr>
      <w:r>
        <w:rPr>
          <w:rFonts w:ascii="Arial" w:cs="Arial" w:eastAsia="Arial" w:hAnsi="Arial"/>
          <w:sz w:val="16"/>
          <w:szCs w:val="16"/>
          <w:color w:val="auto"/>
        </w:rPr>
        <w:t>In February 2021, Legacy Lucid and Ayar entered into an amendment to the Series E Agreement (the “Series E Amendment”), pursuant to which Legacy Lucid agreed to issue and sell an additional 75,918,392 Legacy Lucid Series E Preferred Shares (the “Extension Amount”) at the Series E Price for aggregate cash consideration of approximately $600.0 million to (i) Ayar and</w:t>
      </w:r>
    </w:p>
    <w:p>
      <w:pPr>
        <w:ind w:left="660" w:right="760" w:hanging="6"/>
        <w:spacing w:after="0" w:line="266" w:lineRule="auto"/>
        <w:tabs>
          <w:tab w:leader="none" w:pos="885" w:val="left"/>
        </w:tabs>
        <w:numPr>
          <w:ilvl w:val="0"/>
          <w:numId w:val="51"/>
        </w:numPr>
        <w:rPr>
          <w:rFonts w:ascii="Arial" w:cs="Arial" w:eastAsia="Arial" w:hAnsi="Arial"/>
          <w:sz w:val="16"/>
          <w:szCs w:val="16"/>
          <w:color w:val="auto"/>
        </w:rPr>
      </w:pPr>
      <w:r>
        <w:rPr>
          <w:rFonts w:ascii="Arial" w:cs="Arial" w:eastAsia="Arial" w:hAnsi="Arial"/>
          <w:sz w:val="16"/>
          <w:szCs w:val="16"/>
          <w:color w:val="auto"/>
        </w:rPr>
        <w:t>holders of Legacy Lucid’s preferred shares other than Ayar as of March 1, 2021 (collectively, “Eligible Holders”) that elect to participate in a rights offering, in each case based on their respective pro rata share of the Extension Amount. Eligible Holders received a right of over allocation to the extent the aggregate pro rata share for Eligible Holders was not taken up. Legacy Lucid was also granted discretion to offer Legacy Lucid Series E Preferred Shares to Legacy Lucid’s senior management employees, directors, consultants, advisors, contractors, and others, subject to compliance with applicable securities laws and Ayar’s approval as to the identity of such person and the number of shares offered (each, an “Additional Purchaser”). Ayar committed to purchase the entire Extension Amount to the extent not subscribed by Eligible Holders or Additional Purchasers.</w:t>
      </w:r>
    </w:p>
    <w:p>
      <w:pPr>
        <w:spacing w:after="0" w:line="206" w:lineRule="exact"/>
        <w:rPr>
          <w:sz w:val="20"/>
          <w:szCs w:val="20"/>
          <w:color w:val="auto"/>
        </w:rPr>
      </w:pPr>
    </w:p>
    <w:p>
      <w:pPr>
        <w:ind w:left="660" w:right="820"/>
        <w:spacing w:after="0" w:line="278" w:lineRule="auto"/>
        <w:rPr>
          <w:sz w:val="20"/>
          <w:szCs w:val="20"/>
          <w:color w:val="auto"/>
        </w:rPr>
      </w:pPr>
      <w:r>
        <w:rPr>
          <w:rFonts w:ascii="Arial" w:cs="Arial" w:eastAsia="Arial" w:hAnsi="Arial"/>
          <w:sz w:val="16"/>
          <w:szCs w:val="16"/>
          <w:color w:val="auto"/>
        </w:rPr>
        <w:t>Upon the execution of the Series E Amendment, Legacy Lucid issued and sold Ayar 50,612,262 Legacy Lucid Series E Preferred Shares at the Series E Price for cash consideration of approximately $400.0 million. In early April 2021, Legacy Lucid issued and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900" w:type="dxa"/>
            <w:vAlign w:val="bottom"/>
          </w:tcPr>
          <w:p>
            <w:pPr>
              <w:ind w:left="660"/>
              <w:spacing w:after="0"/>
              <w:rPr>
                <w:sz w:val="20"/>
                <w:szCs w:val="20"/>
                <w:color w:val="auto"/>
              </w:rPr>
            </w:pPr>
            <w:r>
              <w:rPr>
                <w:rFonts w:ascii="Arial" w:cs="Arial" w:eastAsia="Arial" w:hAnsi="Arial"/>
                <w:sz w:val="13"/>
                <w:szCs w:val="13"/>
                <w:color w:val="auto"/>
              </w:rPr>
              <w:t>2022 Proxy Statement</w:t>
            </w:r>
          </w:p>
        </w:tc>
        <w:tc>
          <w:tcPr>
            <w:tcW w:w="4820" w:type="dxa"/>
            <w:vAlign w:val="bottom"/>
          </w:tcPr>
          <w:p>
            <w:pPr>
              <w:jc w:val="right"/>
              <w:ind w:right="617"/>
              <w:spacing w:after="0"/>
              <w:rPr>
                <w:sz w:val="20"/>
                <w:szCs w:val="20"/>
                <w:color w:val="auto"/>
              </w:rPr>
            </w:pPr>
            <w:r>
              <w:rPr>
                <w:rFonts w:ascii="Arial" w:cs="Arial" w:eastAsia="Arial" w:hAnsi="Arial"/>
                <w:sz w:val="13"/>
                <w:szCs w:val="13"/>
                <w:b w:val="1"/>
                <w:bCs w:val="1"/>
                <w:color w:val="auto"/>
              </w:rPr>
              <w:t>69</w:t>
            </w:r>
          </w:p>
        </w:tc>
      </w:tr>
      <w:tr>
        <w:trPr>
          <w:trHeight w:val="171"/>
        </w:trPr>
        <w:tc>
          <w:tcPr>
            <w:tcW w:w="5900" w:type="dxa"/>
            <w:vAlign w:val="bottom"/>
            <w:tcBorders>
              <w:bottom w:val="single" w:sz="8" w:color="9A9A9A"/>
            </w:tcBorders>
          </w:tcPr>
          <w:p>
            <w:pPr>
              <w:spacing w:after="0"/>
              <w:rPr>
                <w:sz w:val="14"/>
                <w:szCs w:val="14"/>
                <w:color w:val="auto"/>
              </w:rPr>
            </w:pPr>
          </w:p>
        </w:tc>
        <w:tc>
          <w:tcPr>
            <w:tcW w:w="48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78" w:name="page79"/>
    <w:bookmarkEnd w:id="78"/>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60" w:right="60"/>
        <w:spacing w:after="0" w:line="265" w:lineRule="auto"/>
        <w:rPr>
          <w:sz w:val="20"/>
          <w:szCs w:val="20"/>
          <w:color w:val="auto"/>
        </w:rPr>
      </w:pPr>
      <w:r>
        <w:rPr>
          <w:rFonts w:ascii="Arial" w:cs="Arial" w:eastAsia="Arial" w:hAnsi="Arial"/>
          <w:sz w:val="16"/>
          <w:szCs w:val="16"/>
          <w:color w:val="auto"/>
        </w:rPr>
        <w:t>sold an additional 25,306,130 Legacy Lucid Series E Preferred Shares at the Series E Price for cash consideration of approximately $200.0 million as follows: (i) to Eligible Holders (not including Ayar) pursuant to a rights offering for an aggregate of 8,977,769 Legacy Lucid Series E Preferred Shares (representing such Eligible Holders’ aggregate pro rata share of the Extension Amount); (ii) to certain Additional Purchasers (comprised of directors, senior management of Lucid, and certain other individuals), an aggregate of 6,026,345 Legacy Lucid Series E Preferred Shares including 202,449 Legacy Lucid Series E Preferred Shares each to Andrew Liveris, Peter Rawlinson, and Xiaobing Chen (who was then serving as a director of Legacy Lucid), 1,741,526 Legacy Lucid Series E Preferred Shares to H.E. Yasir Othman Al-Rumayyan, 782,957 Legacy Lucid Series E Preferred Shares to Turqi Alnowaiser, 20,000 Legacy Lucid Series E Preferred Shares to Tony Posawatz, 221,428 Legacy Lucid Series E Preferred Shares to Eric Bach, 37,959 Legacy Lucid Series E Preferred Shares to Michael Bell and 45,000 Legacy Lucid Series E Preferred Shares to Michael Smuts; and (iii) to Ayar, an aggregate of 10,302,016 Legacy Lucid Series E Preferred Shares pursuant to Ayar’s commitment to purchase any Legacy Lucid Series E Preferred Shares not purchased by Eligible Holders or Additional Purchasers.</w:t>
      </w:r>
    </w:p>
    <w:p>
      <w:pPr>
        <w:spacing w:after="0" w:line="209" w:lineRule="exact"/>
        <w:rPr>
          <w:sz w:val="20"/>
          <w:szCs w:val="20"/>
          <w:color w:val="auto"/>
        </w:rPr>
      </w:pPr>
    </w:p>
    <w:p>
      <w:pPr>
        <w:ind w:left="660" w:right="580"/>
        <w:spacing w:after="0" w:line="278" w:lineRule="auto"/>
        <w:rPr>
          <w:sz w:val="20"/>
          <w:szCs w:val="20"/>
          <w:color w:val="auto"/>
        </w:rPr>
      </w:pPr>
      <w:r>
        <w:rPr>
          <w:rFonts w:ascii="Arial" w:cs="Arial" w:eastAsia="Arial" w:hAnsi="Arial"/>
          <w:sz w:val="16"/>
          <w:szCs w:val="16"/>
          <w:color w:val="auto"/>
        </w:rPr>
        <w:t>In connection with the Closing, each Legacy Lucid Series E Preferred Share automatically converted into one Legacy Lucid Common Share and was exchanged for the per share Merger Consideration.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Professional Services Contract</w:t>
      </w:r>
    </w:p>
    <w:p>
      <w:pPr>
        <w:spacing w:after="0" w:line="192" w:lineRule="exact"/>
        <w:rPr>
          <w:sz w:val="20"/>
          <w:szCs w:val="20"/>
          <w:color w:val="auto"/>
        </w:rPr>
      </w:pPr>
    </w:p>
    <w:p>
      <w:pPr>
        <w:ind w:left="660"/>
        <w:spacing w:after="0" w:line="268" w:lineRule="auto"/>
        <w:rPr>
          <w:sz w:val="20"/>
          <w:szCs w:val="20"/>
          <w:color w:val="auto"/>
        </w:rPr>
      </w:pPr>
      <w:r>
        <w:rPr>
          <w:rFonts w:ascii="Arial" w:cs="Arial" w:eastAsia="Arial" w:hAnsi="Arial"/>
          <w:sz w:val="16"/>
          <w:szCs w:val="16"/>
          <w:color w:val="auto"/>
        </w:rPr>
        <w:t>On July 14, 2021, a subsidiary of Legacy Lucid entered into a master services agreement with Emdad Al Khebrat Limited Company (“Emdad”), an entity wholly owned by PIF, the parent entity of Ayar. Pursuant to the agreement, Emdad provided direct hire and contractor staffing services to us. We have not made any payments under the agreement in 2021 but we expect to make payments of approximately $156,000 in 2022.</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Public Investment Fund Internship Agreement</w:t>
      </w:r>
    </w:p>
    <w:p>
      <w:pPr>
        <w:spacing w:after="0" w:line="192" w:lineRule="exact"/>
        <w:rPr>
          <w:sz w:val="20"/>
          <w:szCs w:val="20"/>
          <w:color w:val="auto"/>
        </w:rPr>
      </w:pPr>
    </w:p>
    <w:p>
      <w:pPr>
        <w:ind w:left="660" w:right="40"/>
        <w:spacing w:after="0" w:line="267" w:lineRule="auto"/>
        <w:rPr>
          <w:sz w:val="20"/>
          <w:szCs w:val="20"/>
          <w:color w:val="auto"/>
        </w:rPr>
      </w:pPr>
      <w:r>
        <w:rPr>
          <w:rFonts w:ascii="Arial" w:cs="Arial" w:eastAsia="Arial" w:hAnsi="Arial"/>
          <w:sz w:val="16"/>
          <w:szCs w:val="16"/>
          <w:color w:val="auto"/>
        </w:rPr>
        <w:t>On July 26, 2021, we entered into an agreement with PIF to implement a recruitment and talent development program pursuant to which we agreed to evaluate, employ and train participants nominated by PIF during six-month internships, and PIF agreed to reimburse us for expenses related to participant wages, visa fees, medical insurance, airfare and housing incurred by us. We did not receive any reimbursements from PIF in 2021 but we expect to be reimbursed by PIF in an aggregate amount of approximately $1.5 million in 2022.</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Series E Preferred Stock Repurchase Agreements</w:t>
      </w:r>
    </w:p>
    <w:p>
      <w:pPr>
        <w:spacing w:after="0" w:line="192" w:lineRule="exact"/>
        <w:rPr>
          <w:sz w:val="20"/>
          <w:szCs w:val="20"/>
          <w:color w:val="auto"/>
        </w:rPr>
      </w:pPr>
    </w:p>
    <w:p>
      <w:pPr>
        <w:ind w:left="660" w:right="120"/>
        <w:spacing w:after="0" w:line="266" w:lineRule="auto"/>
        <w:rPr>
          <w:sz w:val="20"/>
          <w:szCs w:val="20"/>
          <w:color w:val="auto"/>
        </w:rPr>
      </w:pPr>
      <w:r>
        <w:rPr>
          <w:rFonts w:ascii="Arial" w:cs="Arial" w:eastAsia="Arial" w:hAnsi="Arial"/>
          <w:sz w:val="16"/>
          <w:szCs w:val="16"/>
          <w:color w:val="auto"/>
        </w:rPr>
        <w:t>In October 2021, we repurchased an aggregate of 857,825 shares of our Common Stock from certain individuals (the “Individual Sellers”) who were directors and employees of Legacy Lucid (such transactions, the “Repurchases”). The repurchase price was $24.15 per share, which was equal to the average closing price of the Common Stock on Nasdaq for the three-trading day period ending on and including October 6, 2021, the second trading day prior to the date of the Repurchases. The Repurchases were effected solely to allow the Individual Sellers to satisfy certain tax obligations (including our tax withholding obligations) incurred in connection with such Individual Sellers’ purchase of shares of Series E Preferred Stock from Legacy Lucid on April 2, 2021. We applied the proceeds received from the repurchases to the applicable U.S. tax authorities to satisfy tax obligations. We are accounting for the repurchased shares as treasury stock.</w:t>
      </w:r>
    </w:p>
    <w:p>
      <w:pPr>
        <w:spacing w:after="0" w:line="205" w:lineRule="exact"/>
        <w:rPr>
          <w:sz w:val="20"/>
          <w:szCs w:val="20"/>
          <w:color w:val="auto"/>
        </w:rPr>
      </w:pPr>
    </w:p>
    <w:p>
      <w:pPr>
        <w:ind w:left="660" w:right="40"/>
        <w:spacing w:after="0" w:line="268" w:lineRule="auto"/>
        <w:rPr>
          <w:sz w:val="20"/>
          <w:szCs w:val="20"/>
          <w:color w:val="auto"/>
        </w:rPr>
      </w:pPr>
      <w:r>
        <w:rPr>
          <w:rFonts w:ascii="Arial" w:cs="Arial" w:eastAsia="Arial" w:hAnsi="Arial"/>
          <w:sz w:val="16"/>
          <w:szCs w:val="16"/>
          <w:color w:val="auto"/>
        </w:rPr>
        <w:t>The Individual Sellers included Peter Rawlinson, our director and Chief Executive Officer and Chief Technology Officer, from whom we repurchased 178,796 shares; Eric Bach, our Senior Vice President, Product and Chief Engineer, from whom we repurchased 195,557 shares; Michael Bell, our Senior Vice President, Digital, from whom we repurchased 33,526 shares; and Tony Posawatz, our director, from whom we repurchased 14,511 shares.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Financial Advisor</w:t>
      </w:r>
    </w:p>
    <w:p>
      <w:pPr>
        <w:spacing w:after="0" w:line="192" w:lineRule="exact"/>
        <w:rPr>
          <w:sz w:val="20"/>
          <w:szCs w:val="20"/>
          <w:color w:val="auto"/>
        </w:rPr>
      </w:pPr>
    </w:p>
    <w:p>
      <w:pPr>
        <w:ind w:left="660" w:right="140"/>
        <w:spacing w:after="0" w:line="266" w:lineRule="auto"/>
        <w:rPr>
          <w:sz w:val="20"/>
          <w:szCs w:val="20"/>
          <w:color w:val="auto"/>
        </w:rPr>
      </w:pPr>
      <w:r>
        <w:rPr>
          <w:rFonts w:ascii="Arial" w:cs="Arial" w:eastAsia="Arial" w:hAnsi="Arial"/>
          <w:sz w:val="16"/>
          <w:szCs w:val="16"/>
          <w:color w:val="auto"/>
        </w:rPr>
        <w:t>On December 2, 2021, we entered into an engagement letter with The Klein Group, LLC (the “Klein Group”), an affiliate of the Sponsor, pursuant to which we engaged the Klein Group for financial advisory services. Pursuant to the engagement letter, we agreed to pay the Klein Group a quarterly retainer fee of $300,000. In addition, if we conduct certain capital markets financings during the terms of the engagement, we agreed to pay the Klein Group a fee that is the lesser of (i) 50% of the total fees payable to the “lead left” investment bank engaged in connection with such financing or (ii) 15% of total fees paid in aggregate to the underwriting syndicate in connection with such financing. Pursuant to the engagement letter, we paid the Klein Group aggregate fees of approximately $2.3 million for the year ended 2021.</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KSA Manufacturing Facilities</w:t>
      </w:r>
    </w:p>
    <w:p>
      <w:pPr>
        <w:spacing w:after="0" w:line="192" w:lineRule="exact"/>
        <w:rPr>
          <w:sz w:val="20"/>
          <w:szCs w:val="20"/>
          <w:color w:val="auto"/>
        </w:rPr>
      </w:pPr>
    </w:p>
    <w:p>
      <w:pPr>
        <w:ind w:left="660" w:right="120"/>
        <w:spacing w:after="0" w:line="278" w:lineRule="auto"/>
        <w:rPr>
          <w:sz w:val="20"/>
          <w:szCs w:val="20"/>
          <w:color w:val="auto"/>
        </w:rPr>
      </w:pPr>
      <w:r>
        <w:rPr>
          <w:rFonts w:ascii="Arial" w:cs="Arial" w:eastAsia="Arial" w:hAnsi="Arial"/>
          <w:sz w:val="16"/>
          <w:szCs w:val="16"/>
          <w:color w:val="auto"/>
        </w:rPr>
        <w:t>On February 27, 2022, we announced that we selected King Abdullah Economic City (“KAEC”) in the Kingdom of Saudi Arabia as the location of our first international manufacturing plant and, through our subsidiary, entered into a development lease</w:t>
      </w:r>
    </w:p>
    <w:p>
      <w:pPr>
        <w:sectPr>
          <w:pgSz w:w="11900" w:h="16838" w:orient="portrait"/>
          <w:cols w:equalWidth="0" w:num="1">
            <w:col w:w="10040"/>
          </w:cols>
          <w:pgMar w:left="580" w:top="131" w:right="1279" w:bottom="1440" w:gutter="0" w:footer="0" w:header="0"/>
        </w:sectPr>
      </w:pPr>
    </w:p>
    <w:p>
      <w:pPr>
        <w:spacing w:after="0" w:line="373"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2"/>
          <w:szCs w:val="12"/>
          <w:b w:val="1"/>
          <w:bCs w:val="1"/>
          <w:color w:val="auto"/>
        </w:rPr>
        <w:t>70</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110490</wp:posOffset>
            </wp:positionV>
            <wp:extent cx="68319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1" w:right="1279" w:bottom="1440" w:gutter="0" w:footer="0" w:header="0"/>
          <w:type w:val="continuous"/>
        </w:sectPr>
      </w:pPr>
    </w:p>
    <w:bookmarkStart w:id="79" w:name="page80"/>
    <w:bookmarkEnd w:id="79"/>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60" w:right="240"/>
        <w:spacing w:after="0" w:line="295" w:lineRule="auto"/>
        <w:rPr>
          <w:sz w:val="20"/>
          <w:szCs w:val="20"/>
          <w:color w:val="auto"/>
        </w:rPr>
      </w:pPr>
      <w:r>
        <w:rPr>
          <w:rFonts w:ascii="Arial" w:cs="Arial" w:eastAsia="Arial" w:hAnsi="Arial"/>
          <w:sz w:val="16"/>
          <w:szCs w:val="16"/>
          <w:color w:val="auto"/>
        </w:rPr>
        <w:t>agreement with Emaar, The Economic City (“Emaar”) at KAEC. PIF, the parent entity of Ayar, owns a 25% interest in Emaar, the developer of KAEC. We expect to make payments under the agreement in the aggregate amount of approximately $30 million.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Other Transactions</w:t>
      </w:r>
    </w:p>
    <w:p>
      <w:pPr>
        <w:spacing w:after="0" w:line="205" w:lineRule="exact"/>
        <w:rPr>
          <w:sz w:val="20"/>
          <w:szCs w:val="20"/>
          <w:color w:val="auto"/>
        </w:rPr>
      </w:pPr>
    </w:p>
    <w:p>
      <w:pPr>
        <w:ind w:left="660" w:right="140"/>
        <w:spacing w:after="0" w:line="286" w:lineRule="auto"/>
        <w:rPr>
          <w:sz w:val="20"/>
          <w:szCs w:val="20"/>
          <w:color w:val="auto"/>
        </w:rPr>
      </w:pPr>
      <w:r>
        <w:rPr>
          <w:rFonts w:ascii="Arial" w:cs="Arial" w:eastAsia="Arial" w:hAnsi="Arial"/>
          <w:sz w:val="16"/>
          <w:szCs w:val="16"/>
          <w:color w:val="auto"/>
        </w:rPr>
        <w:t>From time to time, we purchase certain services and specialty goods from Novonix Battery Testing Services, Inc., a wholly owned subsidiary of Novonix Ltd. (“Novonix”), pursuant to standalone purchase orders. Nicholas Liveris, the Chief Financial Officer of Novonix, is the son of Andrew Liveris, the current Chairman of our Board and a member of the board of directors of Novonix. In 2021, we have made payments of approximately $122,000 in the aggregate to Novonix Battery Testing Services, Inc.</w:t>
      </w:r>
    </w:p>
    <w:p>
      <w:pPr>
        <w:spacing w:after="0" w:line="203" w:lineRule="exact"/>
        <w:rPr>
          <w:sz w:val="20"/>
          <w:szCs w:val="20"/>
          <w:color w:val="auto"/>
        </w:rPr>
      </w:pPr>
    </w:p>
    <w:p>
      <w:pPr>
        <w:ind w:left="660" w:right="100"/>
        <w:spacing w:after="0" w:line="288" w:lineRule="auto"/>
        <w:rPr>
          <w:sz w:val="20"/>
          <w:szCs w:val="20"/>
          <w:color w:val="auto"/>
        </w:rPr>
      </w:pPr>
      <w:r>
        <w:rPr>
          <w:rFonts w:ascii="Arial" w:cs="Arial" w:eastAsia="Arial" w:hAnsi="Arial"/>
          <w:sz w:val="16"/>
          <w:szCs w:val="16"/>
          <w:color w:val="auto"/>
        </w:rPr>
        <w:t>During fiscal year 2021 and the first quarter of 2022, Turqi Alnowaiser, Andrew Liveris, Glenn R. August and Eric Bach each purchased Lucid Air Dream Edition vehicles at prices ranging from approximately $181,000 to $186,000 (after taxes and fees). No such director or officer received a discount on the purchase price.</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Executive Officer and Director Compensation Arrangements</w:t>
      </w:r>
    </w:p>
    <w:p>
      <w:pPr>
        <w:spacing w:after="0" w:line="205" w:lineRule="exact"/>
        <w:rPr>
          <w:sz w:val="20"/>
          <w:szCs w:val="20"/>
          <w:color w:val="auto"/>
        </w:rPr>
      </w:pPr>
    </w:p>
    <w:p>
      <w:pPr>
        <w:jc w:val="both"/>
        <w:ind w:left="660" w:right="240"/>
        <w:spacing w:after="0" w:line="288" w:lineRule="auto"/>
        <w:rPr>
          <w:sz w:val="20"/>
          <w:szCs w:val="20"/>
          <w:color w:val="auto"/>
        </w:rPr>
      </w:pPr>
      <w:r>
        <w:rPr>
          <w:rFonts w:ascii="Arial" w:cs="Arial" w:eastAsia="Arial" w:hAnsi="Arial"/>
          <w:sz w:val="16"/>
          <w:szCs w:val="16"/>
          <w:color w:val="auto"/>
        </w:rPr>
        <w:t>See “Executive Compensation” for information regarding compensation arrangements with our executive officers and directors, which include, among other things, employment, termination of employment and change in control arrangements, stock awards, stock options and certain other benefits.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Director and Executive Officer Indemnification</w:t>
      </w:r>
    </w:p>
    <w:p>
      <w:pPr>
        <w:spacing w:after="0" w:line="205" w:lineRule="exact"/>
        <w:rPr>
          <w:sz w:val="20"/>
          <w:szCs w:val="20"/>
          <w:color w:val="auto"/>
        </w:rPr>
      </w:pPr>
    </w:p>
    <w:p>
      <w:pPr>
        <w:ind w:left="660"/>
        <w:spacing w:after="0" w:line="284" w:lineRule="auto"/>
        <w:rPr>
          <w:sz w:val="20"/>
          <w:szCs w:val="20"/>
          <w:color w:val="auto"/>
        </w:rPr>
      </w:pPr>
      <w:r>
        <w:rPr>
          <w:rFonts w:ascii="Arial" w:cs="Arial" w:eastAsia="Arial" w:hAnsi="Arial"/>
          <w:sz w:val="16"/>
          <w:szCs w:val="16"/>
          <w:color w:val="auto"/>
        </w:rPr>
        <w:t>Legacy Lucid’s memorandum and articles of association provided, and our current certificate of incorporation provides, for indemnification for directors and certain officers to the fullest extent permitted by law. Legacy Lucid previously entered and, in connection with the Closing, we entered, into indemnification agreements with each director and executive officer and certain other officers. Such agreements provide among other things, our officers and directors with contractual rights to indemnification, expense advancement and reimbursement, to the fullest extent permitted by law, including to the extent they serve at our request as directors, officers, employees or other agents of any other affiliated entity, to the fullest extent permitted by law.</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86B25"/>
        </w:rPr>
        <w:t>Policies and Procedures for Related Party Transactions</w:t>
      </w:r>
    </w:p>
    <w:p>
      <w:pPr>
        <w:spacing w:after="0" w:line="205" w:lineRule="exact"/>
        <w:rPr>
          <w:sz w:val="20"/>
          <w:szCs w:val="20"/>
          <w:color w:val="auto"/>
        </w:rPr>
      </w:pPr>
    </w:p>
    <w:p>
      <w:pPr>
        <w:ind w:left="660" w:right="80"/>
        <w:spacing w:after="0" w:line="286" w:lineRule="auto"/>
        <w:rPr>
          <w:sz w:val="20"/>
          <w:szCs w:val="20"/>
          <w:color w:val="auto"/>
        </w:rPr>
      </w:pPr>
      <w:r>
        <w:rPr>
          <w:rFonts w:ascii="Arial" w:cs="Arial" w:eastAsia="Arial" w:hAnsi="Arial"/>
          <w:sz w:val="16"/>
          <w:szCs w:val="16"/>
          <w:color w:val="auto"/>
        </w:rPr>
        <w:t>Our Board has adopted a written related person transaction policy that sets forth the following policies and procedures for the review and approval or ratification of related person transactions. A “related person transaction” is a transaction, arrangement or relationship in which we or any of our subsidiaries was, is or will be a participant, the amount of which involved exceeds $120,000, and in which any related person had, has or will have a direct or indirect material interest. A “related person” means:</w:t>
      </w:r>
    </w:p>
    <w:p>
      <w:pPr>
        <w:spacing w:after="0" w:line="122" w:lineRule="exact"/>
        <w:rPr>
          <w:sz w:val="20"/>
          <w:szCs w:val="20"/>
          <w:color w:val="auto"/>
        </w:rPr>
      </w:pPr>
    </w:p>
    <w:p>
      <w:pPr>
        <w:ind w:left="820" w:hanging="166"/>
        <w:spacing w:after="0"/>
        <w:tabs>
          <w:tab w:leader="none" w:pos="820" w:val="left"/>
        </w:tabs>
        <w:numPr>
          <w:ilvl w:val="0"/>
          <w:numId w:val="52"/>
        </w:numPr>
        <w:rPr>
          <w:rFonts w:ascii="Arial" w:cs="Arial" w:eastAsia="Arial" w:hAnsi="Arial"/>
          <w:sz w:val="16"/>
          <w:szCs w:val="16"/>
          <w:color w:val="886B25"/>
        </w:rPr>
      </w:pPr>
      <w:r>
        <w:rPr>
          <w:rFonts w:ascii="Arial" w:cs="Arial" w:eastAsia="Arial" w:hAnsi="Arial"/>
          <w:sz w:val="16"/>
          <w:szCs w:val="16"/>
          <w:color w:val="auto"/>
        </w:rPr>
        <w:t>any person who is, or at any time during the applicable period was, one of our executive officers or directors;</w:t>
      </w:r>
    </w:p>
    <w:p>
      <w:pPr>
        <w:spacing w:after="0" w:line="167" w:lineRule="exact"/>
        <w:rPr>
          <w:rFonts w:ascii="Arial" w:cs="Arial" w:eastAsia="Arial" w:hAnsi="Arial"/>
          <w:sz w:val="16"/>
          <w:szCs w:val="16"/>
          <w:color w:val="886B25"/>
        </w:rPr>
      </w:pPr>
    </w:p>
    <w:p>
      <w:pPr>
        <w:ind w:left="820" w:hanging="166"/>
        <w:spacing w:after="0"/>
        <w:tabs>
          <w:tab w:leader="none" w:pos="820" w:val="left"/>
        </w:tabs>
        <w:numPr>
          <w:ilvl w:val="0"/>
          <w:numId w:val="52"/>
        </w:numPr>
        <w:rPr>
          <w:rFonts w:ascii="Arial" w:cs="Arial" w:eastAsia="Arial" w:hAnsi="Arial"/>
          <w:sz w:val="16"/>
          <w:szCs w:val="16"/>
          <w:color w:val="886B25"/>
        </w:rPr>
      </w:pPr>
      <w:r>
        <w:rPr>
          <w:rFonts w:ascii="Arial" w:cs="Arial" w:eastAsia="Arial" w:hAnsi="Arial"/>
          <w:sz w:val="16"/>
          <w:szCs w:val="16"/>
          <w:color w:val="auto"/>
        </w:rPr>
        <w:t>any person who is known by us to be the beneficial owner of more than 5% of our voting stock;</w:t>
      </w:r>
    </w:p>
    <w:p>
      <w:pPr>
        <w:spacing w:after="0" w:line="167" w:lineRule="exact"/>
        <w:rPr>
          <w:rFonts w:ascii="Arial" w:cs="Arial" w:eastAsia="Arial" w:hAnsi="Arial"/>
          <w:sz w:val="16"/>
          <w:szCs w:val="16"/>
          <w:color w:val="886B25"/>
        </w:rPr>
      </w:pPr>
    </w:p>
    <w:p>
      <w:pPr>
        <w:ind w:left="820" w:right="20" w:hanging="166"/>
        <w:spacing w:after="0" w:line="286" w:lineRule="auto"/>
        <w:tabs>
          <w:tab w:leader="none" w:pos="820" w:val="left"/>
        </w:tabs>
        <w:numPr>
          <w:ilvl w:val="0"/>
          <w:numId w:val="52"/>
        </w:numPr>
        <w:rPr>
          <w:rFonts w:ascii="Arial" w:cs="Arial" w:eastAsia="Arial" w:hAnsi="Arial"/>
          <w:sz w:val="16"/>
          <w:szCs w:val="16"/>
          <w:color w:val="886B25"/>
        </w:rPr>
      </w:pPr>
      <w:r>
        <w:rPr>
          <w:rFonts w:ascii="Arial" w:cs="Arial" w:eastAsia="Arial" w:hAnsi="Arial"/>
          <w:sz w:val="16"/>
          <w:szCs w:val="16"/>
          <w:color w:val="auto"/>
        </w:rPr>
        <w:t>any immediate family member of any of the foregoing persons, which means any child, stepchild, parent, step-parent, spouse, sibling, mother-in-law, father-in-law, son-in-law, daughter-in-law, brother- in-law or sister-in-law of a director, executive officer or a beneficial owner of more than 5% of our voting stock, and any person (other than a tenant or employee) sharing the household of such director, executive officer or beneficial owner of more than 5% of our voting stock; and</w:t>
      </w:r>
    </w:p>
    <w:p>
      <w:pPr>
        <w:spacing w:after="0" w:line="122" w:lineRule="exact"/>
        <w:rPr>
          <w:rFonts w:ascii="Arial" w:cs="Arial" w:eastAsia="Arial" w:hAnsi="Arial"/>
          <w:sz w:val="16"/>
          <w:szCs w:val="16"/>
          <w:color w:val="886B25"/>
        </w:rPr>
      </w:pPr>
    </w:p>
    <w:p>
      <w:pPr>
        <w:ind w:left="820" w:right="220" w:hanging="166"/>
        <w:spacing w:after="0" w:line="295" w:lineRule="auto"/>
        <w:tabs>
          <w:tab w:leader="none" w:pos="820" w:val="left"/>
        </w:tabs>
        <w:numPr>
          <w:ilvl w:val="0"/>
          <w:numId w:val="52"/>
        </w:numPr>
        <w:rPr>
          <w:rFonts w:ascii="Arial" w:cs="Arial" w:eastAsia="Arial" w:hAnsi="Arial"/>
          <w:sz w:val="16"/>
          <w:szCs w:val="16"/>
          <w:color w:val="886B25"/>
        </w:rPr>
      </w:pPr>
      <w:r>
        <w:rPr>
          <w:rFonts w:ascii="Arial" w:cs="Arial" w:eastAsia="Arial" w:hAnsi="Arial"/>
          <w:sz w:val="16"/>
          <w:szCs w:val="16"/>
          <w:color w:val="auto"/>
        </w:rPr>
        <w:t>any firm, corporation or other entity in which any of the foregoing persons is a partner or principal, or in a similar position, or in which such person has a 10% or greater beneficial ownership interest.</w:t>
      </w:r>
    </w:p>
    <w:p>
      <w:pPr>
        <w:spacing w:after="0" w:line="196" w:lineRule="exact"/>
        <w:rPr>
          <w:sz w:val="20"/>
          <w:szCs w:val="20"/>
          <w:color w:val="auto"/>
        </w:rPr>
      </w:pPr>
    </w:p>
    <w:p>
      <w:pPr>
        <w:ind w:left="660" w:right="200"/>
        <w:spacing w:after="0" w:line="286" w:lineRule="auto"/>
        <w:rPr>
          <w:sz w:val="20"/>
          <w:szCs w:val="20"/>
          <w:color w:val="auto"/>
        </w:rPr>
      </w:pPr>
      <w:r>
        <w:rPr>
          <w:rFonts w:ascii="Arial" w:cs="Arial" w:eastAsia="Arial" w:hAnsi="Arial"/>
          <w:sz w:val="16"/>
          <w:szCs w:val="16"/>
          <w:color w:val="auto"/>
        </w:rPr>
        <w:t>We have policies and procedures designed to minimize potential conflicts of interest arising from any dealings we may have with our affiliates and to provide appropriate procedures for the disclosure of any actual or potential conflicts of interest that may exist from time to time. Specifically, pursuant to our Audit Committee charter, our Audit Committee has the responsibility to review related person transactions.</w:t>
      </w:r>
    </w:p>
    <w:p>
      <w:pPr>
        <w:spacing w:after="0" w:line="203" w:lineRule="exact"/>
        <w:rPr>
          <w:sz w:val="20"/>
          <w:szCs w:val="20"/>
          <w:color w:val="auto"/>
        </w:rPr>
      </w:pPr>
    </w:p>
    <w:p>
      <w:pPr>
        <w:ind w:left="660" w:right="20"/>
        <w:spacing w:after="0" w:line="295" w:lineRule="auto"/>
        <w:rPr>
          <w:sz w:val="20"/>
          <w:szCs w:val="20"/>
          <w:color w:val="auto"/>
        </w:rPr>
      </w:pPr>
      <w:r>
        <w:rPr>
          <w:rFonts w:ascii="Arial" w:cs="Arial" w:eastAsia="Arial" w:hAnsi="Arial"/>
          <w:sz w:val="16"/>
          <w:szCs w:val="16"/>
          <w:color w:val="auto"/>
        </w:rPr>
        <w:t>Our Audit Committee has also established standing pre-approvals for certain classes of related party transactions, such as sales of our vehicles, parts, services, merchandise, and other Lucid products and services purchased by related persons at market prices.</w:t>
      </w:r>
    </w:p>
    <w:p>
      <w:pPr>
        <w:sectPr>
          <w:pgSz w:w="11900" w:h="16838" w:orient="portrait"/>
          <w:cols w:equalWidth="0" w:num="1">
            <w:col w:w="10040"/>
          </w:cols>
          <w:pgMar w:left="580" w:top="131"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60"/>
        <w:spacing w:after="0"/>
        <w:tabs>
          <w:tab w:leader="none" w:pos="9880" w:val="left"/>
        </w:tabs>
        <w:rPr>
          <w:sz w:val="20"/>
          <w:szCs w:val="20"/>
          <w:color w:val="auto"/>
        </w:rPr>
      </w:pPr>
      <w:r>
        <w:rPr>
          <w:rFonts w:ascii="Arial" w:cs="Arial" w:eastAsia="Arial" w:hAnsi="Arial"/>
          <w:sz w:val="13"/>
          <w:szCs w:val="13"/>
          <w:color w:val="auto"/>
        </w:rPr>
        <w:t>2022 Proxy Statement</w:t>
      </w:r>
      <w:r>
        <w:rPr>
          <w:sz w:val="20"/>
          <w:szCs w:val="20"/>
          <w:color w:val="auto"/>
        </w:rPr>
        <w:tab/>
      </w:r>
      <w:r>
        <w:rPr>
          <w:rFonts w:ascii="Arial" w:cs="Arial" w:eastAsia="Arial" w:hAnsi="Arial"/>
          <w:sz w:val="12"/>
          <w:szCs w:val="12"/>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1" w:right="1279" w:bottom="1440" w:gutter="0" w:footer="0" w:header="0"/>
          <w:type w:val="continuous"/>
        </w:sectPr>
      </w:pPr>
    </w:p>
    <w:bookmarkStart w:id="80" w:name="page81"/>
    <w:bookmarkEnd w:id="80"/>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right="700"/>
        <w:spacing w:after="0" w:line="259" w:lineRule="auto"/>
        <w:rPr>
          <w:sz w:val="20"/>
          <w:szCs w:val="20"/>
          <w:color w:val="auto"/>
        </w:rPr>
      </w:pPr>
      <w:r>
        <w:rPr>
          <w:rFonts w:ascii="Arial" w:cs="Arial" w:eastAsia="Arial" w:hAnsi="Arial"/>
          <w:sz w:val="36"/>
          <w:szCs w:val="36"/>
          <w:b w:val="1"/>
          <w:bCs w:val="1"/>
          <w:color w:val="auto"/>
        </w:rPr>
        <w:t>Householding of Proxy Materials; Availability of Annual Report</w:t>
      </w:r>
    </w:p>
    <w:p>
      <w:pPr>
        <w:spacing w:after="0" w:line="306" w:lineRule="exact"/>
        <w:rPr>
          <w:sz w:val="20"/>
          <w:szCs w:val="20"/>
          <w:color w:val="auto"/>
        </w:rPr>
      </w:pPr>
    </w:p>
    <w:p>
      <w:pPr>
        <w:ind w:left="660"/>
        <w:spacing w:after="0" w:line="290" w:lineRule="auto"/>
        <w:rPr>
          <w:sz w:val="20"/>
          <w:szCs w:val="20"/>
          <w:color w:val="auto"/>
        </w:rPr>
      </w:pPr>
      <w:r>
        <w:rPr>
          <w:rFonts w:ascii="Arial" w:cs="Arial" w:eastAsia="Arial" w:hAnsi="Arial"/>
          <w:sz w:val="16"/>
          <w:szCs w:val="16"/>
          <w:color w:val="auto"/>
        </w:rPr>
        <w:t>The SEC has adopted rules that permit companies and intermediaries (</w:t>
      </w:r>
      <w:r>
        <w:rPr>
          <w:rFonts w:ascii="Arial" w:cs="Arial" w:eastAsia="Arial" w:hAnsi="Arial"/>
          <w:sz w:val="16"/>
          <w:szCs w:val="16"/>
          <w:i w:val="1"/>
          <w:iCs w:val="1"/>
          <w:color w:val="auto"/>
        </w:rPr>
        <w:t>e.g.</w:t>
      </w:r>
      <w:r>
        <w:rPr>
          <w:rFonts w:ascii="Arial" w:cs="Arial" w:eastAsia="Arial" w:hAnsi="Arial"/>
          <w:sz w:val="16"/>
          <w:szCs w:val="16"/>
          <w:color w:val="auto"/>
        </w:rPr>
        <w:t>, brokers) to satisfy the delivery requirements for Proxy Availability Notice or other proxy materials with respect to two or more stockholders sharing the same address by delivering a single Proxy Availability Notice or other proxy materials addressed to those stockholders. This process, which is commonly referred to as householding, potentially provides extra convenience for stockholders and cost savings for companies. Stockholders who participate in householding will continue to be able to access and receive separate proxy cards.</w:t>
      </w:r>
    </w:p>
    <w:p>
      <w:pPr>
        <w:spacing w:after="0" w:line="200" w:lineRule="exact"/>
        <w:rPr>
          <w:sz w:val="20"/>
          <w:szCs w:val="20"/>
          <w:color w:val="auto"/>
        </w:rPr>
      </w:pPr>
    </w:p>
    <w:p>
      <w:pPr>
        <w:ind w:left="660"/>
        <w:spacing w:after="0" w:line="283" w:lineRule="auto"/>
        <w:rPr>
          <w:sz w:val="20"/>
          <w:szCs w:val="20"/>
          <w:color w:val="auto"/>
        </w:rPr>
      </w:pPr>
      <w:r>
        <w:rPr>
          <w:rFonts w:ascii="Arial" w:cs="Arial" w:eastAsia="Arial" w:hAnsi="Arial"/>
          <w:sz w:val="16"/>
          <w:szCs w:val="16"/>
          <w:color w:val="auto"/>
        </w:rPr>
        <w:t>This year, a number of brokers with account holders who are our stockholders will be “householding” our proxy materials. A Proxy Availability Notice or proxy materials will be delivered in one single envelope to multiple stockholders sharing an address unless contrary instructions have been received from one or more of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Proxy Availability Notice or proxy materials, please notify your broker, bank or other institution where you hold your shares. Stockholders who currently receive multiple copies of the Proxy Availability Notice or proxy materials at their address and would like to request householding of their communications should contact their broker, bank or other institution where they hold their shares. In addition, we will promptly deliver, upon written or oral request to our Investor Relations at 7373 Gateway Boulevard, Newark, CA 94560, by email: investor@lucidmotors.com, or by telephone: (510) 648-3553, a separate copy of the Proxy Availability Notice or proxy materials to a stockholder at a shared address to which a single copy of the documents was delivered.</w:t>
      </w:r>
    </w:p>
    <w:p>
      <w:pPr>
        <w:spacing w:after="0" w:line="206" w:lineRule="exact"/>
        <w:rPr>
          <w:sz w:val="20"/>
          <w:szCs w:val="20"/>
          <w:color w:val="auto"/>
        </w:rPr>
      </w:pPr>
    </w:p>
    <w:p>
      <w:pPr>
        <w:ind w:left="660" w:right="100"/>
        <w:spacing w:after="0" w:line="286" w:lineRule="auto"/>
        <w:rPr>
          <w:sz w:val="20"/>
          <w:szCs w:val="20"/>
          <w:color w:val="auto"/>
        </w:rPr>
      </w:pPr>
      <w:r>
        <w:rPr>
          <w:rFonts w:ascii="Arial" w:cs="Arial" w:eastAsia="Arial" w:hAnsi="Arial"/>
          <w:sz w:val="16"/>
          <w:szCs w:val="16"/>
          <w:color w:val="auto"/>
        </w:rPr>
        <w:t>A copy of our Annual Report on Form 10-K for the year ended December 31, 2021, as filed with the SEC on February 28, 2022, is available without charge upon written request to Investor Relations, Lucid Group, Inc., 7373 Gateway Boulevard, Newark, CA 94560 or by accessing a copy on our website at ir.lucidmotors.com/financials/sec-filings in the Investors section under “SEC Filings.” Information on or accessible through our website is not incorporated by reference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Arial" w:cs="Arial" w:eastAsia="Arial" w:hAnsi="Arial"/>
          <w:sz w:val="36"/>
          <w:szCs w:val="36"/>
          <w:b w:val="1"/>
          <w:bCs w:val="1"/>
          <w:color w:val="auto"/>
        </w:rPr>
        <w:t>Other Matters</w:t>
      </w:r>
    </w:p>
    <w:p>
      <w:pPr>
        <w:spacing w:after="0" w:line="396" w:lineRule="exact"/>
        <w:rPr>
          <w:sz w:val="20"/>
          <w:szCs w:val="20"/>
          <w:color w:val="auto"/>
        </w:rPr>
      </w:pPr>
    </w:p>
    <w:p>
      <w:pPr>
        <w:ind w:left="660" w:right="280"/>
        <w:spacing w:after="0" w:line="288" w:lineRule="auto"/>
        <w:rPr>
          <w:sz w:val="20"/>
          <w:szCs w:val="20"/>
          <w:color w:val="auto"/>
        </w:rPr>
      </w:pPr>
      <w:r>
        <w:rPr>
          <w:rFonts w:ascii="Arial" w:cs="Arial" w:eastAsia="Arial" w:hAnsi="Arial"/>
          <w:sz w:val="16"/>
          <w:szCs w:val="16"/>
          <w:color w:val="auto"/>
        </w:rPr>
        <w:t>The Board knows of no other matters that will be presented for consideration at the Annual Meeting. If any other matters are properly brought before the Annual Meeting, it is the intention of the persons named in the accompanying proxy to vote on such matters in accordance with their best judgment.</w:t>
      </w:r>
    </w:p>
    <w:p>
      <w:pPr>
        <w:sectPr>
          <w:pgSz w:w="11900" w:h="16838" w:orient="portrait"/>
          <w:cols w:equalWidth="0" w:num="1">
            <w:col w:w="10040"/>
          </w:cols>
          <w:pgMar w:left="580" w:top="131"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2"/>
          <w:szCs w:val="12"/>
          <w:b w:val="1"/>
          <w:bCs w:val="1"/>
          <w:color w:val="auto"/>
        </w:rPr>
        <w:t>72</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110490</wp:posOffset>
            </wp:positionV>
            <wp:extent cx="68319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1" w:right="1279" w:bottom="1440" w:gutter="0" w:footer="0" w:header="0"/>
          <w:type w:val="continuous"/>
        </w:sectPr>
      </w:pPr>
    </w:p>
    <w:bookmarkStart w:id="81" w:name="page82"/>
    <w:bookmarkEnd w:id="81"/>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60"/>
        <w:spacing w:after="0"/>
        <w:rPr>
          <w:sz w:val="20"/>
          <w:szCs w:val="20"/>
          <w:color w:val="auto"/>
        </w:rPr>
      </w:pPr>
      <w:r>
        <w:rPr>
          <w:rFonts w:ascii="Arial" w:cs="Arial" w:eastAsia="Arial" w:hAnsi="Arial"/>
          <w:sz w:val="36"/>
          <w:szCs w:val="36"/>
          <w:b w:val="1"/>
          <w:bCs w:val="1"/>
          <w:color w:val="auto"/>
        </w:rPr>
        <w:t>LUCID GROUP, INC.</w:t>
      </w:r>
    </w:p>
    <w:p>
      <w:pPr>
        <w:spacing w:after="0" w:line="20" w:lineRule="exact"/>
        <w:rPr>
          <w:sz w:val="20"/>
          <w:szCs w:val="20"/>
          <w:color w:val="auto"/>
        </w:rPr>
      </w:pPr>
    </w:p>
    <w:p>
      <w:pPr>
        <w:ind w:left="660" w:right="420"/>
        <w:spacing w:after="0" w:line="237" w:lineRule="auto"/>
        <w:rPr>
          <w:sz w:val="20"/>
          <w:szCs w:val="20"/>
          <w:color w:val="auto"/>
        </w:rPr>
      </w:pPr>
      <w:r>
        <w:rPr>
          <w:rFonts w:ascii="Arial" w:cs="Arial" w:eastAsia="Arial" w:hAnsi="Arial"/>
          <w:sz w:val="36"/>
          <w:szCs w:val="36"/>
          <w:b w:val="1"/>
          <w:bCs w:val="1"/>
          <w:color w:val="auto"/>
        </w:rPr>
        <w:t>AMENDED AND RESTATED 2021 STOCK INCENTIVE PLAN</w:t>
      </w:r>
    </w:p>
    <w:p>
      <w:pPr>
        <w:sectPr>
          <w:pgSz w:w="11900" w:h="16838" w:orient="portrait"/>
          <w:cols w:equalWidth="0" w:num="1">
            <w:col w:w="10060"/>
          </w:cols>
          <w:pgMar w:left="580" w:top="131"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60"/>
        <w:spacing w:after="0"/>
        <w:rPr>
          <w:sz w:val="20"/>
          <w:szCs w:val="20"/>
          <w:color w:val="auto"/>
        </w:rPr>
      </w:pP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100330</wp:posOffset>
            </wp:positionV>
            <wp:extent cx="68319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131" w:right="1259" w:bottom="1440" w:gutter="0" w:footer="0" w:header="0"/>
          <w:type w:val="continuous"/>
        </w:sectPr>
      </w:pPr>
    </w:p>
    <w:bookmarkStart w:id="82" w:name="page83"/>
    <w:bookmarkEnd w:id="82"/>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36"/>
          <w:szCs w:val="36"/>
          <w:b w:val="1"/>
          <w:bCs w:val="1"/>
          <w:color w:val="auto"/>
        </w:rPr>
        <w:t>Table of Contents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060" w:type="dxa"/>
            <w:vAlign w:val="bottom"/>
            <w:gridSpan w:val="5"/>
          </w:tcPr>
          <w:p>
            <w:pPr>
              <w:ind w:left="40"/>
              <w:spacing w:after="0"/>
              <w:rPr>
                <w:sz w:val="20"/>
                <w:szCs w:val="20"/>
                <w:color w:val="auto"/>
              </w:rPr>
            </w:pPr>
            <w:r>
              <w:rPr>
                <w:rFonts w:ascii="Arial" w:cs="Arial" w:eastAsia="Arial" w:hAnsi="Arial"/>
                <w:sz w:val="13"/>
                <w:szCs w:val="13"/>
                <w:b w:val="1"/>
                <w:bCs w:val="1"/>
                <w:color w:val="auto"/>
              </w:rPr>
              <w:t>Page</w:t>
            </w:r>
          </w:p>
        </w:tc>
      </w:tr>
      <w:tr>
        <w:trPr>
          <w:trHeight w:val="63"/>
        </w:trPr>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gridSpan w:val="2"/>
          </w:tcPr>
          <w:p>
            <w:pPr>
              <w:spacing w:after="0"/>
              <w:rPr>
                <w:sz w:val="5"/>
                <w:szCs w:val="5"/>
                <w:color w:val="auto"/>
              </w:rPr>
            </w:pPr>
          </w:p>
        </w:tc>
        <w:tc>
          <w:tcPr>
            <w:tcW w:w="660" w:type="dxa"/>
            <w:vAlign w:val="bottom"/>
          </w:tcPr>
          <w:p>
            <w:pPr>
              <w:spacing w:after="0"/>
              <w:rPr>
                <w:sz w:val="5"/>
                <w:szCs w:val="5"/>
                <w:color w:val="auto"/>
              </w:rPr>
            </w:pPr>
          </w:p>
        </w:tc>
      </w:tr>
      <w:tr>
        <w:trPr>
          <w:trHeight w:val="250"/>
        </w:trPr>
        <w:tc>
          <w:tcPr>
            <w:tcW w:w="660" w:type="dxa"/>
            <w:vAlign w:val="bottom"/>
          </w:tcPr>
          <w:p>
            <w:pPr>
              <w:spacing w:after="0"/>
              <w:rPr>
                <w:sz w:val="21"/>
                <w:szCs w:val="21"/>
                <w:color w:val="auto"/>
              </w:rPr>
            </w:pPr>
          </w:p>
        </w:tc>
        <w:tc>
          <w:tcPr>
            <w:tcW w:w="9000" w:type="dxa"/>
            <w:vAlign w:val="bottom"/>
            <w:tcBorders>
              <w:top w:val="single" w:sz="8" w:color="CCEEFF"/>
            </w:tcBorders>
            <w:gridSpan w:val="38"/>
            <w:shd w:val="clear" w:color="auto" w:fill="CCEEFF"/>
          </w:tcPr>
          <w:p>
            <w:pPr>
              <w:spacing w:after="0"/>
              <w:rPr>
                <w:rFonts w:ascii="Arial" w:cs="Arial" w:eastAsia="Arial" w:hAnsi="Arial"/>
                <w:sz w:val="16"/>
                <w:szCs w:val="16"/>
                <w:b w:val="1"/>
                <w:bCs w:val="1"/>
                <w:color w:val="0000EE"/>
              </w:rPr>
            </w:pPr>
            <w:hyperlink w:anchor="page86">
              <w:r>
                <w:rPr>
                  <w:rFonts w:ascii="Arial" w:cs="Arial" w:eastAsia="Arial" w:hAnsi="Arial"/>
                  <w:sz w:val="16"/>
                  <w:szCs w:val="16"/>
                  <w:b w:val="1"/>
                  <w:bCs w:val="1"/>
                  <w:color w:val="0000EE"/>
                </w:rPr>
                <w:t>SECTION 1.  ESTABLISHMENT AND PURPOSE</w:t>
              </w:r>
            </w:hyperlink>
          </w:p>
        </w:tc>
        <w:tc>
          <w:tcPr>
            <w:tcW w:w="380" w:type="dxa"/>
            <w:vAlign w:val="bottom"/>
            <w:tcBorders>
              <w:top w:val="single" w:sz="8" w:color="auto"/>
            </w:tcBorders>
            <w:gridSpan w:val="3"/>
            <w:shd w:val="clear" w:color="auto" w:fill="CCEEFF"/>
          </w:tcPr>
          <w:p>
            <w:pPr>
              <w:ind w:left="120"/>
              <w:spacing w:after="0"/>
              <w:rPr>
                <w:rFonts w:ascii="Arial" w:cs="Arial" w:eastAsia="Arial" w:hAnsi="Arial"/>
                <w:sz w:val="16"/>
                <w:szCs w:val="16"/>
                <w:b w:val="1"/>
                <w:bCs w:val="1"/>
                <w:color w:val="0000EE"/>
                <w:w w:val="92"/>
              </w:rPr>
            </w:pPr>
            <w:hyperlink w:anchor="page86">
              <w:r>
                <w:rPr>
                  <w:rFonts w:ascii="Arial" w:cs="Arial" w:eastAsia="Arial" w:hAnsi="Arial"/>
                  <w:sz w:val="16"/>
                  <w:szCs w:val="16"/>
                  <w:b w:val="1"/>
                  <w:bCs w:val="1"/>
                  <w:color w:val="0000EE"/>
                  <w:w w:val="92"/>
                </w:rPr>
                <w:t>A-1</w:t>
              </w:r>
            </w:hyperlink>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29"/>
        </w:trPr>
        <w:tc>
          <w:tcPr>
            <w:tcW w:w="660" w:type="dxa"/>
            <w:vAlign w:val="bottom"/>
          </w:tcPr>
          <w:p>
            <w:pPr>
              <w:spacing w:after="0"/>
              <w:rPr>
                <w:sz w:val="19"/>
                <w:szCs w:val="19"/>
                <w:color w:val="auto"/>
              </w:rPr>
            </w:pPr>
          </w:p>
        </w:tc>
        <w:tc>
          <w:tcPr>
            <w:tcW w:w="3620" w:type="dxa"/>
            <w:vAlign w:val="bottom"/>
            <w:tcBorders>
              <w:top w:val="single" w:sz="8" w:color="0000EE"/>
            </w:tcBorders>
            <w:gridSpan w:val="37"/>
          </w:tcPr>
          <w:p>
            <w:pPr>
              <w:spacing w:after="0"/>
              <w:rPr>
                <w:rFonts w:ascii="Arial" w:cs="Arial" w:eastAsia="Arial" w:hAnsi="Arial"/>
                <w:sz w:val="16"/>
                <w:szCs w:val="16"/>
                <w:b w:val="1"/>
                <w:bCs w:val="1"/>
                <w:color w:val="0000EE"/>
              </w:rPr>
            </w:pPr>
            <w:hyperlink w:anchor="page86">
              <w:r>
                <w:rPr>
                  <w:rFonts w:ascii="Arial" w:cs="Arial" w:eastAsia="Arial" w:hAnsi="Arial"/>
                  <w:sz w:val="16"/>
                  <w:szCs w:val="16"/>
                  <w:b w:val="1"/>
                  <w:bCs w:val="1"/>
                  <w:color w:val="0000EE"/>
                </w:rPr>
                <w:t>SECTION 2.  DEFINITIONS.</w:t>
              </w:r>
            </w:hyperlink>
          </w:p>
        </w:tc>
        <w:tc>
          <w:tcPr>
            <w:tcW w:w="53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0000EE"/>
            </w:tcBorders>
            <w:gridSpan w:val="3"/>
          </w:tcPr>
          <w:p>
            <w:pPr>
              <w:spacing w:after="0"/>
              <w:rPr>
                <w:rFonts w:ascii="Arial" w:cs="Arial" w:eastAsia="Arial" w:hAnsi="Arial"/>
                <w:sz w:val="16"/>
                <w:szCs w:val="16"/>
                <w:b w:val="1"/>
                <w:bCs w:val="1"/>
                <w:color w:val="0000EE"/>
              </w:rPr>
            </w:pPr>
            <w:hyperlink w:anchor="page86">
              <w:r>
                <w:rPr>
                  <w:rFonts w:ascii="Arial" w:cs="Arial" w:eastAsia="Arial" w:hAnsi="Arial"/>
                  <w:sz w:val="16"/>
                  <w:szCs w:val="16"/>
                  <w:b w:val="1"/>
                  <w:bCs w:val="1"/>
                  <w:color w:val="0000EE"/>
                </w:rPr>
                <w:t>A-1</w:t>
              </w:r>
            </w:hyperlink>
          </w:p>
        </w:tc>
        <w:tc>
          <w:tcPr>
            <w:tcW w:w="66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29"/>
        </w:trPr>
        <w:tc>
          <w:tcPr>
            <w:tcW w:w="66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gridSpan w:val="4"/>
            <w:shd w:val="clear" w:color="auto" w:fill="CCEEFF"/>
          </w:tcPr>
          <w:p>
            <w:pPr>
              <w:spacing w:after="0"/>
              <w:rPr>
                <w:rFonts w:ascii="Arial" w:cs="Arial" w:eastAsia="Arial" w:hAnsi="Arial"/>
                <w:sz w:val="16"/>
                <w:szCs w:val="16"/>
                <w:color w:val="0000EE"/>
                <w:w w:val="91"/>
              </w:rPr>
            </w:pPr>
            <w:hyperlink w:anchor="page86">
              <w:r>
                <w:rPr>
                  <w:rFonts w:ascii="Arial" w:cs="Arial" w:eastAsia="Arial" w:hAnsi="Arial"/>
                  <w:sz w:val="16"/>
                  <w:szCs w:val="16"/>
                  <w:color w:val="0000EE"/>
                  <w:w w:val="91"/>
                </w:rPr>
                <w:t>(a)</w:t>
              </w:r>
            </w:hyperlink>
          </w:p>
        </w:tc>
        <w:tc>
          <w:tcPr>
            <w:tcW w:w="240" w:type="dxa"/>
            <w:vAlign w:val="bottom"/>
            <w:gridSpan w:val="5"/>
            <w:shd w:val="clear" w:color="auto" w:fill="CCEEFF"/>
          </w:tcPr>
          <w:p>
            <w:pPr>
              <w:spacing w:after="0"/>
              <w:rPr>
                <w:sz w:val="19"/>
                <w:szCs w:val="19"/>
                <w:color w:val="auto"/>
              </w:rPr>
            </w:pPr>
          </w:p>
        </w:tc>
        <w:tc>
          <w:tcPr>
            <w:tcW w:w="8400" w:type="dxa"/>
            <w:vAlign w:val="bottom"/>
            <w:gridSpan w:val="28"/>
            <w:shd w:val="clear" w:color="auto" w:fill="CCEEFF"/>
          </w:tcPr>
          <w:p>
            <w:pPr>
              <w:spacing w:after="0"/>
              <w:rPr>
                <w:rFonts w:ascii="Arial" w:cs="Arial" w:eastAsia="Arial" w:hAnsi="Arial"/>
                <w:sz w:val="16"/>
                <w:szCs w:val="16"/>
                <w:color w:val="0000EE"/>
              </w:rPr>
            </w:pPr>
            <w:hyperlink w:anchor="page86">
              <w:r>
                <w:rPr>
                  <w:rFonts w:ascii="Arial" w:cs="Arial" w:eastAsia="Arial" w:hAnsi="Arial"/>
                  <w:sz w:val="16"/>
                  <w:szCs w:val="16"/>
                  <w:color w:val="0000EE"/>
                </w:rPr>
                <w:t>“2009 Plan”</w:t>
              </w:r>
            </w:hyperlink>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rFonts w:ascii="Arial" w:cs="Arial" w:eastAsia="Arial" w:hAnsi="Arial"/>
                <w:sz w:val="16"/>
                <w:szCs w:val="16"/>
                <w:color w:val="0000EE"/>
                <w:w w:val="88"/>
              </w:rPr>
            </w:pPr>
            <w:hyperlink w:anchor="page86">
              <w:r>
                <w:rPr>
                  <w:rFonts w:ascii="Arial" w:cs="Arial" w:eastAsia="Arial" w:hAnsi="Arial"/>
                  <w:sz w:val="16"/>
                  <w:szCs w:val="16"/>
                  <w:color w:val="0000EE"/>
                  <w:w w:val="88"/>
                </w:rPr>
                <w:t>A-1</w:t>
              </w:r>
            </w:hyperlink>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5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30"/>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gridSpan w:val="4"/>
          </w:tcPr>
          <w:p>
            <w:pPr>
              <w:spacing w:after="0"/>
              <w:rPr>
                <w:rFonts w:ascii="Arial" w:cs="Arial" w:eastAsia="Arial" w:hAnsi="Arial"/>
                <w:sz w:val="16"/>
                <w:szCs w:val="16"/>
                <w:color w:val="0000EE"/>
                <w:w w:val="91"/>
              </w:rPr>
            </w:pPr>
            <w:hyperlink w:anchor="page86">
              <w:r>
                <w:rPr>
                  <w:rFonts w:ascii="Arial" w:cs="Arial" w:eastAsia="Arial" w:hAnsi="Arial"/>
                  <w:sz w:val="16"/>
                  <w:szCs w:val="16"/>
                  <w:color w:val="0000EE"/>
                  <w:w w:val="91"/>
                </w:rPr>
                <w:t>(b)</w:t>
              </w:r>
            </w:hyperlink>
          </w:p>
        </w:tc>
        <w:tc>
          <w:tcPr>
            <w:tcW w:w="240" w:type="dxa"/>
            <w:vAlign w:val="bottom"/>
            <w:gridSpan w:val="5"/>
          </w:tcPr>
          <w:p>
            <w:pPr>
              <w:spacing w:after="0"/>
              <w:rPr>
                <w:sz w:val="19"/>
                <w:szCs w:val="19"/>
                <w:color w:val="auto"/>
              </w:rPr>
            </w:pPr>
          </w:p>
        </w:tc>
        <w:tc>
          <w:tcPr>
            <w:tcW w:w="8400" w:type="dxa"/>
            <w:vAlign w:val="bottom"/>
            <w:gridSpan w:val="28"/>
          </w:tcPr>
          <w:p>
            <w:pPr>
              <w:spacing w:after="0"/>
              <w:rPr>
                <w:rFonts w:ascii="Arial" w:cs="Arial" w:eastAsia="Arial" w:hAnsi="Arial"/>
                <w:sz w:val="16"/>
                <w:szCs w:val="16"/>
                <w:color w:val="0000EE"/>
              </w:rPr>
            </w:pPr>
            <w:hyperlink w:anchor="page86">
              <w:r>
                <w:rPr>
                  <w:rFonts w:ascii="Arial" w:cs="Arial" w:eastAsia="Arial" w:hAnsi="Arial"/>
                  <w:sz w:val="16"/>
                  <w:szCs w:val="16"/>
                  <w:color w:val="0000EE"/>
                </w:rPr>
                <w:t>“2014 Plan”</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3"/>
          </w:tcPr>
          <w:p>
            <w:pPr>
              <w:spacing w:after="0"/>
              <w:rPr>
                <w:rFonts w:ascii="Arial" w:cs="Arial" w:eastAsia="Arial" w:hAnsi="Arial"/>
                <w:sz w:val="16"/>
                <w:szCs w:val="16"/>
                <w:color w:val="0000EE"/>
              </w:rPr>
            </w:pPr>
            <w:hyperlink w:anchor="page86">
              <w:r>
                <w:rPr>
                  <w:rFonts w:ascii="Arial" w:cs="Arial" w:eastAsia="Arial" w:hAnsi="Arial"/>
                  <w:sz w:val="16"/>
                  <w:szCs w:val="16"/>
                  <w:color w:val="0000EE"/>
                </w:rPr>
                <w:t>A-1</w:t>
              </w:r>
            </w:hyperlink>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63"/>
        </w:trPr>
        <w:tc>
          <w:tcPr>
            <w:tcW w:w="660" w:type="dxa"/>
            <w:vAlign w:val="bottom"/>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0" w:type="dxa"/>
            <w:vAlign w:val="bottom"/>
            <w:gridSpan w:val="4"/>
            <w:shd w:val="clear" w:color="auto" w:fill="CCEEFF"/>
          </w:tcPr>
          <w:p>
            <w:pPr>
              <w:spacing w:after="0"/>
              <w:rPr>
                <w:rFonts w:ascii="Arial" w:cs="Arial" w:eastAsia="Arial" w:hAnsi="Arial"/>
                <w:sz w:val="16"/>
                <w:szCs w:val="16"/>
                <w:color w:val="0000EE"/>
                <w:w w:val="96"/>
              </w:rPr>
            </w:pPr>
            <w:hyperlink w:anchor="page86">
              <w:r>
                <w:rPr>
                  <w:rFonts w:ascii="Arial" w:cs="Arial" w:eastAsia="Arial" w:hAnsi="Arial"/>
                  <w:sz w:val="16"/>
                  <w:szCs w:val="16"/>
                  <w:color w:val="0000EE"/>
                  <w:w w:val="96"/>
                </w:rPr>
                <w:t>(c)</w:t>
              </w:r>
            </w:hyperlink>
          </w:p>
        </w:tc>
        <w:tc>
          <w:tcPr>
            <w:tcW w:w="240" w:type="dxa"/>
            <w:vAlign w:val="bottom"/>
            <w:gridSpan w:val="5"/>
            <w:shd w:val="clear" w:color="auto" w:fill="CCEEFF"/>
          </w:tcPr>
          <w:p>
            <w:pPr>
              <w:spacing w:after="0"/>
              <w:rPr>
                <w:sz w:val="22"/>
                <w:szCs w:val="22"/>
                <w:color w:val="auto"/>
              </w:rPr>
            </w:pPr>
          </w:p>
        </w:tc>
        <w:tc>
          <w:tcPr>
            <w:tcW w:w="8400" w:type="dxa"/>
            <w:vAlign w:val="bottom"/>
            <w:gridSpan w:val="28"/>
            <w:shd w:val="clear" w:color="auto" w:fill="CCEEFF"/>
          </w:tcPr>
          <w:p>
            <w:pPr>
              <w:spacing w:after="0"/>
              <w:rPr>
                <w:rFonts w:ascii="Arial" w:cs="Arial" w:eastAsia="Arial" w:hAnsi="Arial"/>
                <w:sz w:val="16"/>
                <w:szCs w:val="16"/>
                <w:color w:val="0000EE"/>
              </w:rPr>
            </w:pPr>
            <w:hyperlink w:anchor="page86">
              <w:r>
                <w:rPr>
                  <w:rFonts w:ascii="Arial" w:cs="Arial" w:eastAsia="Arial" w:hAnsi="Arial"/>
                  <w:sz w:val="16"/>
                  <w:szCs w:val="16"/>
                  <w:color w:val="0000EE"/>
                </w:rPr>
                <w:t>“2021 Plan”</w:t>
              </w:r>
            </w:hyperlink>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rFonts w:ascii="Arial" w:cs="Arial" w:eastAsia="Arial" w:hAnsi="Arial"/>
                <w:sz w:val="16"/>
                <w:szCs w:val="16"/>
                <w:color w:val="0000EE"/>
                <w:w w:val="88"/>
              </w:rPr>
            </w:pPr>
            <w:hyperlink w:anchor="page86">
              <w:r>
                <w:rPr>
                  <w:rFonts w:ascii="Arial" w:cs="Arial" w:eastAsia="Arial" w:hAnsi="Arial"/>
                  <w:sz w:val="16"/>
                  <w:szCs w:val="16"/>
                  <w:color w:val="0000EE"/>
                  <w:w w:val="88"/>
                </w:rPr>
                <w:t>A-1</w:t>
              </w:r>
            </w:hyperlink>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30"/>
        </w:trPr>
        <w:tc>
          <w:tcPr>
            <w:tcW w:w="660" w:type="dxa"/>
            <w:vAlign w:val="bottom"/>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0" w:type="dxa"/>
            <w:vAlign w:val="bottom"/>
            <w:tcBorders>
              <w:top w:val="single" w:sz="8" w:color="0000EE"/>
            </w:tcBorders>
            <w:gridSpan w:val="4"/>
          </w:tcPr>
          <w:p>
            <w:pPr>
              <w:spacing w:after="0"/>
              <w:rPr>
                <w:rFonts w:ascii="Arial" w:cs="Arial" w:eastAsia="Arial" w:hAnsi="Arial"/>
                <w:sz w:val="16"/>
                <w:szCs w:val="16"/>
                <w:color w:val="0000EE"/>
                <w:w w:val="91"/>
              </w:rPr>
            </w:pPr>
            <w:hyperlink w:anchor="page86">
              <w:r>
                <w:rPr>
                  <w:rFonts w:ascii="Arial" w:cs="Arial" w:eastAsia="Arial" w:hAnsi="Arial"/>
                  <w:sz w:val="16"/>
                  <w:szCs w:val="16"/>
                  <w:color w:val="0000EE"/>
                  <w:w w:val="91"/>
                </w:rPr>
                <w:t>(d)</w:t>
              </w:r>
            </w:hyperlink>
          </w:p>
        </w:tc>
        <w:tc>
          <w:tcPr>
            <w:tcW w:w="240" w:type="dxa"/>
            <w:vAlign w:val="bottom"/>
            <w:tcBorders>
              <w:top w:val="single" w:sz="8" w:color="CCEEFF"/>
            </w:tcBorders>
            <w:gridSpan w:val="5"/>
          </w:tcPr>
          <w:p>
            <w:pPr>
              <w:spacing w:after="0"/>
              <w:rPr>
                <w:sz w:val="19"/>
                <w:szCs w:val="19"/>
                <w:color w:val="auto"/>
              </w:rPr>
            </w:pPr>
          </w:p>
        </w:tc>
        <w:tc>
          <w:tcPr>
            <w:tcW w:w="840" w:type="dxa"/>
            <w:vAlign w:val="bottom"/>
            <w:tcBorders>
              <w:top w:val="single" w:sz="8" w:color="0000EE"/>
            </w:tcBorders>
            <w:gridSpan w:val="10"/>
          </w:tcPr>
          <w:p>
            <w:pPr>
              <w:spacing w:after="0"/>
              <w:rPr>
                <w:rFonts w:ascii="Arial" w:cs="Arial" w:eastAsia="Arial" w:hAnsi="Arial"/>
                <w:sz w:val="16"/>
                <w:szCs w:val="16"/>
                <w:color w:val="0000EE"/>
              </w:rPr>
            </w:pPr>
            <w:hyperlink w:anchor="page86">
              <w:r>
                <w:rPr>
                  <w:rFonts w:ascii="Arial" w:cs="Arial" w:eastAsia="Arial" w:hAnsi="Arial"/>
                  <w:sz w:val="16"/>
                  <w:szCs w:val="16"/>
                  <w:color w:val="0000EE"/>
                </w:rPr>
                <w:t>“Affiliate”</w:t>
              </w:r>
            </w:hyperlink>
          </w:p>
        </w:tc>
        <w:tc>
          <w:tcPr>
            <w:tcW w:w="7560" w:type="dxa"/>
            <w:vAlign w:val="bottom"/>
            <w:tcBorders>
              <w:top w:val="single" w:sz="8" w:color="CCEEFF"/>
            </w:tcBorders>
            <w:gridSpan w:val="18"/>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60" w:type="dxa"/>
            <w:vAlign w:val="bottom"/>
            <w:tcBorders>
              <w:top w:val="single" w:sz="8" w:color="0000EE"/>
            </w:tcBorders>
            <w:gridSpan w:val="2"/>
          </w:tcPr>
          <w:p>
            <w:pPr>
              <w:spacing w:after="0"/>
              <w:rPr>
                <w:rFonts w:ascii="Arial" w:cs="Arial" w:eastAsia="Arial" w:hAnsi="Arial"/>
                <w:sz w:val="16"/>
                <w:szCs w:val="16"/>
                <w:color w:val="0000EE"/>
                <w:w w:val="96"/>
              </w:rPr>
            </w:pPr>
            <w:hyperlink w:anchor="page86">
              <w:r>
                <w:rPr>
                  <w:rFonts w:ascii="Arial" w:cs="Arial" w:eastAsia="Arial" w:hAnsi="Arial"/>
                  <w:sz w:val="16"/>
                  <w:szCs w:val="16"/>
                  <w:color w:val="0000EE"/>
                  <w:w w:val="96"/>
                </w:rPr>
                <w:t>A-1</w:t>
              </w:r>
            </w:hyperlink>
          </w:p>
        </w:tc>
        <w:tc>
          <w:tcPr>
            <w:tcW w:w="66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63"/>
        </w:trPr>
        <w:tc>
          <w:tcPr>
            <w:tcW w:w="660" w:type="dxa"/>
            <w:vAlign w:val="bottom"/>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0000EE"/>
            </w:tcBorders>
            <w:gridSpan w:val="4"/>
            <w:shd w:val="clear" w:color="auto" w:fill="CCEEFF"/>
          </w:tcPr>
          <w:p>
            <w:pPr>
              <w:spacing w:after="0"/>
              <w:rPr>
                <w:rFonts w:ascii="Arial" w:cs="Arial" w:eastAsia="Arial" w:hAnsi="Arial"/>
                <w:sz w:val="16"/>
                <w:szCs w:val="16"/>
                <w:color w:val="0000EE"/>
                <w:w w:val="91"/>
              </w:rPr>
            </w:pPr>
            <w:hyperlink w:anchor="page86">
              <w:r>
                <w:rPr>
                  <w:rFonts w:ascii="Arial" w:cs="Arial" w:eastAsia="Arial" w:hAnsi="Arial"/>
                  <w:sz w:val="16"/>
                  <w:szCs w:val="16"/>
                  <w:color w:val="0000EE"/>
                  <w:w w:val="91"/>
                </w:rPr>
                <w:t>(e)</w:t>
              </w:r>
            </w:hyperlink>
          </w:p>
        </w:tc>
        <w:tc>
          <w:tcPr>
            <w:tcW w:w="240" w:type="dxa"/>
            <w:vAlign w:val="bottom"/>
            <w:tcBorders>
              <w:bottom w:val="single" w:sz="8" w:color="CCEEFF"/>
            </w:tcBorders>
            <w:gridSpan w:val="5"/>
            <w:shd w:val="clear" w:color="auto" w:fill="CCEEFF"/>
          </w:tcPr>
          <w:p>
            <w:pPr>
              <w:spacing w:after="0"/>
              <w:rPr>
                <w:sz w:val="22"/>
                <w:szCs w:val="22"/>
                <w:color w:val="auto"/>
              </w:rPr>
            </w:pPr>
          </w:p>
        </w:tc>
        <w:tc>
          <w:tcPr>
            <w:tcW w:w="580" w:type="dxa"/>
            <w:vAlign w:val="bottom"/>
            <w:tcBorders>
              <w:bottom w:val="single" w:sz="8" w:color="0000EE"/>
            </w:tcBorders>
            <w:gridSpan w:val="4"/>
            <w:shd w:val="clear" w:color="auto" w:fill="CCEEFF"/>
          </w:tcPr>
          <w:p>
            <w:pPr>
              <w:spacing w:after="0"/>
              <w:rPr>
                <w:rFonts w:ascii="Arial" w:cs="Arial" w:eastAsia="Arial" w:hAnsi="Arial"/>
                <w:sz w:val="16"/>
                <w:szCs w:val="16"/>
                <w:color w:val="0000EE"/>
                <w:w w:val="99"/>
              </w:rPr>
            </w:pPr>
            <w:hyperlink w:anchor="page86">
              <w:r>
                <w:rPr>
                  <w:rFonts w:ascii="Arial" w:cs="Arial" w:eastAsia="Arial" w:hAnsi="Arial"/>
                  <w:sz w:val="16"/>
                  <w:szCs w:val="16"/>
                  <w:color w:val="0000EE"/>
                  <w:w w:val="99"/>
                </w:rPr>
                <w:t>“Award”</w:t>
              </w:r>
            </w:hyperlink>
          </w:p>
        </w:tc>
        <w:tc>
          <w:tcPr>
            <w:tcW w:w="7820" w:type="dxa"/>
            <w:vAlign w:val="bottom"/>
            <w:tcBorders>
              <w:bottom w:val="single" w:sz="8" w:color="CCEEFF"/>
            </w:tcBorders>
            <w:gridSpan w:val="24"/>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0000EE"/>
            </w:tcBorders>
            <w:shd w:val="clear" w:color="auto" w:fill="CCEEFF"/>
          </w:tcPr>
          <w:p>
            <w:pPr>
              <w:spacing w:after="0"/>
              <w:rPr>
                <w:rFonts w:ascii="Arial" w:cs="Arial" w:eastAsia="Arial" w:hAnsi="Arial"/>
                <w:sz w:val="16"/>
                <w:szCs w:val="16"/>
                <w:color w:val="0000EE"/>
                <w:w w:val="88"/>
              </w:rPr>
            </w:pPr>
            <w:hyperlink w:anchor="page86">
              <w:r>
                <w:rPr>
                  <w:rFonts w:ascii="Arial" w:cs="Arial" w:eastAsia="Arial" w:hAnsi="Arial"/>
                  <w:sz w:val="16"/>
                  <w:szCs w:val="16"/>
                  <w:color w:val="0000EE"/>
                  <w:w w:val="88"/>
                </w:rPr>
                <w:t>A-1</w:t>
              </w:r>
            </w:hyperlink>
          </w:p>
        </w:tc>
        <w:tc>
          <w:tcPr>
            <w:tcW w:w="20" w:type="dxa"/>
            <w:vAlign w:val="bottom"/>
            <w:tcBorders>
              <w:bottom w:val="single" w:sz="8" w:color="0000EE"/>
            </w:tcBorders>
          </w:tcPr>
          <w:p>
            <w:pPr>
              <w:spacing w:after="0"/>
              <w:rPr>
                <w:sz w:val="22"/>
                <w:szCs w:val="22"/>
                <w:color w:val="auto"/>
              </w:rPr>
            </w:pPr>
          </w:p>
        </w:tc>
        <w:tc>
          <w:tcPr>
            <w:tcW w:w="660" w:type="dxa"/>
            <w:vAlign w:val="bottom"/>
          </w:tcPr>
          <w:p>
            <w:pPr>
              <w:spacing w:after="0"/>
              <w:rPr>
                <w:sz w:val="22"/>
                <w:szCs w:val="22"/>
                <w:color w:val="auto"/>
              </w:rPr>
            </w:pPr>
          </w:p>
        </w:tc>
      </w:tr>
      <w:tr>
        <w:trPr>
          <w:trHeight w:val="229"/>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gridSpan w:val="9"/>
          </w:tcPr>
          <w:p>
            <w:pPr>
              <w:spacing w:after="0"/>
              <w:rPr>
                <w:rFonts w:ascii="Arial" w:cs="Arial" w:eastAsia="Arial" w:hAnsi="Arial"/>
                <w:sz w:val="16"/>
                <w:szCs w:val="16"/>
                <w:color w:val="0000EE"/>
              </w:rPr>
            </w:pPr>
            <w:hyperlink w:anchor="page86">
              <w:r>
                <w:rPr>
                  <w:rFonts w:ascii="Arial" w:cs="Arial" w:eastAsia="Arial" w:hAnsi="Arial"/>
                  <w:sz w:val="16"/>
                  <w:szCs w:val="16"/>
                  <w:color w:val="0000EE"/>
                </w:rPr>
                <w:t>(f)</w:t>
              </w:r>
            </w:hyperlink>
          </w:p>
        </w:tc>
        <w:tc>
          <w:tcPr>
            <w:tcW w:w="8400" w:type="dxa"/>
            <w:vAlign w:val="bottom"/>
            <w:gridSpan w:val="28"/>
          </w:tcPr>
          <w:p>
            <w:pPr>
              <w:spacing w:after="0"/>
              <w:rPr>
                <w:rFonts w:ascii="Arial" w:cs="Arial" w:eastAsia="Arial" w:hAnsi="Arial"/>
                <w:sz w:val="16"/>
                <w:szCs w:val="16"/>
                <w:color w:val="0000EE"/>
              </w:rPr>
            </w:pPr>
            <w:hyperlink w:anchor="page86">
              <w:r>
                <w:rPr>
                  <w:rFonts w:ascii="Arial" w:cs="Arial" w:eastAsia="Arial" w:hAnsi="Arial"/>
                  <w:sz w:val="16"/>
                  <w:szCs w:val="16"/>
                  <w:color w:val="0000EE"/>
                </w:rPr>
                <w:t>“Award Agreement”</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3"/>
          </w:tcPr>
          <w:p>
            <w:pPr>
              <w:spacing w:after="0"/>
              <w:rPr>
                <w:rFonts w:ascii="Arial" w:cs="Arial" w:eastAsia="Arial" w:hAnsi="Arial"/>
                <w:sz w:val="16"/>
                <w:szCs w:val="16"/>
                <w:color w:val="0000EE"/>
              </w:rPr>
            </w:pPr>
            <w:hyperlink w:anchor="page86">
              <w:r>
                <w:rPr>
                  <w:rFonts w:ascii="Arial" w:cs="Arial" w:eastAsia="Arial" w:hAnsi="Arial"/>
                  <w:sz w:val="16"/>
                  <w:szCs w:val="16"/>
                  <w:color w:val="0000EE"/>
                </w:rPr>
                <w:t>A-1</w:t>
              </w:r>
            </w:hyperlink>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63"/>
        </w:trPr>
        <w:tc>
          <w:tcPr>
            <w:tcW w:w="660" w:type="dxa"/>
            <w:vAlign w:val="bottom"/>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0000EE"/>
            </w:tcBorders>
            <w:gridSpan w:val="4"/>
            <w:shd w:val="clear" w:color="auto" w:fill="CCEEFF"/>
          </w:tcPr>
          <w:p>
            <w:pPr>
              <w:spacing w:after="0"/>
              <w:rPr>
                <w:rFonts w:ascii="Arial" w:cs="Arial" w:eastAsia="Arial" w:hAnsi="Arial"/>
                <w:sz w:val="16"/>
                <w:szCs w:val="16"/>
                <w:color w:val="0000EE"/>
                <w:w w:val="91"/>
              </w:rPr>
            </w:pPr>
            <w:hyperlink w:anchor="page86">
              <w:r>
                <w:rPr>
                  <w:rFonts w:ascii="Arial" w:cs="Arial" w:eastAsia="Arial" w:hAnsi="Arial"/>
                  <w:sz w:val="16"/>
                  <w:szCs w:val="16"/>
                  <w:color w:val="0000EE"/>
                  <w:w w:val="91"/>
                </w:rPr>
                <w:t>(g)</w:t>
              </w:r>
            </w:hyperlink>
          </w:p>
        </w:tc>
        <w:tc>
          <w:tcPr>
            <w:tcW w:w="240" w:type="dxa"/>
            <w:vAlign w:val="bottom"/>
            <w:tcBorders>
              <w:bottom w:val="single" w:sz="8" w:color="CCEEFF"/>
            </w:tcBorders>
            <w:gridSpan w:val="5"/>
            <w:shd w:val="clear" w:color="auto" w:fill="CCEEFF"/>
          </w:tcPr>
          <w:p>
            <w:pPr>
              <w:spacing w:after="0"/>
              <w:rPr>
                <w:sz w:val="22"/>
                <w:szCs w:val="22"/>
                <w:color w:val="auto"/>
              </w:rPr>
            </w:pPr>
          </w:p>
        </w:tc>
        <w:tc>
          <w:tcPr>
            <w:tcW w:w="2200" w:type="dxa"/>
            <w:vAlign w:val="bottom"/>
            <w:tcBorders>
              <w:bottom w:val="single" w:sz="8" w:color="0000EE"/>
            </w:tcBorders>
            <w:gridSpan w:val="25"/>
            <w:shd w:val="clear" w:color="auto" w:fill="CCEEFF"/>
          </w:tcPr>
          <w:p>
            <w:pPr>
              <w:spacing w:after="0"/>
              <w:rPr>
                <w:rFonts w:ascii="Arial" w:cs="Arial" w:eastAsia="Arial" w:hAnsi="Arial"/>
                <w:sz w:val="16"/>
                <w:szCs w:val="16"/>
                <w:color w:val="0000EE"/>
              </w:rPr>
            </w:pPr>
            <w:hyperlink w:anchor="page86">
              <w:r>
                <w:rPr>
                  <w:rFonts w:ascii="Arial" w:cs="Arial" w:eastAsia="Arial" w:hAnsi="Arial"/>
                  <w:sz w:val="16"/>
                  <w:szCs w:val="16"/>
                  <w:color w:val="0000EE"/>
                </w:rPr>
                <w:t>“Board of Directors” or “Board”</w:t>
              </w:r>
            </w:hyperlink>
          </w:p>
        </w:tc>
        <w:tc>
          <w:tcPr>
            <w:tcW w:w="6200" w:type="dxa"/>
            <w:vAlign w:val="bottom"/>
            <w:tcBorders>
              <w:bottom w:val="single" w:sz="8" w:color="CCEEFF"/>
            </w:tcBorders>
            <w:gridSpan w:val="3"/>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0000EE"/>
            </w:tcBorders>
            <w:shd w:val="clear" w:color="auto" w:fill="CCEEFF"/>
          </w:tcPr>
          <w:p>
            <w:pPr>
              <w:spacing w:after="0"/>
              <w:rPr>
                <w:rFonts w:ascii="Arial" w:cs="Arial" w:eastAsia="Arial" w:hAnsi="Arial"/>
                <w:sz w:val="16"/>
                <w:szCs w:val="16"/>
                <w:color w:val="0000EE"/>
                <w:w w:val="88"/>
              </w:rPr>
            </w:pPr>
            <w:hyperlink w:anchor="page86">
              <w:r>
                <w:rPr>
                  <w:rFonts w:ascii="Arial" w:cs="Arial" w:eastAsia="Arial" w:hAnsi="Arial"/>
                  <w:sz w:val="16"/>
                  <w:szCs w:val="16"/>
                  <w:color w:val="0000EE"/>
                  <w:w w:val="88"/>
                </w:rPr>
                <w:t>A-1</w:t>
              </w:r>
            </w:hyperlink>
          </w:p>
        </w:tc>
        <w:tc>
          <w:tcPr>
            <w:tcW w:w="20" w:type="dxa"/>
            <w:vAlign w:val="bottom"/>
            <w:tcBorders>
              <w:bottom w:val="single" w:sz="8" w:color="0000EE"/>
            </w:tcBorders>
          </w:tcPr>
          <w:p>
            <w:pPr>
              <w:spacing w:after="0"/>
              <w:rPr>
                <w:sz w:val="22"/>
                <w:szCs w:val="22"/>
                <w:color w:val="auto"/>
              </w:rPr>
            </w:pPr>
          </w:p>
        </w:tc>
        <w:tc>
          <w:tcPr>
            <w:tcW w:w="660" w:type="dxa"/>
            <w:vAlign w:val="bottom"/>
          </w:tcPr>
          <w:p>
            <w:pPr>
              <w:spacing w:after="0"/>
              <w:rPr>
                <w:sz w:val="22"/>
                <w:szCs w:val="22"/>
                <w:color w:val="auto"/>
              </w:rPr>
            </w:pPr>
          </w:p>
        </w:tc>
      </w:tr>
      <w:tr>
        <w:trPr>
          <w:trHeight w:val="230"/>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gridSpan w:val="9"/>
          </w:tcPr>
          <w:p>
            <w:pPr>
              <w:spacing w:after="0"/>
              <w:rPr>
                <w:rFonts w:ascii="Arial" w:cs="Arial" w:eastAsia="Arial" w:hAnsi="Arial"/>
                <w:sz w:val="16"/>
                <w:szCs w:val="16"/>
                <w:color w:val="0000EE"/>
              </w:rPr>
            </w:pPr>
            <w:hyperlink w:anchor="page86">
              <w:r>
                <w:rPr>
                  <w:rFonts w:ascii="Arial" w:cs="Arial" w:eastAsia="Arial" w:hAnsi="Arial"/>
                  <w:sz w:val="16"/>
                  <w:szCs w:val="16"/>
                  <w:color w:val="0000EE"/>
                </w:rPr>
                <w:t>(h)</w:t>
              </w:r>
            </w:hyperlink>
          </w:p>
        </w:tc>
        <w:tc>
          <w:tcPr>
            <w:tcW w:w="8400" w:type="dxa"/>
            <w:vAlign w:val="bottom"/>
            <w:gridSpan w:val="28"/>
          </w:tcPr>
          <w:p>
            <w:pPr>
              <w:spacing w:after="0"/>
              <w:rPr>
                <w:rFonts w:ascii="Arial" w:cs="Arial" w:eastAsia="Arial" w:hAnsi="Arial"/>
                <w:sz w:val="16"/>
                <w:szCs w:val="16"/>
                <w:color w:val="0000EE"/>
              </w:rPr>
            </w:pPr>
            <w:hyperlink w:anchor="page86">
              <w:r>
                <w:rPr>
                  <w:rFonts w:ascii="Arial" w:cs="Arial" w:eastAsia="Arial" w:hAnsi="Arial"/>
                  <w:sz w:val="16"/>
                  <w:szCs w:val="16"/>
                  <w:color w:val="0000EE"/>
                </w:rPr>
                <w:t>“Cash-Based Award”</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3"/>
          </w:tcPr>
          <w:p>
            <w:pPr>
              <w:spacing w:after="0"/>
              <w:rPr>
                <w:rFonts w:ascii="Arial" w:cs="Arial" w:eastAsia="Arial" w:hAnsi="Arial"/>
                <w:sz w:val="16"/>
                <w:szCs w:val="16"/>
                <w:color w:val="0000EE"/>
              </w:rPr>
            </w:pPr>
            <w:hyperlink w:anchor="page86">
              <w:r>
                <w:rPr>
                  <w:rFonts w:ascii="Arial" w:cs="Arial" w:eastAsia="Arial" w:hAnsi="Arial"/>
                  <w:sz w:val="16"/>
                  <w:szCs w:val="16"/>
                  <w:color w:val="0000EE"/>
                </w:rPr>
                <w:t>A-1</w:t>
              </w:r>
            </w:hyperlink>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30"/>
        </w:trPr>
        <w:tc>
          <w:tcPr>
            <w:tcW w:w="66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gridSpan w:val="9"/>
            <w:shd w:val="clear" w:color="auto" w:fill="CCEEFF"/>
          </w:tcPr>
          <w:p>
            <w:pPr>
              <w:spacing w:after="0"/>
              <w:rPr>
                <w:rFonts w:ascii="Arial" w:cs="Arial" w:eastAsia="Arial" w:hAnsi="Arial"/>
                <w:sz w:val="16"/>
                <w:szCs w:val="16"/>
                <w:color w:val="0000EE"/>
              </w:rPr>
            </w:pPr>
            <w:hyperlink w:anchor="page86">
              <w:r>
                <w:rPr>
                  <w:rFonts w:ascii="Arial" w:cs="Arial" w:eastAsia="Arial" w:hAnsi="Arial"/>
                  <w:sz w:val="16"/>
                  <w:szCs w:val="16"/>
                  <w:color w:val="0000EE"/>
                </w:rPr>
                <w:t>(i)</w:t>
              </w:r>
            </w:hyperlink>
          </w:p>
        </w:tc>
        <w:tc>
          <w:tcPr>
            <w:tcW w:w="8400" w:type="dxa"/>
            <w:vAlign w:val="bottom"/>
            <w:gridSpan w:val="28"/>
            <w:shd w:val="clear" w:color="auto" w:fill="CCEEFF"/>
          </w:tcPr>
          <w:p>
            <w:pPr>
              <w:spacing w:after="0"/>
              <w:rPr>
                <w:rFonts w:ascii="Arial" w:cs="Arial" w:eastAsia="Arial" w:hAnsi="Arial"/>
                <w:sz w:val="16"/>
                <w:szCs w:val="16"/>
                <w:color w:val="0000EE"/>
              </w:rPr>
            </w:pPr>
            <w:hyperlink w:anchor="page86">
              <w:r>
                <w:rPr>
                  <w:rFonts w:ascii="Arial" w:cs="Arial" w:eastAsia="Arial" w:hAnsi="Arial"/>
                  <w:sz w:val="16"/>
                  <w:szCs w:val="16"/>
                  <w:color w:val="0000EE"/>
                </w:rPr>
                <w:t>“Cause”</w:t>
              </w:r>
            </w:hyperlink>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rFonts w:ascii="Arial" w:cs="Arial" w:eastAsia="Arial" w:hAnsi="Arial"/>
                <w:sz w:val="16"/>
                <w:szCs w:val="16"/>
                <w:color w:val="0000EE"/>
                <w:w w:val="88"/>
              </w:rPr>
            </w:pPr>
            <w:hyperlink w:anchor="page86">
              <w:r>
                <w:rPr>
                  <w:rFonts w:ascii="Arial" w:cs="Arial" w:eastAsia="Arial" w:hAnsi="Arial"/>
                  <w:sz w:val="16"/>
                  <w:szCs w:val="16"/>
                  <w:color w:val="0000EE"/>
                  <w:w w:val="88"/>
                </w:rPr>
                <w:t>A-1</w:t>
              </w:r>
            </w:hyperlink>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5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29"/>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gridSpan w:val="9"/>
          </w:tcPr>
          <w:p>
            <w:pPr>
              <w:spacing w:after="0"/>
              <w:rPr>
                <w:rFonts w:ascii="Arial" w:cs="Arial" w:eastAsia="Arial" w:hAnsi="Arial"/>
                <w:sz w:val="16"/>
                <w:szCs w:val="16"/>
                <w:color w:val="0000EE"/>
              </w:rPr>
            </w:pPr>
            <w:hyperlink w:anchor="page87">
              <w:r>
                <w:rPr>
                  <w:rFonts w:ascii="Arial" w:cs="Arial" w:eastAsia="Arial" w:hAnsi="Arial"/>
                  <w:sz w:val="16"/>
                  <w:szCs w:val="16"/>
                  <w:color w:val="0000EE"/>
                </w:rPr>
                <w:t>(j)</w:t>
              </w:r>
            </w:hyperlink>
          </w:p>
        </w:tc>
        <w:tc>
          <w:tcPr>
            <w:tcW w:w="8400" w:type="dxa"/>
            <w:vAlign w:val="bottom"/>
            <w:gridSpan w:val="28"/>
          </w:tcPr>
          <w:p>
            <w:pPr>
              <w:spacing w:after="0"/>
              <w:rPr>
                <w:rFonts w:ascii="Arial" w:cs="Arial" w:eastAsia="Arial" w:hAnsi="Arial"/>
                <w:sz w:val="16"/>
                <w:szCs w:val="16"/>
                <w:color w:val="0000EE"/>
              </w:rPr>
            </w:pPr>
            <w:hyperlink w:anchor="page87">
              <w:r>
                <w:rPr>
                  <w:rFonts w:ascii="Arial" w:cs="Arial" w:eastAsia="Arial" w:hAnsi="Arial"/>
                  <w:sz w:val="16"/>
                  <w:szCs w:val="16"/>
                  <w:color w:val="0000EE"/>
                </w:rPr>
                <w:t>“Change in Control”</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3"/>
          </w:tcPr>
          <w:p>
            <w:pPr>
              <w:spacing w:after="0"/>
              <w:rPr>
                <w:rFonts w:ascii="Arial" w:cs="Arial" w:eastAsia="Arial" w:hAnsi="Arial"/>
                <w:sz w:val="16"/>
                <w:szCs w:val="16"/>
                <w:color w:val="0000EE"/>
              </w:rPr>
            </w:pPr>
            <w:hyperlink w:anchor="page87">
              <w:r>
                <w:rPr>
                  <w:rFonts w:ascii="Arial" w:cs="Arial" w:eastAsia="Arial" w:hAnsi="Arial"/>
                  <w:sz w:val="16"/>
                  <w:szCs w:val="16"/>
                  <w:color w:val="0000EE"/>
                </w:rPr>
                <w:t>A-2</w:t>
              </w:r>
            </w:hyperlink>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29"/>
        </w:trPr>
        <w:tc>
          <w:tcPr>
            <w:tcW w:w="66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gridSpan w:val="4"/>
            <w:shd w:val="clear" w:color="auto" w:fill="CCEEFF"/>
          </w:tcPr>
          <w:p>
            <w:pPr>
              <w:spacing w:after="0"/>
              <w:rPr>
                <w:rFonts w:ascii="Arial" w:cs="Arial" w:eastAsia="Arial" w:hAnsi="Arial"/>
                <w:sz w:val="16"/>
                <w:szCs w:val="16"/>
                <w:color w:val="0000EE"/>
                <w:w w:val="96"/>
              </w:rPr>
            </w:pPr>
            <w:hyperlink w:anchor="page87">
              <w:r>
                <w:rPr>
                  <w:rFonts w:ascii="Arial" w:cs="Arial" w:eastAsia="Arial" w:hAnsi="Arial"/>
                  <w:sz w:val="16"/>
                  <w:szCs w:val="16"/>
                  <w:color w:val="0000EE"/>
                  <w:w w:val="96"/>
                </w:rPr>
                <w:t>(k)</w:t>
              </w:r>
            </w:hyperlink>
          </w:p>
        </w:tc>
        <w:tc>
          <w:tcPr>
            <w:tcW w:w="240" w:type="dxa"/>
            <w:vAlign w:val="bottom"/>
            <w:gridSpan w:val="5"/>
            <w:shd w:val="clear" w:color="auto" w:fill="CCEEFF"/>
          </w:tcPr>
          <w:p>
            <w:pPr>
              <w:spacing w:after="0"/>
              <w:rPr>
                <w:sz w:val="19"/>
                <w:szCs w:val="19"/>
                <w:color w:val="auto"/>
              </w:rPr>
            </w:pPr>
          </w:p>
        </w:tc>
        <w:tc>
          <w:tcPr>
            <w:tcW w:w="8400" w:type="dxa"/>
            <w:vAlign w:val="bottom"/>
            <w:gridSpan w:val="28"/>
            <w:shd w:val="clear" w:color="auto" w:fill="CCEEFF"/>
          </w:tcPr>
          <w:p>
            <w:pPr>
              <w:spacing w:after="0"/>
              <w:rPr>
                <w:rFonts w:ascii="Arial" w:cs="Arial" w:eastAsia="Arial" w:hAnsi="Arial"/>
                <w:sz w:val="16"/>
                <w:szCs w:val="16"/>
                <w:color w:val="0000EE"/>
              </w:rPr>
            </w:pPr>
            <w:hyperlink w:anchor="page87">
              <w:r>
                <w:rPr>
                  <w:rFonts w:ascii="Arial" w:cs="Arial" w:eastAsia="Arial" w:hAnsi="Arial"/>
                  <w:sz w:val="16"/>
                  <w:szCs w:val="16"/>
                  <w:color w:val="0000EE"/>
                </w:rPr>
                <w:t>“Code”</w:t>
              </w:r>
            </w:hyperlink>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rFonts w:ascii="Arial" w:cs="Arial" w:eastAsia="Arial" w:hAnsi="Arial"/>
                <w:sz w:val="16"/>
                <w:szCs w:val="16"/>
                <w:color w:val="0000EE"/>
                <w:w w:val="88"/>
              </w:rPr>
            </w:pPr>
            <w:hyperlink w:anchor="page87">
              <w:r>
                <w:rPr>
                  <w:rFonts w:ascii="Arial" w:cs="Arial" w:eastAsia="Arial" w:hAnsi="Arial"/>
                  <w:sz w:val="16"/>
                  <w:szCs w:val="16"/>
                  <w:color w:val="0000EE"/>
                  <w:w w:val="88"/>
                </w:rPr>
                <w:t>A-2</w:t>
              </w:r>
            </w:hyperlink>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5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29"/>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gridSpan w:val="4"/>
          </w:tcPr>
          <w:p>
            <w:pPr>
              <w:spacing w:after="0"/>
              <w:rPr>
                <w:rFonts w:ascii="Arial" w:cs="Arial" w:eastAsia="Arial" w:hAnsi="Arial"/>
                <w:sz w:val="16"/>
                <w:szCs w:val="16"/>
                <w:color w:val="0000EE"/>
              </w:rPr>
            </w:pPr>
            <w:hyperlink w:anchor="page87">
              <w:r>
                <w:rPr>
                  <w:rFonts w:ascii="Arial" w:cs="Arial" w:eastAsia="Arial" w:hAnsi="Arial"/>
                  <w:sz w:val="16"/>
                  <w:szCs w:val="16"/>
                  <w:color w:val="0000EE"/>
                </w:rPr>
                <w:t>(l)</w:t>
              </w:r>
            </w:hyperlink>
          </w:p>
        </w:tc>
        <w:tc>
          <w:tcPr>
            <w:tcW w:w="240" w:type="dxa"/>
            <w:vAlign w:val="bottom"/>
            <w:gridSpan w:val="5"/>
          </w:tcPr>
          <w:p>
            <w:pPr>
              <w:spacing w:after="0"/>
              <w:rPr>
                <w:sz w:val="19"/>
                <w:szCs w:val="19"/>
                <w:color w:val="auto"/>
              </w:rPr>
            </w:pPr>
          </w:p>
        </w:tc>
        <w:tc>
          <w:tcPr>
            <w:tcW w:w="8400" w:type="dxa"/>
            <w:vAlign w:val="bottom"/>
            <w:gridSpan w:val="28"/>
          </w:tcPr>
          <w:p>
            <w:pPr>
              <w:spacing w:after="0"/>
              <w:rPr>
                <w:rFonts w:ascii="Arial" w:cs="Arial" w:eastAsia="Arial" w:hAnsi="Arial"/>
                <w:sz w:val="16"/>
                <w:szCs w:val="16"/>
                <w:color w:val="0000EE"/>
              </w:rPr>
            </w:pPr>
            <w:hyperlink w:anchor="page87">
              <w:r>
                <w:rPr>
                  <w:rFonts w:ascii="Arial" w:cs="Arial" w:eastAsia="Arial" w:hAnsi="Arial"/>
                  <w:sz w:val="16"/>
                  <w:szCs w:val="16"/>
                  <w:color w:val="0000EE"/>
                </w:rPr>
                <w:t>“Committee”</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3"/>
          </w:tcPr>
          <w:p>
            <w:pPr>
              <w:spacing w:after="0"/>
              <w:rPr>
                <w:rFonts w:ascii="Arial" w:cs="Arial" w:eastAsia="Arial" w:hAnsi="Arial"/>
                <w:sz w:val="16"/>
                <w:szCs w:val="16"/>
                <w:color w:val="0000EE"/>
              </w:rPr>
            </w:pPr>
            <w:hyperlink w:anchor="page87">
              <w:r>
                <w:rPr>
                  <w:rFonts w:ascii="Arial" w:cs="Arial" w:eastAsia="Arial" w:hAnsi="Arial"/>
                  <w:sz w:val="16"/>
                  <w:szCs w:val="16"/>
                  <w:color w:val="0000EE"/>
                </w:rPr>
                <w:t>A-2</w:t>
              </w:r>
            </w:hyperlink>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29"/>
        </w:trPr>
        <w:tc>
          <w:tcPr>
            <w:tcW w:w="66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gridSpan w:val="6"/>
            <w:shd w:val="clear" w:color="auto" w:fill="CCEEFF"/>
          </w:tcPr>
          <w:p>
            <w:pPr>
              <w:spacing w:after="0"/>
              <w:rPr>
                <w:rFonts w:ascii="Arial" w:cs="Arial" w:eastAsia="Arial" w:hAnsi="Arial"/>
                <w:sz w:val="16"/>
                <w:szCs w:val="16"/>
                <w:color w:val="0000EE"/>
                <w:w w:val="91"/>
              </w:rPr>
            </w:pPr>
            <w:hyperlink w:anchor="page88">
              <w:r>
                <w:rPr>
                  <w:rFonts w:ascii="Arial" w:cs="Arial" w:eastAsia="Arial" w:hAnsi="Arial"/>
                  <w:sz w:val="16"/>
                  <w:szCs w:val="16"/>
                  <w:color w:val="0000EE"/>
                  <w:w w:val="91"/>
                </w:rPr>
                <w:t>(m)</w:t>
              </w:r>
            </w:hyperlink>
          </w:p>
        </w:tc>
        <w:tc>
          <w:tcPr>
            <w:tcW w:w="200" w:type="dxa"/>
            <w:vAlign w:val="bottom"/>
            <w:gridSpan w:val="3"/>
            <w:shd w:val="clear" w:color="auto" w:fill="CCEEFF"/>
          </w:tcPr>
          <w:p>
            <w:pPr>
              <w:spacing w:after="0"/>
              <w:rPr>
                <w:sz w:val="19"/>
                <w:szCs w:val="19"/>
                <w:color w:val="auto"/>
              </w:rPr>
            </w:pPr>
          </w:p>
        </w:tc>
        <w:tc>
          <w:tcPr>
            <w:tcW w:w="8400" w:type="dxa"/>
            <w:vAlign w:val="bottom"/>
            <w:gridSpan w:val="28"/>
            <w:shd w:val="clear" w:color="auto" w:fill="CCEEFF"/>
          </w:tcPr>
          <w:p>
            <w:pPr>
              <w:spacing w:after="0"/>
              <w:rPr>
                <w:rFonts w:ascii="Arial" w:cs="Arial" w:eastAsia="Arial" w:hAnsi="Arial"/>
                <w:sz w:val="16"/>
                <w:szCs w:val="16"/>
                <w:color w:val="0000EE"/>
              </w:rPr>
            </w:pPr>
            <w:hyperlink w:anchor="page88">
              <w:r>
                <w:rPr>
                  <w:rFonts w:ascii="Arial" w:cs="Arial" w:eastAsia="Arial" w:hAnsi="Arial"/>
                  <w:sz w:val="16"/>
                  <w:szCs w:val="16"/>
                  <w:color w:val="0000EE"/>
                </w:rPr>
                <w:t>“Company”</w:t>
              </w:r>
            </w:hyperlink>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rFonts w:ascii="Arial" w:cs="Arial" w:eastAsia="Arial" w:hAnsi="Arial"/>
                <w:sz w:val="16"/>
                <w:szCs w:val="16"/>
                <w:color w:val="0000EE"/>
                <w:w w:val="88"/>
              </w:rPr>
            </w:pPr>
            <w:hyperlink w:anchor="page88">
              <w:r>
                <w:rPr>
                  <w:rFonts w:ascii="Arial" w:cs="Arial" w:eastAsia="Arial" w:hAnsi="Arial"/>
                  <w:sz w:val="16"/>
                  <w:szCs w:val="16"/>
                  <w:color w:val="0000EE"/>
                  <w:w w:val="88"/>
                </w:rPr>
                <w:t>A-3</w:t>
              </w:r>
            </w:hyperlink>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5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30"/>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gridSpan w:val="6"/>
          </w:tcPr>
          <w:p>
            <w:pPr>
              <w:spacing w:after="0"/>
              <w:rPr>
                <w:rFonts w:ascii="Arial" w:cs="Arial" w:eastAsia="Arial" w:hAnsi="Arial"/>
                <w:sz w:val="16"/>
                <w:szCs w:val="16"/>
                <w:color w:val="0000EE"/>
              </w:rPr>
            </w:pPr>
            <w:hyperlink w:anchor="page88">
              <w:r>
                <w:rPr>
                  <w:rFonts w:ascii="Arial" w:cs="Arial" w:eastAsia="Arial" w:hAnsi="Arial"/>
                  <w:sz w:val="16"/>
                  <w:szCs w:val="16"/>
                  <w:color w:val="0000EE"/>
                </w:rPr>
                <w:t>(n)</w:t>
              </w:r>
            </w:hyperlink>
          </w:p>
        </w:tc>
        <w:tc>
          <w:tcPr>
            <w:tcW w:w="200" w:type="dxa"/>
            <w:vAlign w:val="bottom"/>
            <w:gridSpan w:val="3"/>
          </w:tcPr>
          <w:p>
            <w:pPr>
              <w:spacing w:after="0"/>
              <w:rPr>
                <w:sz w:val="19"/>
                <w:szCs w:val="19"/>
                <w:color w:val="auto"/>
              </w:rPr>
            </w:pPr>
          </w:p>
        </w:tc>
        <w:tc>
          <w:tcPr>
            <w:tcW w:w="8400" w:type="dxa"/>
            <w:vAlign w:val="bottom"/>
            <w:gridSpan w:val="28"/>
          </w:tcPr>
          <w:p>
            <w:pPr>
              <w:spacing w:after="0"/>
              <w:rPr>
                <w:rFonts w:ascii="Arial" w:cs="Arial" w:eastAsia="Arial" w:hAnsi="Arial"/>
                <w:sz w:val="16"/>
                <w:szCs w:val="16"/>
                <w:color w:val="0000EE"/>
              </w:rPr>
            </w:pPr>
            <w:hyperlink w:anchor="page88">
              <w:r>
                <w:rPr>
                  <w:rFonts w:ascii="Arial" w:cs="Arial" w:eastAsia="Arial" w:hAnsi="Arial"/>
                  <w:sz w:val="16"/>
                  <w:szCs w:val="16"/>
                  <w:color w:val="0000EE"/>
                </w:rPr>
                <w:t>“Consultant”</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3"/>
          </w:tcPr>
          <w:p>
            <w:pPr>
              <w:spacing w:after="0"/>
              <w:rPr>
                <w:rFonts w:ascii="Arial" w:cs="Arial" w:eastAsia="Arial" w:hAnsi="Arial"/>
                <w:sz w:val="16"/>
                <w:szCs w:val="16"/>
                <w:color w:val="0000EE"/>
              </w:rPr>
            </w:pPr>
            <w:hyperlink w:anchor="page88">
              <w:r>
                <w:rPr>
                  <w:rFonts w:ascii="Arial" w:cs="Arial" w:eastAsia="Arial" w:hAnsi="Arial"/>
                  <w:sz w:val="16"/>
                  <w:szCs w:val="16"/>
                  <w:color w:val="0000EE"/>
                </w:rPr>
                <w:t>A-3</w:t>
              </w:r>
            </w:hyperlink>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30"/>
        </w:trPr>
        <w:tc>
          <w:tcPr>
            <w:tcW w:w="66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gridSpan w:val="4"/>
            <w:shd w:val="clear" w:color="auto" w:fill="CCEEFF"/>
          </w:tcPr>
          <w:p>
            <w:pPr>
              <w:spacing w:after="0"/>
              <w:rPr>
                <w:rFonts w:ascii="Arial" w:cs="Arial" w:eastAsia="Arial" w:hAnsi="Arial"/>
                <w:sz w:val="16"/>
                <w:szCs w:val="16"/>
                <w:color w:val="0000EE"/>
                <w:w w:val="91"/>
              </w:rPr>
            </w:pPr>
            <w:hyperlink w:anchor="page88">
              <w:r>
                <w:rPr>
                  <w:rFonts w:ascii="Arial" w:cs="Arial" w:eastAsia="Arial" w:hAnsi="Arial"/>
                  <w:sz w:val="16"/>
                  <w:szCs w:val="16"/>
                  <w:color w:val="0000EE"/>
                  <w:w w:val="91"/>
                </w:rPr>
                <w:t>(o)</w:t>
              </w:r>
            </w:hyperlink>
          </w:p>
        </w:tc>
        <w:tc>
          <w:tcPr>
            <w:tcW w:w="240" w:type="dxa"/>
            <w:vAlign w:val="bottom"/>
            <w:gridSpan w:val="5"/>
            <w:shd w:val="clear" w:color="auto" w:fill="CCEEFF"/>
          </w:tcPr>
          <w:p>
            <w:pPr>
              <w:spacing w:after="0"/>
              <w:rPr>
                <w:sz w:val="19"/>
                <w:szCs w:val="19"/>
                <w:color w:val="auto"/>
              </w:rPr>
            </w:pPr>
          </w:p>
        </w:tc>
        <w:tc>
          <w:tcPr>
            <w:tcW w:w="8400" w:type="dxa"/>
            <w:vAlign w:val="bottom"/>
            <w:gridSpan w:val="28"/>
            <w:shd w:val="clear" w:color="auto" w:fill="CCEEFF"/>
          </w:tcPr>
          <w:p>
            <w:pPr>
              <w:spacing w:after="0"/>
              <w:rPr>
                <w:rFonts w:ascii="Arial" w:cs="Arial" w:eastAsia="Arial" w:hAnsi="Arial"/>
                <w:sz w:val="16"/>
                <w:szCs w:val="16"/>
                <w:color w:val="0000EE"/>
              </w:rPr>
            </w:pPr>
            <w:hyperlink w:anchor="page88">
              <w:r>
                <w:rPr>
                  <w:rFonts w:ascii="Arial" w:cs="Arial" w:eastAsia="Arial" w:hAnsi="Arial"/>
                  <w:sz w:val="16"/>
                  <w:szCs w:val="16"/>
                  <w:color w:val="0000EE"/>
                </w:rPr>
                <w:t>“Disability”</w:t>
              </w:r>
            </w:hyperlink>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rFonts w:ascii="Arial" w:cs="Arial" w:eastAsia="Arial" w:hAnsi="Arial"/>
                <w:sz w:val="16"/>
                <w:szCs w:val="16"/>
                <w:color w:val="0000EE"/>
                <w:w w:val="88"/>
              </w:rPr>
            </w:pPr>
            <w:hyperlink w:anchor="page88">
              <w:r>
                <w:rPr>
                  <w:rFonts w:ascii="Arial" w:cs="Arial" w:eastAsia="Arial" w:hAnsi="Arial"/>
                  <w:sz w:val="16"/>
                  <w:szCs w:val="16"/>
                  <w:color w:val="0000EE"/>
                  <w:w w:val="88"/>
                </w:rPr>
                <w:t>A-3</w:t>
              </w:r>
            </w:hyperlink>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5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30"/>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gridSpan w:val="4"/>
          </w:tcPr>
          <w:p>
            <w:pPr>
              <w:spacing w:after="0"/>
              <w:rPr>
                <w:rFonts w:ascii="Arial" w:cs="Arial" w:eastAsia="Arial" w:hAnsi="Arial"/>
                <w:sz w:val="16"/>
                <w:szCs w:val="16"/>
                <w:color w:val="0000EE"/>
                <w:w w:val="91"/>
              </w:rPr>
            </w:pPr>
            <w:hyperlink w:anchor="page88">
              <w:r>
                <w:rPr>
                  <w:rFonts w:ascii="Arial" w:cs="Arial" w:eastAsia="Arial" w:hAnsi="Arial"/>
                  <w:sz w:val="16"/>
                  <w:szCs w:val="16"/>
                  <w:color w:val="0000EE"/>
                  <w:w w:val="91"/>
                </w:rPr>
                <w:t>(p)</w:t>
              </w:r>
            </w:hyperlink>
          </w:p>
        </w:tc>
        <w:tc>
          <w:tcPr>
            <w:tcW w:w="240" w:type="dxa"/>
            <w:vAlign w:val="bottom"/>
            <w:gridSpan w:val="5"/>
          </w:tcPr>
          <w:p>
            <w:pPr>
              <w:spacing w:after="0"/>
              <w:rPr>
                <w:sz w:val="19"/>
                <w:szCs w:val="19"/>
                <w:color w:val="auto"/>
              </w:rPr>
            </w:pPr>
          </w:p>
        </w:tc>
        <w:tc>
          <w:tcPr>
            <w:tcW w:w="8400" w:type="dxa"/>
            <w:vAlign w:val="bottom"/>
            <w:gridSpan w:val="28"/>
          </w:tcPr>
          <w:p>
            <w:pPr>
              <w:spacing w:after="0"/>
              <w:rPr>
                <w:rFonts w:ascii="Arial" w:cs="Arial" w:eastAsia="Arial" w:hAnsi="Arial"/>
                <w:sz w:val="16"/>
                <w:szCs w:val="16"/>
                <w:color w:val="0000EE"/>
              </w:rPr>
            </w:pPr>
            <w:hyperlink w:anchor="page88">
              <w:r>
                <w:rPr>
                  <w:rFonts w:ascii="Arial" w:cs="Arial" w:eastAsia="Arial" w:hAnsi="Arial"/>
                  <w:sz w:val="16"/>
                  <w:szCs w:val="16"/>
                  <w:color w:val="0000EE"/>
                </w:rPr>
                <w:t>“Effective Date”</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3"/>
          </w:tcPr>
          <w:p>
            <w:pPr>
              <w:spacing w:after="0"/>
              <w:rPr>
                <w:rFonts w:ascii="Arial" w:cs="Arial" w:eastAsia="Arial" w:hAnsi="Arial"/>
                <w:sz w:val="16"/>
                <w:szCs w:val="16"/>
                <w:color w:val="0000EE"/>
              </w:rPr>
            </w:pPr>
            <w:hyperlink w:anchor="page88">
              <w:r>
                <w:rPr>
                  <w:rFonts w:ascii="Arial" w:cs="Arial" w:eastAsia="Arial" w:hAnsi="Arial"/>
                  <w:sz w:val="16"/>
                  <w:szCs w:val="16"/>
                  <w:color w:val="0000EE"/>
                </w:rPr>
                <w:t>A-3</w:t>
              </w:r>
            </w:hyperlink>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63"/>
        </w:trPr>
        <w:tc>
          <w:tcPr>
            <w:tcW w:w="660" w:type="dxa"/>
            <w:vAlign w:val="bottom"/>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0000EE"/>
            </w:tcBorders>
            <w:gridSpan w:val="4"/>
            <w:shd w:val="clear" w:color="auto" w:fill="CCEEFF"/>
          </w:tcPr>
          <w:p>
            <w:pPr>
              <w:spacing w:after="0"/>
              <w:rPr>
                <w:rFonts w:ascii="Arial" w:cs="Arial" w:eastAsia="Arial" w:hAnsi="Arial"/>
                <w:sz w:val="16"/>
                <w:szCs w:val="16"/>
                <w:color w:val="0000EE"/>
                <w:w w:val="91"/>
              </w:rPr>
            </w:pPr>
            <w:hyperlink w:anchor="page88">
              <w:r>
                <w:rPr>
                  <w:rFonts w:ascii="Arial" w:cs="Arial" w:eastAsia="Arial" w:hAnsi="Arial"/>
                  <w:sz w:val="16"/>
                  <w:szCs w:val="16"/>
                  <w:color w:val="0000EE"/>
                  <w:w w:val="91"/>
                </w:rPr>
                <w:t>(q)</w:t>
              </w:r>
            </w:hyperlink>
          </w:p>
        </w:tc>
        <w:tc>
          <w:tcPr>
            <w:tcW w:w="240" w:type="dxa"/>
            <w:vAlign w:val="bottom"/>
            <w:tcBorders>
              <w:bottom w:val="single" w:sz="8" w:color="CCEEFF"/>
            </w:tcBorders>
            <w:gridSpan w:val="5"/>
            <w:shd w:val="clear" w:color="auto" w:fill="CCEEFF"/>
          </w:tcPr>
          <w:p>
            <w:pPr>
              <w:spacing w:after="0"/>
              <w:rPr>
                <w:sz w:val="22"/>
                <w:szCs w:val="22"/>
                <w:color w:val="auto"/>
              </w:rPr>
            </w:pPr>
          </w:p>
        </w:tc>
        <w:tc>
          <w:tcPr>
            <w:tcW w:w="840" w:type="dxa"/>
            <w:vAlign w:val="bottom"/>
            <w:tcBorders>
              <w:bottom w:val="single" w:sz="8" w:color="0000EE"/>
            </w:tcBorders>
            <w:gridSpan w:val="10"/>
            <w:shd w:val="clear" w:color="auto" w:fill="CCEEFF"/>
          </w:tcPr>
          <w:p>
            <w:pPr>
              <w:spacing w:after="0"/>
              <w:rPr>
                <w:rFonts w:ascii="Arial" w:cs="Arial" w:eastAsia="Arial" w:hAnsi="Arial"/>
                <w:sz w:val="16"/>
                <w:szCs w:val="16"/>
                <w:color w:val="0000EE"/>
              </w:rPr>
            </w:pPr>
            <w:hyperlink w:anchor="page88">
              <w:r>
                <w:rPr>
                  <w:rFonts w:ascii="Arial" w:cs="Arial" w:eastAsia="Arial" w:hAnsi="Arial"/>
                  <w:sz w:val="16"/>
                  <w:szCs w:val="16"/>
                  <w:color w:val="0000EE"/>
                </w:rPr>
                <w:t>“Employee”</w:t>
              </w:r>
            </w:hyperlink>
          </w:p>
        </w:tc>
        <w:tc>
          <w:tcPr>
            <w:tcW w:w="7560" w:type="dxa"/>
            <w:vAlign w:val="bottom"/>
            <w:tcBorders>
              <w:bottom w:val="single" w:sz="8" w:color="CCEEFF"/>
            </w:tcBorders>
            <w:gridSpan w:val="18"/>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0000EE"/>
            </w:tcBorders>
            <w:shd w:val="clear" w:color="auto" w:fill="CCEEFF"/>
          </w:tcPr>
          <w:p>
            <w:pPr>
              <w:spacing w:after="0"/>
              <w:rPr>
                <w:rFonts w:ascii="Arial" w:cs="Arial" w:eastAsia="Arial" w:hAnsi="Arial"/>
                <w:sz w:val="16"/>
                <w:szCs w:val="16"/>
                <w:color w:val="0000EE"/>
                <w:w w:val="88"/>
              </w:rPr>
            </w:pPr>
            <w:hyperlink w:anchor="page88">
              <w:r>
                <w:rPr>
                  <w:rFonts w:ascii="Arial" w:cs="Arial" w:eastAsia="Arial" w:hAnsi="Arial"/>
                  <w:sz w:val="16"/>
                  <w:szCs w:val="16"/>
                  <w:color w:val="0000EE"/>
                  <w:w w:val="88"/>
                </w:rPr>
                <w:t>A-3</w:t>
              </w:r>
            </w:hyperlink>
          </w:p>
        </w:tc>
        <w:tc>
          <w:tcPr>
            <w:tcW w:w="20" w:type="dxa"/>
            <w:vAlign w:val="bottom"/>
            <w:tcBorders>
              <w:bottom w:val="single" w:sz="8" w:color="0000EE"/>
            </w:tcBorders>
          </w:tcPr>
          <w:p>
            <w:pPr>
              <w:spacing w:after="0"/>
              <w:rPr>
                <w:sz w:val="22"/>
                <w:szCs w:val="22"/>
                <w:color w:val="auto"/>
              </w:rPr>
            </w:pPr>
          </w:p>
        </w:tc>
        <w:tc>
          <w:tcPr>
            <w:tcW w:w="660" w:type="dxa"/>
            <w:vAlign w:val="bottom"/>
          </w:tcPr>
          <w:p>
            <w:pPr>
              <w:spacing w:after="0"/>
              <w:rPr>
                <w:sz w:val="22"/>
                <w:szCs w:val="22"/>
                <w:color w:val="auto"/>
              </w:rPr>
            </w:pPr>
          </w:p>
        </w:tc>
      </w:tr>
      <w:tr>
        <w:trPr>
          <w:trHeight w:val="230"/>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gridSpan w:val="9"/>
          </w:tcPr>
          <w:p>
            <w:pPr>
              <w:spacing w:after="0"/>
              <w:rPr>
                <w:rFonts w:ascii="Arial" w:cs="Arial" w:eastAsia="Arial" w:hAnsi="Arial"/>
                <w:sz w:val="16"/>
                <w:szCs w:val="16"/>
                <w:color w:val="0000EE"/>
              </w:rPr>
            </w:pPr>
            <w:hyperlink w:anchor="page88">
              <w:r>
                <w:rPr>
                  <w:rFonts w:ascii="Arial" w:cs="Arial" w:eastAsia="Arial" w:hAnsi="Arial"/>
                  <w:sz w:val="16"/>
                  <w:szCs w:val="16"/>
                  <w:color w:val="0000EE"/>
                </w:rPr>
                <w:t>(r)</w:t>
              </w:r>
            </w:hyperlink>
          </w:p>
        </w:tc>
        <w:tc>
          <w:tcPr>
            <w:tcW w:w="8400" w:type="dxa"/>
            <w:vAlign w:val="bottom"/>
            <w:gridSpan w:val="28"/>
          </w:tcPr>
          <w:p>
            <w:pPr>
              <w:spacing w:after="0"/>
              <w:rPr>
                <w:rFonts w:ascii="Arial" w:cs="Arial" w:eastAsia="Arial" w:hAnsi="Arial"/>
                <w:sz w:val="16"/>
                <w:szCs w:val="16"/>
                <w:color w:val="0000EE"/>
              </w:rPr>
            </w:pPr>
            <w:hyperlink w:anchor="page88">
              <w:r>
                <w:rPr>
                  <w:rFonts w:ascii="Arial" w:cs="Arial" w:eastAsia="Arial" w:hAnsi="Arial"/>
                  <w:sz w:val="16"/>
                  <w:szCs w:val="16"/>
                  <w:color w:val="0000EE"/>
                </w:rPr>
                <w:t>“ESPP Addendum”</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3"/>
          </w:tcPr>
          <w:p>
            <w:pPr>
              <w:spacing w:after="0"/>
              <w:rPr>
                <w:rFonts w:ascii="Arial" w:cs="Arial" w:eastAsia="Arial" w:hAnsi="Arial"/>
                <w:sz w:val="16"/>
                <w:szCs w:val="16"/>
                <w:color w:val="0000EE"/>
              </w:rPr>
            </w:pPr>
            <w:hyperlink w:anchor="page88">
              <w:r>
                <w:rPr>
                  <w:rFonts w:ascii="Arial" w:cs="Arial" w:eastAsia="Arial" w:hAnsi="Arial"/>
                  <w:sz w:val="16"/>
                  <w:szCs w:val="16"/>
                  <w:color w:val="0000EE"/>
                </w:rPr>
                <w:t>A-3</w:t>
              </w:r>
            </w:hyperlink>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64"/>
        </w:trPr>
        <w:tc>
          <w:tcPr>
            <w:tcW w:w="660" w:type="dxa"/>
            <w:vAlign w:val="bottom"/>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0000EE"/>
            </w:tcBorders>
            <w:gridSpan w:val="4"/>
            <w:shd w:val="clear" w:color="auto" w:fill="CCEEFF"/>
          </w:tcPr>
          <w:p>
            <w:pPr>
              <w:spacing w:after="0"/>
              <w:rPr>
                <w:rFonts w:ascii="Arial" w:cs="Arial" w:eastAsia="Arial" w:hAnsi="Arial"/>
                <w:sz w:val="16"/>
                <w:szCs w:val="16"/>
                <w:color w:val="0000EE"/>
                <w:w w:val="96"/>
              </w:rPr>
            </w:pPr>
            <w:hyperlink w:anchor="page88">
              <w:r>
                <w:rPr>
                  <w:rFonts w:ascii="Arial" w:cs="Arial" w:eastAsia="Arial" w:hAnsi="Arial"/>
                  <w:sz w:val="16"/>
                  <w:szCs w:val="16"/>
                  <w:color w:val="0000EE"/>
                  <w:w w:val="96"/>
                </w:rPr>
                <w:t>(s)</w:t>
              </w:r>
            </w:hyperlink>
          </w:p>
        </w:tc>
        <w:tc>
          <w:tcPr>
            <w:tcW w:w="240" w:type="dxa"/>
            <w:vAlign w:val="bottom"/>
            <w:tcBorders>
              <w:bottom w:val="single" w:sz="8" w:color="CCEEFF"/>
            </w:tcBorders>
            <w:gridSpan w:val="5"/>
            <w:shd w:val="clear" w:color="auto" w:fill="CCEEFF"/>
          </w:tcPr>
          <w:p>
            <w:pPr>
              <w:spacing w:after="0"/>
              <w:rPr>
                <w:sz w:val="22"/>
                <w:szCs w:val="22"/>
                <w:color w:val="auto"/>
              </w:rPr>
            </w:pPr>
          </w:p>
        </w:tc>
        <w:tc>
          <w:tcPr>
            <w:tcW w:w="1120" w:type="dxa"/>
            <w:vAlign w:val="bottom"/>
            <w:tcBorders>
              <w:bottom w:val="single" w:sz="8" w:color="0000EE"/>
            </w:tcBorders>
            <w:gridSpan w:val="15"/>
            <w:shd w:val="clear" w:color="auto" w:fill="CCEEFF"/>
          </w:tcPr>
          <w:p>
            <w:pPr>
              <w:spacing w:after="0"/>
              <w:rPr>
                <w:rFonts w:ascii="Arial" w:cs="Arial" w:eastAsia="Arial" w:hAnsi="Arial"/>
                <w:sz w:val="16"/>
                <w:szCs w:val="16"/>
                <w:color w:val="0000EE"/>
              </w:rPr>
            </w:pPr>
            <w:hyperlink w:anchor="page88">
              <w:r>
                <w:rPr>
                  <w:rFonts w:ascii="Arial" w:cs="Arial" w:eastAsia="Arial" w:hAnsi="Arial"/>
                  <w:sz w:val="16"/>
                  <w:szCs w:val="16"/>
                  <w:color w:val="0000EE"/>
                </w:rPr>
                <w:t>“Exchange Act”</w:t>
              </w:r>
            </w:hyperlink>
          </w:p>
        </w:tc>
        <w:tc>
          <w:tcPr>
            <w:tcW w:w="7280" w:type="dxa"/>
            <w:vAlign w:val="bottom"/>
            <w:tcBorders>
              <w:bottom w:val="single" w:sz="8" w:color="CCEEFF"/>
            </w:tcBorders>
            <w:gridSpan w:val="13"/>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0000EE"/>
            </w:tcBorders>
            <w:shd w:val="clear" w:color="auto" w:fill="CCEEFF"/>
          </w:tcPr>
          <w:p>
            <w:pPr>
              <w:spacing w:after="0"/>
              <w:rPr>
                <w:rFonts w:ascii="Arial" w:cs="Arial" w:eastAsia="Arial" w:hAnsi="Arial"/>
                <w:sz w:val="16"/>
                <w:szCs w:val="16"/>
                <w:color w:val="0000EE"/>
                <w:w w:val="88"/>
              </w:rPr>
            </w:pPr>
            <w:hyperlink w:anchor="page88">
              <w:r>
                <w:rPr>
                  <w:rFonts w:ascii="Arial" w:cs="Arial" w:eastAsia="Arial" w:hAnsi="Arial"/>
                  <w:sz w:val="16"/>
                  <w:szCs w:val="16"/>
                  <w:color w:val="0000EE"/>
                  <w:w w:val="88"/>
                </w:rPr>
                <w:t>A-3</w:t>
              </w:r>
            </w:hyperlink>
          </w:p>
        </w:tc>
        <w:tc>
          <w:tcPr>
            <w:tcW w:w="20" w:type="dxa"/>
            <w:vAlign w:val="bottom"/>
            <w:tcBorders>
              <w:bottom w:val="single" w:sz="8" w:color="0000EE"/>
            </w:tcBorders>
          </w:tcPr>
          <w:p>
            <w:pPr>
              <w:spacing w:after="0"/>
              <w:rPr>
                <w:sz w:val="22"/>
                <w:szCs w:val="22"/>
                <w:color w:val="auto"/>
              </w:rPr>
            </w:pPr>
          </w:p>
        </w:tc>
        <w:tc>
          <w:tcPr>
            <w:tcW w:w="660" w:type="dxa"/>
            <w:vAlign w:val="bottom"/>
          </w:tcPr>
          <w:p>
            <w:pPr>
              <w:spacing w:after="0"/>
              <w:rPr>
                <w:sz w:val="22"/>
                <w:szCs w:val="22"/>
                <w:color w:val="auto"/>
              </w:rPr>
            </w:pPr>
          </w:p>
        </w:tc>
      </w:tr>
      <w:tr>
        <w:trPr>
          <w:trHeight w:val="229"/>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gridSpan w:val="9"/>
          </w:tcPr>
          <w:p>
            <w:pPr>
              <w:spacing w:after="0"/>
              <w:rPr>
                <w:rFonts w:ascii="Arial" w:cs="Arial" w:eastAsia="Arial" w:hAnsi="Arial"/>
                <w:sz w:val="16"/>
                <w:szCs w:val="16"/>
                <w:color w:val="0000EE"/>
              </w:rPr>
            </w:pPr>
            <w:hyperlink w:anchor="page88">
              <w:r>
                <w:rPr>
                  <w:rFonts w:ascii="Arial" w:cs="Arial" w:eastAsia="Arial" w:hAnsi="Arial"/>
                  <w:sz w:val="16"/>
                  <w:szCs w:val="16"/>
                  <w:color w:val="0000EE"/>
                </w:rPr>
                <w:t>(t)</w:t>
              </w:r>
            </w:hyperlink>
          </w:p>
        </w:tc>
        <w:tc>
          <w:tcPr>
            <w:tcW w:w="8400" w:type="dxa"/>
            <w:vAlign w:val="bottom"/>
            <w:gridSpan w:val="28"/>
          </w:tcPr>
          <w:p>
            <w:pPr>
              <w:spacing w:after="0"/>
              <w:rPr>
                <w:rFonts w:ascii="Arial" w:cs="Arial" w:eastAsia="Arial" w:hAnsi="Arial"/>
                <w:sz w:val="16"/>
                <w:szCs w:val="16"/>
                <w:color w:val="0000EE"/>
              </w:rPr>
            </w:pPr>
            <w:hyperlink w:anchor="page88">
              <w:r>
                <w:rPr>
                  <w:rFonts w:ascii="Arial" w:cs="Arial" w:eastAsia="Arial" w:hAnsi="Arial"/>
                  <w:sz w:val="16"/>
                  <w:szCs w:val="16"/>
                  <w:color w:val="0000EE"/>
                </w:rPr>
                <w:t>“Exercise Price”</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3"/>
          </w:tcPr>
          <w:p>
            <w:pPr>
              <w:spacing w:after="0"/>
              <w:rPr>
                <w:rFonts w:ascii="Arial" w:cs="Arial" w:eastAsia="Arial" w:hAnsi="Arial"/>
                <w:sz w:val="16"/>
                <w:szCs w:val="16"/>
                <w:color w:val="0000EE"/>
              </w:rPr>
            </w:pPr>
            <w:hyperlink w:anchor="page88">
              <w:r>
                <w:rPr>
                  <w:rFonts w:ascii="Arial" w:cs="Arial" w:eastAsia="Arial" w:hAnsi="Arial"/>
                  <w:sz w:val="16"/>
                  <w:szCs w:val="16"/>
                  <w:color w:val="0000EE"/>
                </w:rPr>
                <w:t>A-3</w:t>
              </w:r>
            </w:hyperlink>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63"/>
        </w:trPr>
        <w:tc>
          <w:tcPr>
            <w:tcW w:w="660" w:type="dxa"/>
            <w:vAlign w:val="bottom"/>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0" w:type="dxa"/>
            <w:vAlign w:val="bottom"/>
            <w:gridSpan w:val="4"/>
            <w:shd w:val="clear" w:color="auto" w:fill="CCEEFF"/>
          </w:tcPr>
          <w:p>
            <w:pPr>
              <w:spacing w:after="0"/>
              <w:rPr>
                <w:rFonts w:ascii="Arial" w:cs="Arial" w:eastAsia="Arial" w:hAnsi="Arial"/>
                <w:sz w:val="16"/>
                <w:szCs w:val="16"/>
                <w:color w:val="0000EE"/>
                <w:w w:val="91"/>
              </w:rPr>
            </w:pPr>
            <w:hyperlink w:anchor="page88">
              <w:r>
                <w:rPr>
                  <w:rFonts w:ascii="Arial" w:cs="Arial" w:eastAsia="Arial" w:hAnsi="Arial"/>
                  <w:sz w:val="16"/>
                  <w:szCs w:val="16"/>
                  <w:color w:val="0000EE"/>
                  <w:w w:val="91"/>
                </w:rPr>
                <w:t>(u)</w:t>
              </w:r>
            </w:hyperlink>
          </w:p>
        </w:tc>
        <w:tc>
          <w:tcPr>
            <w:tcW w:w="240" w:type="dxa"/>
            <w:vAlign w:val="bottom"/>
            <w:gridSpan w:val="5"/>
            <w:shd w:val="clear" w:color="auto" w:fill="CCEEFF"/>
          </w:tcPr>
          <w:p>
            <w:pPr>
              <w:spacing w:after="0"/>
              <w:rPr>
                <w:sz w:val="22"/>
                <w:szCs w:val="22"/>
                <w:color w:val="auto"/>
              </w:rPr>
            </w:pPr>
          </w:p>
        </w:tc>
        <w:tc>
          <w:tcPr>
            <w:tcW w:w="8400" w:type="dxa"/>
            <w:vAlign w:val="bottom"/>
            <w:gridSpan w:val="28"/>
            <w:shd w:val="clear" w:color="auto" w:fill="CCEEFF"/>
          </w:tcPr>
          <w:p>
            <w:pPr>
              <w:spacing w:after="0"/>
              <w:rPr>
                <w:rFonts w:ascii="Arial" w:cs="Arial" w:eastAsia="Arial" w:hAnsi="Arial"/>
                <w:sz w:val="16"/>
                <w:szCs w:val="16"/>
                <w:color w:val="0000EE"/>
              </w:rPr>
            </w:pPr>
            <w:hyperlink w:anchor="page88">
              <w:r>
                <w:rPr>
                  <w:rFonts w:ascii="Arial" w:cs="Arial" w:eastAsia="Arial" w:hAnsi="Arial"/>
                  <w:sz w:val="16"/>
                  <w:szCs w:val="16"/>
                  <w:color w:val="0000EE"/>
                </w:rPr>
                <w:t>“Fair Market Value”</w:t>
              </w:r>
            </w:hyperlink>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rFonts w:ascii="Arial" w:cs="Arial" w:eastAsia="Arial" w:hAnsi="Arial"/>
                <w:sz w:val="16"/>
                <w:szCs w:val="16"/>
                <w:color w:val="0000EE"/>
                <w:w w:val="88"/>
              </w:rPr>
            </w:pPr>
            <w:hyperlink w:anchor="page88">
              <w:r>
                <w:rPr>
                  <w:rFonts w:ascii="Arial" w:cs="Arial" w:eastAsia="Arial" w:hAnsi="Arial"/>
                  <w:sz w:val="16"/>
                  <w:szCs w:val="16"/>
                  <w:color w:val="0000EE"/>
                  <w:w w:val="88"/>
                </w:rPr>
                <w:t>A-3</w:t>
              </w:r>
            </w:hyperlink>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30"/>
        </w:trPr>
        <w:tc>
          <w:tcPr>
            <w:tcW w:w="660" w:type="dxa"/>
            <w:vAlign w:val="bottom"/>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0" w:type="dxa"/>
            <w:vAlign w:val="bottom"/>
            <w:tcBorders>
              <w:top w:val="single" w:sz="8" w:color="0000EE"/>
            </w:tcBorders>
            <w:gridSpan w:val="4"/>
          </w:tcPr>
          <w:p>
            <w:pPr>
              <w:spacing w:after="0"/>
              <w:rPr>
                <w:rFonts w:ascii="Arial" w:cs="Arial" w:eastAsia="Arial" w:hAnsi="Arial"/>
                <w:sz w:val="16"/>
                <w:szCs w:val="16"/>
                <w:color w:val="0000EE"/>
                <w:w w:val="96"/>
              </w:rPr>
            </w:pPr>
            <w:hyperlink w:anchor="page88">
              <w:r>
                <w:rPr>
                  <w:rFonts w:ascii="Arial" w:cs="Arial" w:eastAsia="Arial" w:hAnsi="Arial"/>
                  <w:sz w:val="16"/>
                  <w:szCs w:val="16"/>
                  <w:color w:val="0000EE"/>
                  <w:w w:val="96"/>
                </w:rPr>
                <w:t>(v)</w:t>
              </w:r>
            </w:hyperlink>
          </w:p>
        </w:tc>
        <w:tc>
          <w:tcPr>
            <w:tcW w:w="240" w:type="dxa"/>
            <w:vAlign w:val="bottom"/>
            <w:tcBorders>
              <w:top w:val="single" w:sz="8" w:color="CCEEFF"/>
            </w:tcBorders>
            <w:gridSpan w:val="5"/>
          </w:tcPr>
          <w:p>
            <w:pPr>
              <w:spacing w:after="0"/>
              <w:rPr>
                <w:sz w:val="19"/>
                <w:szCs w:val="19"/>
                <w:color w:val="auto"/>
              </w:rPr>
            </w:pPr>
          </w:p>
        </w:tc>
        <w:tc>
          <w:tcPr>
            <w:tcW w:w="1380" w:type="dxa"/>
            <w:vAlign w:val="bottom"/>
            <w:tcBorders>
              <w:top w:val="single" w:sz="8" w:color="0000EE"/>
            </w:tcBorders>
            <w:gridSpan w:val="20"/>
          </w:tcPr>
          <w:p>
            <w:pPr>
              <w:spacing w:after="0"/>
              <w:rPr>
                <w:rFonts w:ascii="Arial" w:cs="Arial" w:eastAsia="Arial" w:hAnsi="Arial"/>
                <w:sz w:val="16"/>
                <w:szCs w:val="16"/>
                <w:color w:val="0000EE"/>
              </w:rPr>
            </w:pPr>
            <w:hyperlink w:anchor="page88">
              <w:r>
                <w:rPr>
                  <w:rFonts w:ascii="Arial" w:cs="Arial" w:eastAsia="Arial" w:hAnsi="Arial"/>
                  <w:sz w:val="16"/>
                  <w:szCs w:val="16"/>
                  <w:color w:val="0000EE"/>
                </w:rPr>
                <w:t>“ISO”</w:t>
              </w:r>
            </w:hyperlink>
          </w:p>
        </w:tc>
        <w:tc>
          <w:tcPr>
            <w:tcW w:w="7020" w:type="dxa"/>
            <w:vAlign w:val="bottom"/>
            <w:tcBorders>
              <w:top w:val="single" w:sz="8" w:color="CCEEFF"/>
            </w:tcBorders>
            <w:gridSpan w:val="8"/>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60" w:type="dxa"/>
            <w:vAlign w:val="bottom"/>
            <w:tcBorders>
              <w:top w:val="single" w:sz="8" w:color="0000EE"/>
            </w:tcBorders>
            <w:gridSpan w:val="2"/>
          </w:tcPr>
          <w:p>
            <w:pPr>
              <w:spacing w:after="0"/>
              <w:rPr>
                <w:rFonts w:ascii="Arial" w:cs="Arial" w:eastAsia="Arial" w:hAnsi="Arial"/>
                <w:sz w:val="16"/>
                <w:szCs w:val="16"/>
                <w:color w:val="0000EE"/>
                <w:w w:val="96"/>
              </w:rPr>
            </w:pPr>
            <w:hyperlink w:anchor="page88">
              <w:r>
                <w:rPr>
                  <w:rFonts w:ascii="Arial" w:cs="Arial" w:eastAsia="Arial" w:hAnsi="Arial"/>
                  <w:sz w:val="16"/>
                  <w:szCs w:val="16"/>
                  <w:color w:val="0000EE"/>
                  <w:w w:val="96"/>
                </w:rPr>
                <w:t>A-3</w:t>
              </w:r>
            </w:hyperlink>
          </w:p>
        </w:tc>
        <w:tc>
          <w:tcPr>
            <w:tcW w:w="66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63"/>
        </w:trPr>
        <w:tc>
          <w:tcPr>
            <w:tcW w:w="660" w:type="dxa"/>
            <w:vAlign w:val="bottom"/>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40" w:type="dxa"/>
            <w:vAlign w:val="bottom"/>
            <w:gridSpan w:val="9"/>
            <w:shd w:val="clear" w:color="auto" w:fill="CCEEFF"/>
          </w:tcPr>
          <w:p>
            <w:pPr>
              <w:spacing w:after="0"/>
              <w:rPr>
                <w:rFonts w:ascii="Arial" w:cs="Arial" w:eastAsia="Arial" w:hAnsi="Arial"/>
                <w:sz w:val="16"/>
                <w:szCs w:val="16"/>
                <w:color w:val="0000EE"/>
              </w:rPr>
            </w:pPr>
            <w:hyperlink w:anchor="page88">
              <w:r>
                <w:rPr>
                  <w:rFonts w:ascii="Arial" w:cs="Arial" w:eastAsia="Arial" w:hAnsi="Arial"/>
                  <w:sz w:val="16"/>
                  <w:szCs w:val="16"/>
                  <w:color w:val="0000EE"/>
                </w:rPr>
                <w:t>(w)</w:t>
              </w:r>
            </w:hyperlink>
          </w:p>
        </w:tc>
        <w:tc>
          <w:tcPr>
            <w:tcW w:w="8400" w:type="dxa"/>
            <w:vAlign w:val="bottom"/>
            <w:gridSpan w:val="28"/>
            <w:shd w:val="clear" w:color="auto" w:fill="CCEEFF"/>
          </w:tcPr>
          <w:p>
            <w:pPr>
              <w:spacing w:after="0"/>
              <w:rPr>
                <w:rFonts w:ascii="Arial" w:cs="Arial" w:eastAsia="Arial" w:hAnsi="Arial"/>
                <w:sz w:val="16"/>
                <w:szCs w:val="16"/>
                <w:color w:val="0000EE"/>
              </w:rPr>
            </w:pPr>
            <w:hyperlink w:anchor="page88">
              <w:r>
                <w:rPr>
                  <w:rFonts w:ascii="Arial" w:cs="Arial" w:eastAsia="Arial" w:hAnsi="Arial"/>
                  <w:sz w:val="16"/>
                  <w:szCs w:val="16"/>
                  <w:color w:val="0000EE"/>
                </w:rPr>
                <w:t>“Nonstatutory Option” or “NSO”</w:t>
              </w:r>
            </w:hyperlink>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rFonts w:ascii="Arial" w:cs="Arial" w:eastAsia="Arial" w:hAnsi="Arial"/>
                <w:sz w:val="16"/>
                <w:szCs w:val="16"/>
                <w:color w:val="0000EE"/>
                <w:w w:val="88"/>
              </w:rPr>
            </w:pPr>
            <w:hyperlink w:anchor="page88">
              <w:r>
                <w:rPr>
                  <w:rFonts w:ascii="Arial" w:cs="Arial" w:eastAsia="Arial" w:hAnsi="Arial"/>
                  <w:sz w:val="16"/>
                  <w:szCs w:val="16"/>
                  <w:color w:val="0000EE"/>
                  <w:w w:val="88"/>
                </w:rPr>
                <w:t>A-3</w:t>
              </w:r>
            </w:hyperlink>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30"/>
        </w:trPr>
        <w:tc>
          <w:tcPr>
            <w:tcW w:w="660" w:type="dxa"/>
            <w:vAlign w:val="bottom"/>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20" w:type="dxa"/>
            <w:vAlign w:val="bottom"/>
            <w:tcBorders>
              <w:top w:val="single" w:sz="8" w:color="0000EE"/>
            </w:tcBorders>
            <w:gridSpan w:val="5"/>
          </w:tcPr>
          <w:p>
            <w:pPr>
              <w:spacing w:after="0"/>
              <w:rPr>
                <w:rFonts w:ascii="Arial" w:cs="Arial" w:eastAsia="Arial" w:hAnsi="Arial"/>
                <w:sz w:val="16"/>
                <w:szCs w:val="16"/>
                <w:color w:val="0000EE"/>
              </w:rPr>
            </w:pPr>
            <w:hyperlink w:anchor="page88">
              <w:r>
                <w:rPr>
                  <w:rFonts w:ascii="Arial" w:cs="Arial" w:eastAsia="Arial" w:hAnsi="Arial"/>
                  <w:sz w:val="16"/>
                  <w:szCs w:val="16"/>
                  <w:color w:val="0000EE"/>
                </w:rPr>
                <w:t>(x)</w:t>
              </w:r>
            </w:hyperlink>
          </w:p>
        </w:tc>
        <w:tc>
          <w:tcPr>
            <w:tcW w:w="220" w:type="dxa"/>
            <w:vAlign w:val="bottom"/>
            <w:tcBorders>
              <w:top w:val="single" w:sz="8" w:color="CCEEFF"/>
            </w:tcBorders>
            <w:gridSpan w:val="4"/>
          </w:tcPr>
          <w:p>
            <w:pPr>
              <w:spacing w:after="0"/>
              <w:rPr>
                <w:sz w:val="19"/>
                <w:szCs w:val="19"/>
                <w:color w:val="auto"/>
              </w:rPr>
            </w:pPr>
          </w:p>
        </w:tc>
        <w:tc>
          <w:tcPr>
            <w:tcW w:w="2240" w:type="dxa"/>
            <w:vAlign w:val="bottom"/>
            <w:tcBorders>
              <w:top w:val="single" w:sz="8" w:color="0000EE"/>
            </w:tcBorders>
            <w:gridSpan w:val="26"/>
          </w:tcPr>
          <w:p>
            <w:pPr>
              <w:spacing w:after="0"/>
              <w:rPr>
                <w:rFonts w:ascii="Arial" w:cs="Arial" w:eastAsia="Arial" w:hAnsi="Arial"/>
                <w:sz w:val="16"/>
                <w:szCs w:val="16"/>
                <w:color w:val="0000EE"/>
              </w:rPr>
            </w:pPr>
            <w:hyperlink w:anchor="page88">
              <w:r>
                <w:rPr>
                  <w:rFonts w:ascii="Arial" w:cs="Arial" w:eastAsia="Arial" w:hAnsi="Arial"/>
                  <w:sz w:val="16"/>
                  <w:szCs w:val="16"/>
                  <w:color w:val="0000EE"/>
                </w:rPr>
                <w:t>“Option”</w:t>
              </w:r>
            </w:hyperlink>
          </w:p>
        </w:tc>
        <w:tc>
          <w:tcPr>
            <w:tcW w:w="6160" w:type="dxa"/>
            <w:vAlign w:val="bottom"/>
            <w:tcBorders>
              <w:top w:val="single" w:sz="8" w:color="CCEEFF"/>
            </w:tcBorders>
            <w:gridSpan w:val="2"/>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60" w:type="dxa"/>
            <w:vAlign w:val="bottom"/>
            <w:tcBorders>
              <w:top w:val="single" w:sz="8" w:color="0000EE"/>
            </w:tcBorders>
            <w:gridSpan w:val="2"/>
          </w:tcPr>
          <w:p>
            <w:pPr>
              <w:spacing w:after="0"/>
              <w:rPr>
                <w:rFonts w:ascii="Arial" w:cs="Arial" w:eastAsia="Arial" w:hAnsi="Arial"/>
                <w:sz w:val="16"/>
                <w:szCs w:val="16"/>
                <w:color w:val="0000EE"/>
                <w:w w:val="96"/>
              </w:rPr>
            </w:pPr>
            <w:hyperlink w:anchor="page88">
              <w:r>
                <w:rPr>
                  <w:rFonts w:ascii="Arial" w:cs="Arial" w:eastAsia="Arial" w:hAnsi="Arial"/>
                  <w:sz w:val="16"/>
                  <w:szCs w:val="16"/>
                  <w:color w:val="0000EE"/>
                  <w:w w:val="96"/>
                </w:rPr>
                <w:t>A-3</w:t>
              </w:r>
            </w:hyperlink>
          </w:p>
        </w:tc>
        <w:tc>
          <w:tcPr>
            <w:tcW w:w="66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64"/>
        </w:trPr>
        <w:tc>
          <w:tcPr>
            <w:tcW w:w="660" w:type="dxa"/>
            <w:vAlign w:val="bottom"/>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0" w:type="dxa"/>
            <w:vAlign w:val="bottom"/>
            <w:gridSpan w:val="4"/>
            <w:shd w:val="clear" w:color="auto" w:fill="CCEEFF"/>
          </w:tcPr>
          <w:p>
            <w:pPr>
              <w:spacing w:after="0"/>
              <w:rPr>
                <w:rFonts w:ascii="Arial" w:cs="Arial" w:eastAsia="Arial" w:hAnsi="Arial"/>
                <w:sz w:val="16"/>
                <w:szCs w:val="16"/>
                <w:color w:val="0000EE"/>
                <w:w w:val="96"/>
              </w:rPr>
            </w:pPr>
            <w:hyperlink w:anchor="page88">
              <w:r>
                <w:rPr>
                  <w:rFonts w:ascii="Arial" w:cs="Arial" w:eastAsia="Arial" w:hAnsi="Arial"/>
                  <w:sz w:val="16"/>
                  <w:szCs w:val="16"/>
                  <w:color w:val="0000EE"/>
                  <w:w w:val="96"/>
                </w:rPr>
                <w:t>(y)</w:t>
              </w:r>
            </w:hyperlink>
          </w:p>
        </w:tc>
        <w:tc>
          <w:tcPr>
            <w:tcW w:w="240" w:type="dxa"/>
            <w:vAlign w:val="bottom"/>
            <w:gridSpan w:val="5"/>
            <w:shd w:val="clear" w:color="auto" w:fill="CCEEFF"/>
          </w:tcPr>
          <w:p>
            <w:pPr>
              <w:spacing w:after="0"/>
              <w:rPr>
                <w:sz w:val="22"/>
                <w:szCs w:val="22"/>
                <w:color w:val="auto"/>
              </w:rPr>
            </w:pPr>
          </w:p>
        </w:tc>
        <w:tc>
          <w:tcPr>
            <w:tcW w:w="8400" w:type="dxa"/>
            <w:vAlign w:val="bottom"/>
            <w:gridSpan w:val="28"/>
            <w:shd w:val="clear" w:color="auto" w:fill="CCEEFF"/>
          </w:tcPr>
          <w:p>
            <w:pPr>
              <w:spacing w:after="0"/>
              <w:rPr>
                <w:rFonts w:ascii="Arial" w:cs="Arial" w:eastAsia="Arial" w:hAnsi="Arial"/>
                <w:sz w:val="16"/>
                <w:szCs w:val="16"/>
                <w:color w:val="0000EE"/>
              </w:rPr>
            </w:pPr>
            <w:hyperlink w:anchor="page88">
              <w:r>
                <w:rPr>
                  <w:rFonts w:ascii="Arial" w:cs="Arial" w:eastAsia="Arial" w:hAnsi="Arial"/>
                  <w:sz w:val="16"/>
                  <w:szCs w:val="16"/>
                  <w:color w:val="0000EE"/>
                </w:rPr>
                <w:t>“Outside Director”</w:t>
              </w:r>
            </w:hyperlink>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rFonts w:ascii="Arial" w:cs="Arial" w:eastAsia="Arial" w:hAnsi="Arial"/>
                <w:sz w:val="16"/>
                <w:szCs w:val="16"/>
                <w:color w:val="0000EE"/>
                <w:w w:val="88"/>
              </w:rPr>
            </w:pPr>
            <w:hyperlink w:anchor="page88">
              <w:r>
                <w:rPr>
                  <w:rFonts w:ascii="Arial" w:cs="Arial" w:eastAsia="Arial" w:hAnsi="Arial"/>
                  <w:sz w:val="16"/>
                  <w:szCs w:val="16"/>
                  <w:color w:val="0000EE"/>
                  <w:w w:val="88"/>
                </w:rPr>
                <w:t>A-3</w:t>
              </w:r>
            </w:hyperlink>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29"/>
        </w:trPr>
        <w:tc>
          <w:tcPr>
            <w:tcW w:w="660" w:type="dxa"/>
            <w:vAlign w:val="bottom"/>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0" w:type="dxa"/>
            <w:vAlign w:val="bottom"/>
            <w:tcBorders>
              <w:top w:val="single" w:sz="8" w:color="0000EE"/>
            </w:tcBorders>
            <w:gridSpan w:val="4"/>
          </w:tcPr>
          <w:p>
            <w:pPr>
              <w:spacing w:after="0"/>
              <w:rPr>
                <w:rFonts w:ascii="Arial" w:cs="Arial" w:eastAsia="Arial" w:hAnsi="Arial"/>
                <w:sz w:val="16"/>
                <w:szCs w:val="16"/>
                <w:color w:val="0000EE"/>
                <w:w w:val="96"/>
              </w:rPr>
            </w:pPr>
            <w:hyperlink w:anchor="page88">
              <w:r>
                <w:rPr>
                  <w:rFonts w:ascii="Arial" w:cs="Arial" w:eastAsia="Arial" w:hAnsi="Arial"/>
                  <w:sz w:val="16"/>
                  <w:szCs w:val="16"/>
                  <w:color w:val="0000EE"/>
                  <w:w w:val="96"/>
                </w:rPr>
                <w:t>(z)</w:t>
              </w:r>
            </w:hyperlink>
          </w:p>
        </w:tc>
        <w:tc>
          <w:tcPr>
            <w:tcW w:w="240" w:type="dxa"/>
            <w:vAlign w:val="bottom"/>
            <w:tcBorders>
              <w:top w:val="single" w:sz="8" w:color="CCEEFF"/>
            </w:tcBorders>
            <w:gridSpan w:val="5"/>
          </w:tcPr>
          <w:p>
            <w:pPr>
              <w:spacing w:after="0"/>
              <w:rPr>
                <w:sz w:val="19"/>
                <w:szCs w:val="19"/>
                <w:color w:val="auto"/>
              </w:rPr>
            </w:pPr>
          </w:p>
        </w:tc>
        <w:tc>
          <w:tcPr>
            <w:tcW w:w="1280" w:type="dxa"/>
            <w:vAlign w:val="bottom"/>
            <w:tcBorders>
              <w:top w:val="single" w:sz="8" w:color="0000EE"/>
            </w:tcBorders>
            <w:gridSpan w:val="18"/>
          </w:tcPr>
          <w:p>
            <w:pPr>
              <w:spacing w:after="0"/>
              <w:rPr>
                <w:rFonts w:ascii="Arial" w:cs="Arial" w:eastAsia="Arial" w:hAnsi="Arial"/>
                <w:sz w:val="16"/>
                <w:szCs w:val="16"/>
                <w:color w:val="0000EE"/>
              </w:rPr>
            </w:pPr>
            <w:hyperlink w:anchor="page88">
              <w:r>
                <w:rPr>
                  <w:rFonts w:ascii="Arial" w:cs="Arial" w:eastAsia="Arial" w:hAnsi="Arial"/>
                  <w:sz w:val="16"/>
                  <w:szCs w:val="16"/>
                  <w:color w:val="0000EE"/>
                </w:rPr>
                <w:t>“Parent”</w:t>
              </w:r>
            </w:hyperlink>
          </w:p>
        </w:tc>
        <w:tc>
          <w:tcPr>
            <w:tcW w:w="7120" w:type="dxa"/>
            <w:vAlign w:val="bottom"/>
            <w:tcBorders>
              <w:top w:val="single" w:sz="8" w:color="CCEEFF"/>
            </w:tcBorders>
            <w:gridSpan w:val="10"/>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60" w:type="dxa"/>
            <w:vAlign w:val="bottom"/>
            <w:tcBorders>
              <w:top w:val="single" w:sz="8" w:color="0000EE"/>
            </w:tcBorders>
            <w:gridSpan w:val="2"/>
          </w:tcPr>
          <w:p>
            <w:pPr>
              <w:spacing w:after="0"/>
              <w:rPr>
                <w:rFonts w:ascii="Arial" w:cs="Arial" w:eastAsia="Arial" w:hAnsi="Arial"/>
                <w:sz w:val="16"/>
                <w:szCs w:val="16"/>
                <w:color w:val="0000EE"/>
                <w:w w:val="96"/>
              </w:rPr>
            </w:pPr>
            <w:hyperlink w:anchor="page88">
              <w:r>
                <w:rPr>
                  <w:rFonts w:ascii="Arial" w:cs="Arial" w:eastAsia="Arial" w:hAnsi="Arial"/>
                  <w:sz w:val="16"/>
                  <w:szCs w:val="16"/>
                  <w:color w:val="0000EE"/>
                  <w:w w:val="96"/>
                </w:rPr>
                <w:t>A-3</w:t>
              </w:r>
            </w:hyperlink>
          </w:p>
        </w:tc>
        <w:tc>
          <w:tcPr>
            <w:tcW w:w="66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30"/>
        </w:trPr>
        <w:tc>
          <w:tcPr>
            <w:tcW w:w="66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gridSpan w:val="9"/>
            <w:shd w:val="clear" w:color="auto" w:fill="CCEEFF"/>
          </w:tcPr>
          <w:p>
            <w:pPr>
              <w:spacing w:after="0"/>
              <w:rPr>
                <w:rFonts w:ascii="Arial" w:cs="Arial" w:eastAsia="Arial" w:hAnsi="Arial"/>
                <w:sz w:val="16"/>
                <w:szCs w:val="16"/>
                <w:color w:val="0000EE"/>
              </w:rPr>
            </w:pPr>
            <w:hyperlink w:anchor="page88">
              <w:r>
                <w:rPr>
                  <w:rFonts w:ascii="Arial" w:cs="Arial" w:eastAsia="Arial" w:hAnsi="Arial"/>
                  <w:sz w:val="16"/>
                  <w:szCs w:val="16"/>
                  <w:color w:val="0000EE"/>
                </w:rPr>
                <w:t>(aa)</w:t>
              </w:r>
            </w:hyperlink>
          </w:p>
        </w:tc>
        <w:tc>
          <w:tcPr>
            <w:tcW w:w="8400" w:type="dxa"/>
            <w:vAlign w:val="bottom"/>
            <w:gridSpan w:val="28"/>
            <w:shd w:val="clear" w:color="auto" w:fill="CCEEFF"/>
          </w:tcPr>
          <w:p>
            <w:pPr>
              <w:spacing w:after="0"/>
              <w:rPr>
                <w:rFonts w:ascii="Arial" w:cs="Arial" w:eastAsia="Arial" w:hAnsi="Arial"/>
                <w:sz w:val="16"/>
                <w:szCs w:val="16"/>
                <w:color w:val="0000EE"/>
              </w:rPr>
            </w:pPr>
            <w:hyperlink w:anchor="page88">
              <w:r>
                <w:rPr>
                  <w:rFonts w:ascii="Arial" w:cs="Arial" w:eastAsia="Arial" w:hAnsi="Arial"/>
                  <w:sz w:val="16"/>
                  <w:szCs w:val="16"/>
                  <w:color w:val="0000EE"/>
                </w:rPr>
                <w:t>“Participant”</w:t>
              </w:r>
            </w:hyperlink>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rFonts w:ascii="Arial" w:cs="Arial" w:eastAsia="Arial" w:hAnsi="Arial"/>
                <w:sz w:val="16"/>
                <w:szCs w:val="16"/>
                <w:color w:val="0000EE"/>
                <w:w w:val="88"/>
              </w:rPr>
            </w:pPr>
            <w:hyperlink w:anchor="page88">
              <w:r>
                <w:rPr>
                  <w:rFonts w:ascii="Arial" w:cs="Arial" w:eastAsia="Arial" w:hAnsi="Arial"/>
                  <w:sz w:val="16"/>
                  <w:szCs w:val="16"/>
                  <w:color w:val="0000EE"/>
                  <w:w w:val="88"/>
                </w:rPr>
                <w:t>A-3</w:t>
              </w:r>
            </w:hyperlink>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5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30"/>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gridSpan w:val="9"/>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(bb)</w:t>
              </w:r>
            </w:hyperlink>
          </w:p>
        </w:tc>
        <w:tc>
          <w:tcPr>
            <w:tcW w:w="8400" w:type="dxa"/>
            <w:vAlign w:val="bottom"/>
            <w:gridSpan w:val="28"/>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“Plan”</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3"/>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A-4</w:t>
              </w:r>
            </w:hyperlink>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660" w:type="dxa"/>
            <w:vAlign w:val="bottom"/>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40" w:type="dxa"/>
            <w:vAlign w:val="bottom"/>
            <w:gridSpan w:val="9"/>
            <w:shd w:val="clear" w:color="auto" w:fill="CCEEFF"/>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(cc)</w:t>
              </w:r>
            </w:hyperlink>
          </w:p>
        </w:tc>
        <w:tc>
          <w:tcPr>
            <w:tcW w:w="8400" w:type="dxa"/>
            <w:vAlign w:val="bottom"/>
            <w:gridSpan w:val="28"/>
            <w:shd w:val="clear" w:color="auto" w:fill="CCEEFF"/>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“Purchase Price”</w:t>
              </w:r>
            </w:hyperlink>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rFonts w:ascii="Arial" w:cs="Arial" w:eastAsia="Arial" w:hAnsi="Arial"/>
                <w:sz w:val="16"/>
                <w:szCs w:val="16"/>
                <w:color w:val="0000EE"/>
                <w:w w:val="88"/>
              </w:rPr>
            </w:pPr>
            <w:hyperlink w:anchor="page89">
              <w:r>
                <w:rPr>
                  <w:rFonts w:ascii="Arial" w:cs="Arial" w:eastAsia="Arial" w:hAnsi="Arial"/>
                  <w:sz w:val="16"/>
                  <w:szCs w:val="16"/>
                  <w:color w:val="0000EE"/>
                  <w:w w:val="88"/>
                </w:rPr>
                <w:t>A-4</w:t>
              </w:r>
            </w:hyperlink>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34"/>
        </w:trPr>
        <w:tc>
          <w:tcPr>
            <w:tcW w:w="66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5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gridSpan w:val="9"/>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(dd)</w:t>
              </w:r>
            </w:hyperlink>
          </w:p>
        </w:tc>
        <w:tc>
          <w:tcPr>
            <w:tcW w:w="8400" w:type="dxa"/>
            <w:vAlign w:val="bottom"/>
            <w:gridSpan w:val="28"/>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“Restatement Date”</w:t>
              </w:r>
            </w:hyperlink>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gridSpan w:val="3"/>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A-4</w:t>
              </w:r>
            </w:hyperlink>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660" w:type="dxa"/>
            <w:vAlign w:val="bottom"/>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40" w:type="dxa"/>
            <w:vAlign w:val="bottom"/>
            <w:gridSpan w:val="9"/>
            <w:shd w:val="clear" w:color="auto" w:fill="CCEEFF"/>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(ee)</w:t>
              </w:r>
            </w:hyperlink>
          </w:p>
        </w:tc>
        <w:tc>
          <w:tcPr>
            <w:tcW w:w="8400" w:type="dxa"/>
            <w:vAlign w:val="bottom"/>
            <w:gridSpan w:val="28"/>
            <w:shd w:val="clear" w:color="auto" w:fill="CCEEFF"/>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“Restricted Share”</w:t>
              </w:r>
            </w:hyperlink>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rFonts w:ascii="Arial" w:cs="Arial" w:eastAsia="Arial" w:hAnsi="Arial"/>
                <w:sz w:val="16"/>
                <w:szCs w:val="16"/>
                <w:color w:val="0000EE"/>
                <w:w w:val="88"/>
              </w:rPr>
            </w:pPr>
            <w:hyperlink w:anchor="page89">
              <w:r>
                <w:rPr>
                  <w:rFonts w:ascii="Arial" w:cs="Arial" w:eastAsia="Arial" w:hAnsi="Arial"/>
                  <w:sz w:val="16"/>
                  <w:szCs w:val="16"/>
                  <w:color w:val="0000EE"/>
                  <w:w w:val="88"/>
                </w:rPr>
                <w:t>A-4</w:t>
              </w:r>
            </w:hyperlink>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34"/>
        </w:trPr>
        <w:tc>
          <w:tcPr>
            <w:tcW w:w="66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5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gridSpan w:val="8"/>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(ff)</w:t>
              </w:r>
            </w:hyperlink>
          </w:p>
        </w:tc>
        <w:tc>
          <w:tcPr>
            <w:tcW w:w="160" w:type="dxa"/>
            <w:vAlign w:val="bottom"/>
          </w:tcPr>
          <w:p>
            <w:pPr>
              <w:spacing w:after="0"/>
              <w:rPr>
                <w:sz w:val="21"/>
                <w:szCs w:val="21"/>
                <w:color w:val="auto"/>
              </w:rPr>
            </w:pPr>
          </w:p>
        </w:tc>
        <w:tc>
          <w:tcPr>
            <w:tcW w:w="8400" w:type="dxa"/>
            <w:vAlign w:val="bottom"/>
            <w:gridSpan w:val="28"/>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“Restricted Stock Unit”</w:t>
              </w:r>
            </w:hyperlink>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gridSpan w:val="3"/>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A-4</w:t>
              </w:r>
            </w:hyperlink>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660" w:type="dxa"/>
            <w:vAlign w:val="bottom"/>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40" w:type="dxa"/>
            <w:vAlign w:val="bottom"/>
            <w:gridSpan w:val="9"/>
            <w:shd w:val="clear" w:color="auto" w:fill="CCEEFF"/>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(gg)</w:t>
              </w:r>
            </w:hyperlink>
          </w:p>
        </w:tc>
        <w:tc>
          <w:tcPr>
            <w:tcW w:w="8400" w:type="dxa"/>
            <w:vAlign w:val="bottom"/>
            <w:gridSpan w:val="28"/>
            <w:shd w:val="clear" w:color="auto" w:fill="CCEEFF"/>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“SAR”</w:t>
              </w:r>
            </w:hyperlink>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rFonts w:ascii="Arial" w:cs="Arial" w:eastAsia="Arial" w:hAnsi="Arial"/>
                <w:sz w:val="16"/>
                <w:szCs w:val="16"/>
                <w:color w:val="0000EE"/>
                <w:w w:val="88"/>
              </w:rPr>
            </w:pPr>
            <w:hyperlink w:anchor="page89">
              <w:r>
                <w:rPr>
                  <w:rFonts w:ascii="Arial" w:cs="Arial" w:eastAsia="Arial" w:hAnsi="Arial"/>
                  <w:sz w:val="16"/>
                  <w:szCs w:val="16"/>
                  <w:color w:val="0000EE"/>
                  <w:w w:val="88"/>
                </w:rPr>
                <w:t>A-4</w:t>
              </w:r>
            </w:hyperlink>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34"/>
        </w:trPr>
        <w:tc>
          <w:tcPr>
            <w:tcW w:w="66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5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gridSpan w:val="9"/>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(hh)</w:t>
              </w:r>
            </w:hyperlink>
          </w:p>
        </w:tc>
        <w:tc>
          <w:tcPr>
            <w:tcW w:w="8400" w:type="dxa"/>
            <w:vAlign w:val="bottom"/>
            <w:gridSpan w:val="28"/>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“Section 409A”</w:t>
              </w:r>
            </w:hyperlink>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gridSpan w:val="3"/>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A-4</w:t>
              </w:r>
            </w:hyperlink>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77"/>
        </w:trPr>
        <w:tc>
          <w:tcPr>
            <w:tcW w:w="660" w:type="dxa"/>
            <w:vAlign w:val="bottom"/>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gridSpan w:val="3"/>
            <w:shd w:val="clear" w:color="auto" w:fill="CCEEFF"/>
          </w:tcPr>
          <w:p>
            <w:pPr>
              <w:spacing w:after="0"/>
              <w:rPr>
                <w:rFonts w:ascii="Arial" w:cs="Arial" w:eastAsia="Arial" w:hAnsi="Arial"/>
                <w:sz w:val="16"/>
                <w:szCs w:val="16"/>
                <w:color w:val="0000EE"/>
                <w:w w:val="89"/>
              </w:rPr>
            </w:pPr>
            <w:hyperlink w:anchor="page89">
              <w:r>
                <w:rPr>
                  <w:rFonts w:ascii="Arial" w:cs="Arial" w:eastAsia="Arial" w:hAnsi="Arial"/>
                  <w:sz w:val="16"/>
                  <w:szCs w:val="16"/>
                  <w:color w:val="0000EE"/>
                  <w:w w:val="89"/>
                </w:rPr>
                <w:t>(ii)</w:t>
              </w:r>
            </w:hyperlink>
          </w:p>
        </w:tc>
        <w:tc>
          <w:tcPr>
            <w:tcW w:w="260" w:type="dxa"/>
            <w:vAlign w:val="bottom"/>
            <w:gridSpan w:val="6"/>
            <w:shd w:val="clear" w:color="auto" w:fill="CCEEFF"/>
          </w:tcPr>
          <w:p>
            <w:pPr>
              <w:spacing w:after="0"/>
              <w:rPr>
                <w:sz w:val="24"/>
                <w:szCs w:val="24"/>
                <w:color w:val="auto"/>
              </w:rPr>
            </w:pPr>
          </w:p>
        </w:tc>
        <w:tc>
          <w:tcPr>
            <w:tcW w:w="8400" w:type="dxa"/>
            <w:vAlign w:val="bottom"/>
            <w:gridSpan w:val="28"/>
            <w:shd w:val="clear" w:color="auto" w:fill="CCEEFF"/>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“Securities Act”</w:t>
              </w:r>
            </w:hyperlink>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rFonts w:ascii="Arial" w:cs="Arial" w:eastAsia="Arial" w:hAnsi="Arial"/>
                <w:sz w:val="16"/>
                <w:szCs w:val="16"/>
                <w:color w:val="0000EE"/>
                <w:w w:val="88"/>
              </w:rPr>
            </w:pPr>
            <w:hyperlink w:anchor="page89">
              <w:r>
                <w:rPr>
                  <w:rFonts w:ascii="Arial" w:cs="Arial" w:eastAsia="Arial" w:hAnsi="Arial"/>
                  <w:sz w:val="16"/>
                  <w:szCs w:val="16"/>
                  <w:color w:val="0000EE"/>
                  <w:w w:val="88"/>
                </w:rPr>
                <w:t>A-4</w:t>
              </w:r>
            </w:hyperlink>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43"/>
        </w:trPr>
        <w:tc>
          <w:tcPr>
            <w:tcW w:w="660" w:type="dxa"/>
            <w:vAlign w:val="bottom"/>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80" w:type="dxa"/>
            <w:vAlign w:val="bottom"/>
            <w:tcBorders>
              <w:top w:val="single" w:sz="8" w:color="0000EE"/>
              <w:bottom w:val="single" w:sz="8" w:color="0000EE"/>
            </w:tcBorders>
            <w:gridSpan w:val="3"/>
          </w:tcPr>
          <w:p>
            <w:pPr>
              <w:spacing w:after="0"/>
              <w:rPr>
                <w:rFonts w:ascii="Arial" w:cs="Arial" w:eastAsia="Arial" w:hAnsi="Arial"/>
                <w:sz w:val="16"/>
                <w:szCs w:val="16"/>
                <w:color w:val="0000EE"/>
                <w:w w:val="89"/>
              </w:rPr>
            </w:pPr>
            <w:hyperlink w:anchor="page89">
              <w:r>
                <w:rPr>
                  <w:rFonts w:ascii="Arial" w:cs="Arial" w:eastAsia="Arial" w:hAnsi="Arial"/>
                  <w:sz w:val="16"/>
                  <w:szCs w:val="16"/>
                  <w:color w:val="0000EE"/>
                  <w:w w:val="89"/>
                </w:rPr>
                <w:t>(jj)</w:t>
              </w:r>
            </w:hyperlink>
          </w:p>
        </w:tc>
        <w:tc>
          <w:tcPr>
            <w:tcW w:w="260" w:type="dxa"/>
            <w:vAlign w:val="bottom"/>
            <w:tcBorders>
              <w:top w:val="single" w:sz="8" w:color="CCEEFF"/>
            </w:tcBorders>
            <w:gridSpan w:val="6"/>
          </w:tcPr>
          <w:p>
            <w:pPr>
              <w:spacing w:after="0"/>
              <w:rPr>
                <w:sz w:val="21"/>
                <w:szCs w:val="21"/>
                <w:color w:val="auto"/>
              </w:rPr>
            </w:pPr>
          </w:p>
        </w:tc>
        <w:tc>
          <w:tcPr>
            <w:tcW w:w="660" w:type="dxa"/>
            <w:vAlign w:val="bottom"/>
            <w:tcBorders>
              <w:top w:val="single" w:sz="8" w:color="0000EE"/>
              <w:bottom w:val="single" w:sz="8" w:color="0000EE"/>
            </w:tcBorders>
            <w:gridSpan w:val="7"/>
          </w:tcPr>
          <w:p>
            <w:pPr>
              <w:spacing w:after="0"/>
              <w:rPr>
                <w:rFonts w:ascii="Arial" w:cs="Arial" w:eastAsia="Arial" w:hAnsi="Arial"/>
                <w:sz w:val="16"/>
                <w:szCs w:val="16"/>
                <w:color w:val="0000EE"/>
                <w:w w:val="99"/>
              </w:rPr>
            </w:pPr>
            <w:hyperlink w:anchor="page89">
              <w:r>
                <w:rPr>
                  <w:rFonts w:ascii="Arial" w:cs="Arial" w:eastAsia="Arial" w:hAnsi="Arial"/>
                  <w:sz w:val="16"/>
                  <w:szCs w:val="16"/>
                  <w:color w:val="0000EE"/>
                  <w:w w:val="99"/>
                </w:rPr>
                <w:t>“Service”</w:t>
              </w:r>
            </w:hyperlink>
          </w:p>
        </w:tc>
        <w:tc>
          <w:tcPr>
            <w:tcW w:w="440" w:type="dxa"/>
            <w:vAlign w:val="bottom"/>
            <w:tcBorders>
              <w:top w:val="single" w:sz="8" w:color="0000EE"/>
            </w:tcBorders>
            <w:gridSpan w:val="7"/>
          </w:tcPr>
          <w:p>
            <w:pPr>
              <w:spacing w:after="0"/>
              <w:rPr>
                <w:sz w:val="21"/>
                <w:szCs w:val="21"/>
                <w:color w:val="auto"/>
              </w:rPr>
            </w:pPr>
          </w:p>
        </w:tc>
        <w:tc>
          <w:tcPr>
            <w:tcW w:w="7300" w:type="dxa"/>
            <w:vAlign w:val="bottom"/>
            <w:tcBorders>
              <w:top w:val="single" w:sz="8" w:color="CCEEFF"/>
            </w:tcBorders>
            <w:gridSpan w:val="14"/>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0000EE"/>
              <w:bottom w:val="single" w:sz="8" w:color="0000EE"/>
            </w:tcBorders>
            <w:gridSpan w:val="2"/>
          </w:tcPr>
          <w:p>
            <w:pPr>
              <w:spacing w:after="0"/>
              <w:rPr>
                <w:rFonts w:ascii="Arial" w:cs="Arial" w:eastAsia="Arial" w:hAnsi="Arial"/>
                <w:sz w:val="16"/>
                <w:szCs w:val="16"/>
                <w:color w:val="0000EE"/>
                <w:w w:val="96"/>
              </w:rPr>
            </w:pPr>
            <w:hyperlink w:anchor="page89">
              <w:r>
                <w:rPr>
                  <w:rFonts w:ascii="Arial" w:cs="Arial" w:eastAsia="Arial" w:hAnsi="Arial"/>
                  <w:sz w:val="16"/>
                  <w:szCs w:val="16"/>
                  <w:color w:val="0000EE"/>
                  <w:w w:val="96"/>
                </w:rPr>
                <w:t>A-4</w:t>
              </w:r>
            </w:hyperlink>
          </w:p>
        </w:tc>
        <w:tc>
          <w:tcPr>
            <w:tcW w:w="660" w:type="dxa"/>
            <w:vAlign w:val="bottom"/>
          </w:tcPr>
          <w:p>
            <w:pPr>
              <w:spacing w:after="0"/>
              <w:rPr>
                <w:sz w:val="21"/>
                <w:szCs w:val="21"/>
                <w:color w:val="auto"/>
              </w:rPr>
            </w:pPr>
          </w:p>
        </w:tc>
      </w:tr>
      <w:tr>
        <w:trPr>
          <w:trHeight w:val="598"/>
        </w:trPr>
        <w:tc>
          <w:tcPr>
            <w:tcW w:w="660" w:type="dxa"/>
            <w:vAlign w:val="bottom"/>
          </w:tcPr>
          <w:p>
            <w:pPr>
              <w:spacing w:after="0"/>
              <w:rPr>
                <w:sz w:val="24"/>
                <w:szCs w:val="24"/>
                <w:color w:val="auto"/>
              </w:rPr>
            </w:pPr>
          </w:p>
        </w:tc>
        <w:tc>
          <w:tcPr>
            <w:tcW w:w="9000" w:type="dxa"/>
            <w:vAlign w:val="bottom"/>
            <w:gridSpan w:val="38"/>
          </w:tcPr>
          <w:p>
            <w:pPr>
              <w:spacing w:after="0"/>
              <w:rPr>
                <w:sz w:val="20"/>
                <w:szCs w:val="20"/>
                <w:color w:val="auto"/>
              </w:rPr>
            </w:pPr>
            <w:r>
              <w:rPr>
                <w:rFonts w:ascii="Arial" w:cs="Arial" w:eastAsia="Arial" w:hAnsi="Arial"/>
                <w:sz w:val="13"/>
                <w:szCs w:val="13"/>
                <w:color w:val="auto"/>
              </w:rPr>
              <w:t>2022 Proxy Statement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3"/>
          </w:tcPr>
          <w:p>
            <w:pPr>
              <w:ind w:left="80"/>
              <w:spacing w:after="0"/>
              <w:rPr>
                <w:sz w:val="20"/>
                <w:szCs w:val="20"/>
                <w:color w:val="auto"/>
              </w:rPr>
            </w:pPr>
            <w:r>
              <w:rPr>
                <w:rFonts w:ascii="Arial" w:cs="Arial" w:eastAsia="Arial" w:hAnsi="Arial"/>
                <w:sz w:val="13"/>
                <w:szCs w:val="13"/>
                <w:b w:val="1"/>
                <w:bCs w:val="1"/>
                <w:color w:val="auto"/>
              </w:rPr>
              <w:t>A-i</w:t>
            </w:r>
          </w:p>
        </w:tc>
      </w:tr>
      <w:tr>
        <w:trPr>
          <w:trHeight w:val="172"/>
        </w:trPr>
        <w:tc>
          <w:tcPr>
            <w:tcW w:w="6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53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-7397115</wp:posOffset>
            </wp:positionV>
            <wp:extent cx="571754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17540" cy="1714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83" w:name="page84"/>
    <w:bookmarkEnd w:id="83"/>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60" w:type="dxa"/>
            <w:vAlign w:val="bottom"/>
            <w:gridSpan w:val="5"/>
          </w:tcPr>
          <w:p>
            <w:pPr>
              <w:ind w:left="40"/>
              <w:spacing w:after="0"/>
              <w:rPr>
                <w:sz w:val="20"/>
                <w:szCs w:val="20"/>
                <w:color w:val="auto"/>
              </w:rPr>
            </w:pPr>
            <w:r>
              <w:rPr>
                <w:rFonts w:ascii="Arial" w:cs="Arial" w:eastAsia="Arial" w:hAnsi="Arial"/>
                <w:sz w:val="13"/>
                <w:szCs w:val="13"/>
                <w:b w:val="1"/>
                <w:bCs w:val="1"/>
                <w:color w:val="auto"/>
              </w:rPr>
              <w:t>Page</w:t>
            </w:r>
          </w:p>
        </w:tc>
      </w:tr>
      <w:tr>
        <w:trPr>
          <w:trHeight w:val="63"/>
        </w:trPr>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gridSpan w:val="2"/>
          </w:tcPr>
          <w:p>
            <w:pPr>
              <w:spacing w:after="0"/>
              <w:rPr>
                <w:sz w:val="5"/>
                <w:szCs w:val="5"/>
                <w:color w:val="auto"/>
              </w:rPr>
            </w:pPr>
          </w:p>
        </w:tc>
        <w:tc>
          <w:tcPr>
            <w:tcW w:w="660" w:type="dxa"/>
            <w:vAlign w:val="bottom"/>
          </w:tcPr>
          <w:p>
            <w:pPr>
              <w:spacing w:after="0"/>
              <w:rPr>
                <w:sz w:val="5"/>
                <w:szCs w:val="5"/>
                <w:color w:val="auto"/>
              </w:rPr>
            </w:pPr>
          </w:p>
        </w:tc>
      </w:tr>
      <w:tr>
        <w:trPr>
          <w:trHeight w:val="250"/>
        </w:trPr>
        <w:tc>
          <w:tcPr>
            <w:tcW w:w="660" w:type="dxa"/>
            <w:vAlign w:val="bottom"/>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CCEEFF"/>
            </w:tcBorders>
            <w:gridSpan w:val="6"/>
            <w:shd w:val="clear" w:color="auto" w:fill="CCEEFF"/>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(kk)</w:t>
              </w:r>
            </w:hyperlink>
          </w:p>
        </w:tc>
        <w:tc>
          <w:tcPr>
            <w:tcW w:w="60" w:type="dxa"/>
            <w:vAlign w:val="bottom"/>
            <w:tcBorders>
              <w:top w:val="single" w:sz="8" w:color="CCEEFF"/>
            </w:tcBorders>
            <w:shd w:val="clear" w:color="auto" w:fill="CCEEFF"/>
          </w:tcPr>
          <w:p>
            <w:pPr>
              <w:spacing w:after="0"/>
              <w:rPr>
                <w:sz w:val="21"/>
                <w:szCs w:val="21"/>
                <w:color w:val="auto"/>
              </w:rPr>
            </w:pPr>
          </w:p>
        </w:tc>
        <w:tc>
          <w:tcPr>
            <w:tcW w:w="6440" w:type="dxa"/>
            <w:vAlign w:val="bottom"/>
            <w:tcBorders>
              <w:top w:val="single" w:sz="8" w:color="CCEEFF"/>
            </w:tcBorders>
            <w:gridSpan w:val="31"/>
            <w:shd w:val="clear" w:color="auto" w:fill="CCEEFF"/>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“Share”</w:t>
              </w:r>
            </w:hyperlink>
          </w:p>
        </w:tc>
        <w:tc>
          <w:tcPr>
            <w:tcW w:w="19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rFonts w:ascii="Arial" w:cs="Arial" w:eastAsia="Arial" w:hAnsi="Arial"/>
                <w:sz w:val="16"/>
                <w:szCs w:val="16"/>
                <w:color w:val="0000EE"/>
                <w:w w:val="88"/>
              </w:rPr>
            </w:pPr>
            <w:hyperlink w:anchor="page89">
              <w:r>
                <w:rPr>
                  <w:rFonts w:ascii="Arial" w:cs="Arial" w:eastAsia="Arial" w:hAnsi="Arial"/>
                  <w:sz w:val="16"/>
                  <w:szCs w:val="16"/>
                  <w:color w:val="0000EE"/>
                  <w:w w:val="88"/>
                </w:rPr>
                <w:t>A-4</w:t>
              </w:r>
            </w:hyperlink>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30"/>
        </w:trPr>
        <w:tc>
          <w:tcPr>
            <w:tcW w:w="660" w:type="dxa"/>
            <w:vAlign w:val="bottom"/>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60" w:type="dxa"/>
            <w:vAlign w:val="bottom"/>
            <w:tcBorders>
              <w:top w:val="single" w:sz="8" w:color="0000EE"/>
            </w:tcBorders>
            <w:gridSpan w:val="4"/>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(ll)</w:t>
              </w:r>
            </w:hyperlink>
          </w:p>
        </w:tc>
        <w:tc>
          <w:tcPr>
            <w:tcW w:w="120" w:type="dxa"/>
            <w:vAlign w:val="bottom"/>
            <w:tcBorders>
              <w:top w:val="single" w:sz="8" w:color="CCEEFF"/>
            </w:tcBorders>
            <w:gridSpan w:val="2"/>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540" w:type="dxa"/>
            <w:vAlign w:val="bottom"/>
            <w:tcBorders>
              <w:top w:val="single" w:sz="8" w:color="0000EE"/>
            </w:tcBorders>
            <w:gridSpan w:val="2"/>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“Stock”</w:t>
              </w:r>
            </w:hyperlink>
          </w:p>
        </w:tc>
        <w:tc>
          <w:tcPr>
            <w:tcW w:w="5900" w:type="dxa"/>
            <w:vAlign w:val="bottom"/>
            <w:tcBorders>
              <w:top w:val="single" w:sz="8" w:color="CCEEFF"/>
            </w:tcBorders>
            <w:gridSpan w:val="29"/>
          </w:tcPr>
          <w:p>
            <w:pPr>
              <w:spacing w:after="0"/>
              <w:rPr>
                <w:sz w:val="19"/>
                <w:szCs w:val="19"/>
                <w:color w:val="auto"/>
              </w:rPr>
            </w:pPr>
          </w:p>
        </w:tc>
        <w:tc>
          <w:tcPr>
            <w:tcW w:w="19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60" w:type="dxa"/>
            <w:vAlign w:val="bottom"/>
            <w:tcBorders>
              <w:top w:val="single" w:sz="8" w:color="0000EE"/>
            </w:tcBorders>
            <w:gridSpan w:val="2"/>
          </w:tcPr>
          <w:p>
            <w:pPr>
              <w:spacing w:after="0"/>
              <w:rPr>
                <w:rFonts w:ascii="Arial" w:cs="Arial" w:eastAsia="Arial" w:hAnsi="Arial"/>
                <w:sz w:val="16"/>
                <w:szCs w:val="16"/>
                <w:color w:val="0000EE"/>
                <w:w w:val="96"/>
              </w:rPr>
            </w:pPr>
            <w:hyperlink w:anchor="page89">
              <w:r>
                <w:rPr>
                  <w:rFonts w:ascii="Arial" w:cs="Arial" w:eastAsia="Arial" w:hAnsi="Arial"/>
                  <w:sz w:val="16"/>
                  <w:szCs w:val="16"/>
                  <w:color w:val="0000EE"/>
                  <w:w w:val="96"/>
                </w:rPr>
                <w:t>A-4</w:t>
              </w:r>
            </w:hyperlink>
          </w:p>
        </w:tc>
        <w:tc>
          <w:tcPr>
            <w:tcW w:w="66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64"/>
        </w:trPr>
        <w:tc>
          <w:tcPr>
            <w:tcW w:w="660" w:type="dxa"/>
            <w:vAlign w:val="bottom"/>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80" w:type="dxa"/>
            <w:vAlign w:val="bottom"/>
            <w:gridSpan w:val="38"/>
            <w:shd w:val="clear" w:color="auto" w:fill="CCEEFF"/>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(mm) “Stock Purchase Right”</w:t>
              </w:r>
            </w:hyperlink>
          </w:p>
        </w:tc>
        <w:tc>
          <w:tcPr>
            <w:tcW w:w="1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rFonts w:ascii="Arial" w:cs="Arial" w:eastAsia="Arial" w:hAnsi="Arial"/>
                <w:sz w:val="16"/>
                <w:szCs w:val="16"/>
                <w:color w:val="0000EE"/>
                <w:w w:val="88"/>
              </w:rPr>
            </w:pPr>
            <w:hyperlink w:anchor="page89">
              <w:r>
                <w:rPr>
                  <w:rFonts w:ascii="Arial" w:cs="Arial" w:eastAsia="Arial" w:hAnsi="Arial"/>
                  <w:sz w:val="16"/>
                  <w:szCs w:val="16"/>
                  <w:color w:val="0000EE"/>
                  <w:w w:val="88"/>
                </w:rPr>
                <w:t>A-4</w:t>
              </w:r>
            </w:hyperlink>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29"/>
        </w:trPr>
        <w:tc>
          <w:tcPr>
            <w:tcW w:w="660" w:type="dxa"/>
            <w:vAlign w:val="bottom"/>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380" w:type="dxa"/>
            <w:vAlign w:val="bottom"/>
            <w:tcBorders>
              <w:top w:val="single" w:sz="8" w:color="0000EE"/>
            </w:tcBorders>
            <w:gridSpan w:val="6"/>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(nn)</w:t>
              </w:r>
            </w:hyperlink>
          </w:p>
        </w:tc>
        <w:tc>
          <w:tcPr>
            <w:tcW w:w="60" w:type="dxa"/>
            <w:vAlign w:val="bottom"/>
            <w:tcBorders>
              <w:top w:val="single" w:sz="8" w:color="CCEEFF"/>
            </w:tcBorders>
          </w:tcPr>
          <w:p>
            <w:pPr>
              <w:spacing w:after="0"/>
              <w:rPr>
                <w:sz w:val="19"/>
                <w:szCs w:val="19"/>
                <w:color w:val="auto"/>
              </w:rPr>
            </w:pPr>
          </w:p>
        </w:tc>
        <w:tc>
          <w:tcPr>
            <w:tcW w:w="1680" w:type="dxa"/>
            <w:vAlign w:val="bottom"/>
            <w:tcBorders>
              <w:top w:val="single" w:sz="8" w:color="0000EE"/>
            </w:tcBorders>
            <w:gridSpan w:val="17"/>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“Subsidiary”</w:t>
              </w:r>
            </w:hyperlink>
          </w:p>
        </w:tc>
        <w:tc>
          <w:tcPr>
            <w:tcW w:w="4760" w:type="dxa"/>
            <w:vAlign w:val="bottom"/>
            <w:tcBorders>
              <w:top w:val="single" w:sz="8" w:color="CCEEFF"/>
            </w:tcBorders>
            <w:gridSpan w:val="14"/>
          </w:tcPr>
          <w:p>
            <w:pPr>
              <w:spacing w:after="0"/>
              <w:rPr>
                <w:sz w:val="19"/>
                <w:szCs w:val="19"/>
                <w:color w:val="auto"/>
              </w:rPr>
            </w:pPr>
          </w:p>
        </w:tc>
        <w:tc>
          <w:tcPr>
            <w:tcW w:w="19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60" w:type="dxa"/>
            <w:vAlign w:val="bottom"/>
            <w:tcBorders>
              <w:top w:val="single" w:sz="8" w:color="0000EE"/>
            </w:tcBorders>
            <w:gridSpan w:val="2"/>
          </w:tcPr>
          <w:p>
            <w:pPr>
              <w:spacing w:after="0"/>
              <w:rPr>
                <w:rFonts w:ascii="Arial" w:cs="Arial" w:eastAsia="Arial" w:hAnsi="Arial"/>
                <w:sz w:val="16"/>
                <w:szCs w:val="16"/>
                <w:color w:val="0000EE"/>
                <w:w w:val="96"/>
              </w:rPr>
            </w:pPr>
            <w:hyperlink w:anchor="page89">
              <w:r>
                <w:rPr>
                  <w:rFonts w:ascii="Arial" w:cs="Arial" w:eastAsia="Arial" w:hAnsi="Arial"/>
                  <w:sz w:val="16"/>
                  <w:szCs w:val="16"/>
                  <w:color w:val="0000EE"/>
                  <w:w w:val="96"/>
                </w:rPr>
                <w:t>A-4</w:t>
              </w:r>
            </w:hyperlink>
          </w:p>
        </w:tc>
        <w:tc>
          <w:tcPr>
            <w:tcW w:w="66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63"/>
        </w:trPr>
        <w:tc>
          <w:tcPr>
            <w:tcW w:w="660" w:type="dxa"/>
            <w:vAlign w:val="bottom"/>
          </w:tcPr>
          <w:p>
            <w:pPr>
              <w:spacing w:after="0"/>
              <w:rPr>
                <w:sz w:val="22"/>
                <w:szCs w:val="22"/>
                <w:color w:val="auto"/>
              </w:rPr>
            </w:pPr>
          </w:p>
        </w:tc>
        <w:tc>
          <w:tcPr>
            <w:tcW w:w="7040" w:type="dxa"/>
            <w:vAlign w:val="bottom"/>
            <w:gridSpan w:val="39"/>
            <w:shd w:val="clear" w:color="auto" w:fill="CCEEFF"/>
          </w:tcPr>
          <w:p>
            <w:pPr>
              <w:spacing w:after="0"/>
              <w:rPr>
                <w:rFonts w:ascii="Arial" w:cs="Arial" w:eastAsia="Arial" w:hAnsi="Arial"/>
                <w:sz w:val="16"/>
                <w:szCs w:val="16"/>
                <w:b w:val="1"/>
                <w:bCs w:val="1"/>
                <w:color w:val="0000EE"/>
              </w:rPr>
            </w:pPr>
            <w:hyperlink w:anchor="page89">
              <w:r>
                <w:rPr>
                  <w:rFonts w:ascii="Arial" w:cs="Arial" w:eastAsia="Arial" w:hAnsi="Arial"/>
                  <w:sz w:val="16"/>
                  <w:szCs w:val="16"/>
                  <w:b w:val="1"/>
                  <w:bCs w:val="1"/>
                  <w:color w:val="0000EE"/>
                </w:rPr>
                <w:t>SECTION 3.  ADMINISTRATION.</w:t>
              </w:r>
            </w:hyperlink>
          </w:p>
        </w:tc>
        <w:tc>
          <w:tcPr>
            <w:tcW w:w="1960" w:type="dxa"/>
            <w:vAlign w:val="bottom"/>
            <w:shd w:val="clear" w:color="auto" w:fill="CCEEFF"/>
          </w:tcPr>
          <w:p>
            <w:pPr>
              <w:spacing w:after="0"/>
              <w:rPr>
                <w:sz w:val="22"/>
                <w:szCs w:val="22"/>
                <w:color w:val="auto"/>
              </w:rPr>
            </w:pPr>
          </w:p>
        </w:tc>
        <w:tc>
          <w:tcPr>
            <w:tcW w:w="380" w:type="dxa"/>
            <w:vAlign w:val="bottom"/>
            <w:gridSpan w:val="3"/>
            <w:shd w:val="clear" w:color="auto" w:fill="CCEEFF"/>
          </w:tcPr>
          <w:p>
            <w:pPr>
              <w:ind w:left="120"/>
              <w:spacing w:after="0"/>
              <w:rPr>
                <w:rFonts w:ascii="Arial" w:cs="Arial" w:eastAsia="Arial" w:hAnsi="Arial"/>
                <w:sz w:val="16"/>
                <w:szCs w:val="16"/>
                <w:b w:val="1"/>
                <w:bCs w:val="1"/>
                <w:color w:val="0000EE"/>
                <w:w w:val="92"/>
              </w:rPr>
            </w:pPr>
            <w:hyperlink w:anchor="page89">
              <w:r>
                <w:rPr>
                  <w:rFonts w:ascii="Arial" w:cs="Arial" w:eastAsia="Arial" w:hAnsi="Arial"/>
                  <w:sz w:val="16"/>
                  <w:szCs w:val="16"/>
                  <w:b w:val="1"/>
                  <w:bCs w:val="1"/>
                  <w:color w:val="0000EE"/>
                  <w:w w:val="92"/>
                </w:rPr>
                <w:t>A-4</w:t>
              </w:r>
            </w:hyperlink>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29"/>
        </w:trPr>
        <w:tc>
          <w:tcPr>
            <w:tcW w:w="660" w:type="dxa"/>
            <w:vAlign w:val="bottom"/>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gridSpan w:val="6"/>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(a)</w:t>
              </w:r>
            </w:hyperlink>
          </w:p>
        </w:tc>
        <w:tc>
          <w:tcPr>
            <w:tcW w:w="60" w:type="dxa"/>
            <w:vAlign w:val="bottom"/>
            <w:tcBorders>
              <w:top w:val="single" w:sz="8" w:color="0000EE"/>
            </w:tcBorders>
          </w:tcPr>
          <w:p>
            <w:pPr>
              <w:spacing w:after="0"/>
              <w:rPr>
                <w:sz w:val="19"/>
                <w:szCs w:val="19"/>
                <w:color w:val="auto"/>
              </w:rPr>
            </w:pPr>
          </w:p>
        </w:tc>
        <w:tc>
          <w:tcPr>
            <w:tcW w:w="1860" w:type="dxa"/>
            <w:vAlign w:val="bottom"/>
            <w:tcBorders>
              <w:top w:val="single" w:sz="8" w:color="0000EE"/>
            </w:tcBorders>
            <w:gridSpan w:val="20"/>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Committee Composition</w:t>
              </w:r>
            </w:hyperlink>
          </w:p>
        </w:tc>
        <w:tc>
          <w:tcPr>
            <w:tcW w:w="4580" w:type="dxa"/>
            <w:vAlign w:val="bottom"/>
            <w:tcBorders>
              <w:top w:val="single" w:sz="8" w:color="CCEEFF"/>
            </w:tcBorders>
            <w:gridSpan w:val="11"/>
          </w:tcPr>
          <w:p>
            <w:pPr>
              <w:spacing w:after="0"/>
              <w:rPr>
                <w:sz w:val="19"/>
                <w:szCs w:val="19"/>
                <w:color w:val="auto"/>
              </w:rPr>
            </w:pPr>
          </w:p>
        </w:tc>
        <w:tc>
          <w:tcPr>
            <w:tcW w:w="19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gridSpan w:val="2"/>
          </w:tcPr>
          <w:p>
            <w:pPr>
              <w:spacing w:after="0"/>
              <w:rPr>
                <w:rFonts w:ascii="Arial" w:cs="Arial" w:eastAsia="Arial" w:hAnsi="Arial"/>
                <w:sz w:val="16"/>
                <w:szCs w:val="16"/>
                <w:color w:val="0000EE"/>
                <w:w w:val="96"/>
              </w:rPr>
            </w:pPr>
            <w:hyperlink w:anchor="page89">
              <w:r>
                <w:rPr>
                  <w:rFonts w:ascii="Arial" w:cs="Arial" w:eastAsia="Arial" w:hAnsi="Arial"/>
                  <w:sz w:val="16"/>
                  <w:szCs w:val="16"/>
                  <w:color w:val="0000EE"/>
                  <w:w w:val="96"/>
                </w:rPr>
                <w:t>A-4</w:t>
              </w:r>
            </w:hyperlink>
          </w:p>
        </w:tc>
        <w:tc>
          <w:tcPr>
            <w:tcW w:w="66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30"/>
        </w:trPr>
        <w:tc>
          <w:tcPr>
            <w:tcW w:w="66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gridSpan w:val="3"/>
            <w:shd w:val="clear" w:color="auto" w:fill="CCEEFF"/>
          </w:tcPr>
          <w:p>
            <w:pPr>
              <w:spacing w:after="0"/>
              <w:rPr>
                <w:rFonts w:ascii="Arial" w:cs="Arial" w:eastAsia="Arial" w:hAnsi="Arial"/>
                <w:sz w:val="16"/>
                <w:szCs w:val="16"/>
                <w:color w:val="0000EE"/>
                <w:w w:val="91"/>
              </w:rPr>
            </w:pPr>
            <w:hyperlink w:anchor="page89">
              <w:r>
                <w:rPr>
                  <w:rFonts w:ascii="Arial" w:cs="Arial" w:eastAsia="Arial" w:hAnsi="Arial"/>
                  <w:sz w:val="16"/>
                  <w:szCs w:val="16"/>
                  <w:color w:val="0000EE"/>
                  <w:w w:val="91"/>
                </w:rPr>
                <w:t>(b)</w:t>
              </w:r>
            </w:hyperlink>
          </w:p>
        </w:tc>
        <w:tc>
          <w:tcPr>
            <w:tcW w:w="180" w:type="dxa"/>
            <w:vAlign w:val="bottom"/>
            <w:gridSpan w:val="3"/>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40" w:type="dxa"/>
            <w:vAlign w:val="bottom"/>
            <w:gridSpan w:val="31"/>
            <w:shd w:val="clear" w:color="auto" w:fill="CCEEFF"/>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Committee Appointment</w:t>
              </w:r>
            </w:hyperlink>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rFonts w:ascii="Arial" w:cs="Arial" w:eastAsia="Arial" w:hAnsi="Arial"/>
                <w:sz w:val="16"/>
                <w:szCs w:val="16"/>
                <w:color w:val="0000EE"/>
                <w:w w:val="88"/>
              </w:rPr>
            </w:pPr>
            <w:hyperlink w:anchor="page89">
              <w:r>
                <w:rPr>
                  <w:rFonts w:ascii="Arial" w:cs="Arial" w:eastAsia="Arial" w:hAnsi="Arial"/>
                  <w:sz w:val="16"/>
                  <w:szCs w:val="16"/>
                  <w:color w:val="0000EE"/>
                  <w:w w:val="88"/>
                </w:rPr>
                <w:t>A-4</w:t>
              </w:r>
            </w:hyperlink>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30"/>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gridSpan w:val="3"/>
          </w:tcPr>
          <w:p>
            <w:pPr>
              <w:spacing w:after="0"/>
              <w:rPr>
                <w:rFonts w:ascii="Arial" w:cs="Arial" w:eastAsia="Arial" w:hAnsi="Arial"/>
                <w:sz w:val="16"/>
                <w:szCs w:val="16"/>
                <w:color w:val="0000EE"/>
                <w:w w:val="96"/>
              </w:rPr>
            </w:pPr>
            <w:hyperlink w:anchor="page90">
              <w:r>
                <w:rPr>
                  <w:rFonts w:ascii="Arial" w:cs="Arial" w:eastAsia="Arial" w:hAnsi="Arial"/>
                  <w:sz w:val="16"/>
                  <w:szCs w:val="16"/>
                  <w:color w:val="0000EE"/>
                  <w:w w:val="96"/>
                </w:rPr>
                <w:t>(c)</w:t>
              </w:r>
            </w:hyperlink>
          </w:p>
        </w:tc>
        <w:tc>
          <w:tcPr>
            <w:tcW w:w="180" w:type="dxa"/>
            <w:vAlign w:val="bottom"/>
            <w:gridSpan w:val="3"/>
          </w:tcPr>
          <w:p>
            <w:pPr>
              <w:spacing w:after="0"/>
              <w:rPr>
                <w:sz w:val="19"/>
                <w:szCs w:val="19"/>
                <w:color w:val="auto"/>
              </w:rPr>
            </w:pPr>
          </w:p>
        </w:tc>
        <w:tc>
          <w:tcPr>
            <w:tcW w:w="60" w:type="dxa"/>
            <w:vAlign w:val="bottom"/>
          </w:tcPr>
          <w:p>
            <w:pPr>
              <w:spacing w:after="0"/>
              <w:rPr>
                <w:sz w:val="19"/>
                <w:szCs w:val="19"/>
                <w:color w:val="auto"/>
              </w:rPr>
            </w:pPr>
          </w:p>
        </w:tc>
        <w:tc>
          <w:tcPr>
            <w:tcW w:w="6440" w:type="dxa"/>
            <w:vAlign w:val="bottom"/>
            <w:gridSpan w:val="31"/>
          </w:tcPr>
          <w:p>
            <w:pPr>
              <w:spacing w:after="0"/>
              <w:rPr>
                <w:rFonts w:ascii="Arial" w:cs="Arial" w:eastAsia="Arial" w:hAnsi="Arial"/>
                <w:sz w:val="16"/>
                <w:szCs w:val="16"/>
                <w:color w:val="0000EE"/>
              </w:rPr>
            </w:pPr>
            <w:hyperlink w:anchor="page90">
              <w:r>
                <w:rPr>
                  <w:rFonts w:ascii="Arial" w:cs="Arial" w:eastAsia="Arial" w:hAnsi="Arial"/>
                  <w:sz w:val="16"/>
                  <w:szCs w:val="16"/>
                  <w:color w:val="0000EE"/>
                </w:rPr>
                <w:t>Committee Responsibilities</w:t>
              </w:r>
            </w:hyperlink>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3"/>
          </w:tcPr>
          <w:p>
            <w:pPr>
              <w:spacing w:after="0"/>
              <w:rPr>
                <w:rFonts w:ascii="Arial" w:cs="Arial" w:eastAsia="Arial" w:hAnsi="Arial"/>
                <w:sz w:val="16"/>
                <w:szCs w:val="16"/>
                <w:color w:val="0000EE"/>
              </w:rPr>
            </w:pPr>
            <w:hyperlink w:anchor="page90">
              <w:r>
                <w:rPr>
                  <w:rFonts w:ascii="Arial" w:cs="Arial" w:eastAsia="Arial" w:hAnsi="Arial"/>
                  <w:sz w:val="16"/>
                  <w:szCs w:val="16"/>
                  <w:color w:val="0000EE"/>
                </w:rPr>
                <w:t>A-5</w:t>
              </w:r>
            </w:hyperlink>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63"/>
        </w:trPr>
        <w:tc>
          <w:tcPr>
            <w:tcW w:w="660" w:type="dxa"/>
            <w:vAlign w:val="bottom"/>
          </w:tcPr>
          <w:p>
            <w:pPr>
              <w:spacing w:after="0"/>
              <w:rPr>
                <w:sz w:val="22"/>
                <w:szCs w:val="22"/>
                <w:color w:val="auto"/>
              </w:rPr>
            </w:pPr>
          </w:p>
        </w:tc>
        <w:tc>
          <w:tcPr>
            <w:tcW w:w="2000" w:type="dxa"/>
            <w:vAlign w:val="bottom"/>
            <w:tcBorders>
              <w:bottom w:val="single" w:sz="8" w:color="0000EE"/>
            </w:tcBorders>
            <w:gridSpan w:val="22"/>
            <w:shd w:val="clear" w:color="auto" w:fill="CCEEFF"/>
          </w:tcPr>
          <w:p>
            <w:pPr>
              <w:spacing w:after="0"/>
              <w:rPr>
                <w:rFonts w:ascii="Arial" w:cs="Arial" w:eastAsia="Arial" w:hAnsi="Arial"/>
                <w:sz w:val="16"/>
                <w:szCs w:val="16"/>
                <w:b w:val="1"/>
                <w:bCs w:val="1"/>
                <w:color w:val="0000EE"/>
              </w:rPr>
            </w:pPr>
            <w:hyperlink w:anchor="page90">
              <w:r>
                <w:rPr>
                  <w:rFonts w:ascii="Arial" w:cs="Arial" w:eastAsia="Arial" w:hAnsi="Arial"/>
                  <w:sz w:val="16"/>
                  <w:szCs w:val="16"/>
                  <w:b w:val="1"/>
                  <w:bCs w:val="1"/>
                  <w:color w:val="0000EE"/>
                </w:rPr>
                <w:t>SECTION 4.  ELIGIBILITY.</w:t>
              </w:r>
            </w:hyperlink>
          </w:p>
        </w:tc>
        <w:tc>
          <w:tcPr>
            <w:tcW w:w="5040" w:type="dxa"/>
            <w:vAlign w:val="bottom"/>
            <w:tcBorders>
              <w:bottom w:val="single" w:sz="8" w:color="CCEEFF"/>
            </w:tcBorders>
            <w:gridSpan w:val="17"/>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0000EE"/>
            </w:tcBorders>
            <w:gridSpan w:val="2"/>
            <w:shd w:val="clear" w:color="auto" w:fill="CCEEFF"/>
          </w:tcPr>
          <w:p>
            <w:pPr>
              <w:spacing w:after="0"/>
              <w:rPr>
                <w:rFonts w:ascii="Arial" w:cs="Arial" w:eastAsia="Arial" w:hAnsi="Arial"/>
                <w:sz w:val="16"/>
                <w:szCs w:val="16"/>
                <w:b w:val="1"/>
                <w:bCs w:val="1"/>
                <w:color w:val="0000EE"/>
                <w:w w:val="92"/>
              </w:rPr>
            </w:pPr>
            <w:hyperlink w:anchor="page90">
              <w:r>
                <w:rPr>
                  <w:rFonts w:ascii="Arial" w:cs="Arial" w:eastAsia="Arial" w:hAnsi="Arial"/>
                  <w:sz w:val="16"/>
                  <w:szCs w:val="16"/>
                  <w:b w:val="1"/>
                  <w:bCs w:val="1"/>
                  <w:color w:val="0000EE"/>
                  <w:w w:val="92"/>
                </w:rPr>
                <w:t>A-5</w:t>
              </w:r>
            </w:hyperlink>
          </w:p>
        </w:tc>
        <w:tc>
          <w:tcPr>
            <w:tcW w:w="20" w:type="dxa"/>
            <w:vAlign w:val="bottom"/>
            <w:tcBorders>
              <w:bottom w:val="single" w:sz="8" w:color="0000EE"/>
            </w:tcBorders>
          </w:tcPr>
          <w:p>
            <w:pPr>
              <w:spacing w:after="0"/>
              <w:rPr>
                <w:sz w:val="22"/>
                <w:szCs w:val="22"/>
                <w:color w:val="auto"/>
              </w:rPr>
            </w:pPr>
          </w:p>
        </w:tc>
        <w:tc>
          <w:tcPr>
            <w:tcW w:w="660" w:type="dxa"/>
            <w:vAlign w:val="bottom"/>
          </w:tcPr>
          <w:p>
            <w:pPr>
              <w:spacing w:after="0"/>
              <w:rPr>
                <w:sz w:val="22"/>
                <w:szCs w:val="22"/>
                <w:color w:val="auto"/>
              </w:rPr>
            </w:pPr>
          </w:p>
        </w:tc>
      </w:tr>
      <w:tr>
        <w:trPr>
          <w:trHeight w:val="229"/>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gridSpan w:val="6"/>
          </w:tcPr>
          <w:p>
            <w:pPr>
              <w:spacing w:after="0"/>
              <w:rPr>
                <w:rFonts w:ascii="Arial" w:cs="Arial" w:eastAsia="Arial" w:hAnsi="Arial"/>
                <w:sz w:val="16"/>
                <w:szCs w:val="16"/>
                <w:color w:val="0000EE"/>
              </w:rPr>
            </w:pPr>
            <w:hyperlink w:anchor="page90">
              <w:r>
                <w:rPr>
                  <w:rFonts w:ascii="Arial" w:cs="Arial" w:eastAsia="Arial" w:hAnsi="Arial"/>
                  <w:sz w:val="16"/>
                  <w:szCs w:val="16"/>
                  <w:color w:val="0000EE"/>
                </w:rPr>
                <w:t>(a)</w:t>
              </w:r>
            </w:hyperlink>
          </w:p>
        </w:tc>
        <w:tc>
          <w:tcPr>
            <w:tcW w:w="60" w:type="dxa"/>
            <w:vAlign w:val="bottom"/>
          </w:tcPr>
          <w:p>
            <w:pPr>
              <w:spacing w:after="0"/>
              <w:rPr>
                <w:sz w:val="19"/>
                <w:szCs w:val="19"/>
                <w:color w:val="auto"/>
              </w:rPr>
            </w:pPr>
          </w:p>
        </w:tc>
        <w:tc>
          <w:tcPr>
            <w:tcW w:w="6440" w:type="dxa"/>
            <w:vAlign w:val="bottom"/>
            <w:gridSpan w:val="31"/>
          </w:tcPr>
          <w:p>
            <w:pPr>
              <w:spacing w:after="0"/>
              <w:rPr>
                <w:rFonts w:ascii="Arial" w:cs="Arial" w:eastAsia="Arial" w:hAnsi="Arial"/>
                <w:sz w:val="16"/>
                <w:szCs w:val="16"/>
                <w:color w:val="0000EE"/>
              </w:rPr>
            </w:pPr>
            <w:hyperlink w:anchor="page90">
              <w:r>
                <w:rPr>
                  <w:rFonts w:ascii="Arial" w:cs="Arial" w:eastAsia="Arial" w:hAnsi="Arial"/>
                  <w:sz w:val="16"/>
                  <w:szCs w:val="16"/>
                  <w:color w:val="0000EE"/>
                </w:rPr>
                <w:t>General Rule</w:t>
              </w:r>
            </w:hyperlink>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3"/>
          </w:tcPr>
          <w:p>
            <w:pPr>
              <w:spacing w:after="0"/>
              <w:rPr>
                <w:rFonts w:ascii="Arial" w:cs="Arial" w:eastAsia="Arial" w:hAnsi="Arial"/>
                <w:sz w:val="16"/>
                <w:szCs w:val="16"/>
                <w:color w:val="0000EE"/>
              </w:rPr>
            </w:pPr>
            <w:hyperlink w:anchor="page90">
              <w:r>
                <w:rPr>
                  <w:rFonts w:ascii="Arial" w:cs="Arial" w:eastAsia="Arial" w:hAnsi="Arial"/>
                  <w:sz w:val="16"/>
                  <w:szCs w:val="16"/>
                  <w:color w:val="0000EE"/>
                </w:rPr>
                <w:t>A-5</w:t>
              </w:r>
            </w:hyperlink>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63"/>
        </w:trPr>
        <w:tc>
          <w:tcPr>
            <w:tcW w:w="660" w:type="dxa"/>
            <w:vAlign w:val="bottom"/>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0" w:type="dxa"/>
            <w:vAlign w:val="bottom"/>
            <w:gridSpan w:val="3"/>
            <w:shd w:val="clear" w:color="auto" w:fill="CCEEFF"/>
          </w:tcPr>
          <w:p>
            <w:pPr>
              <w:spacing w:after="0"/>
              <w:rPr>
                <w:rFonts w:ascii="Arial" w:cs="Arial" w:eastAsia="Arial" w:hAnsi="Arial"/>
                <w:sz w:val="16"/>
                <w:szCs w:val="16"/>
                <w:color w:val="0000EE"/>
                <w:w w:val="91"/>
              </w:rPr>
            </w:pPr>
            <w:hyperlink w:anchor="page91">
              <w:r>
                <w:rPr>
                  <w:rFonts w:ascii="Arial" w:cs="Arial" w:eastAsia="Arial" w:hAnsi="Arial"/>
                  <w:sz w:val="16"/>
                  <w:szCs w:val="16"/>
                  <w:color w:val="0000EE"/>
                  <w:w w:val="91"/>
                </w:rPr>
                <w:t>(b)</w:t>
              </w:r>
            </w:hyperlink>
          </w:p>
        </w:tc>
        <w:tc>
          <w:tcPr>
            <w:tcW w:w="180" w:type="dxa"/>
            <w:vAlign w:val="bottom"/>
            <w:gridSpan w:val="3"/>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440" w:type="dxa"/>
            <w:vAlign w:val="bottom"/>
            <w:gridSpan w:val="31"/>
            <w:shd w:val="clear" w:color="auto" w:fill="CCEEFF"/>
          </w:tcPr>
          <w:p>
            <w:pPr>
              <w:spacing w:after="0"/>
              <w:rPr>
                <w:rFonts w:ascii="Arial" w:cs="Arial" w:eastAsia="Arial" w:hAnsi="Arial"/>
                <w:sz w:val="16"/>
                <w:szCs w:val="16"/>
                <w:color w:val="0000EE"/>
              </w:rPr>
            </w:pPr>
            <w:hyperlink w:anchor="page91">
              <w:r>
                <w:rPr>
                  <w:rFonts w:ascii="Arial" w:cs="Arial" w:eastAsia="Arial" w:hAnsi="Arial"/>
                  <w:sz w:val="16"/>
                  <w:szCs w:val="16"/>
                  <w:color w:val="0000EE"/>
                </w:rPr>
                <w:t>Ten-Percent Stockholders</w:t>
              </w:r>
            </w:hyperlink>
          </w:p>
        </w:tc>
        <w:tc>
          <w:tcPr>
            <w:tcW w:w="1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rFonts w:ascii="Arial" w:cs="Arial" w:eastAsia="Arial" w:hAnsi="Arial"/>
                <w:sz w:val="16"/>
                <w:szCs w:val="16"/>
                <w:color w:val="0000EE"/>
                <w:w w:val="88"/>
              </w:rPr>
            </w:pPr>
            <w:hyperlink w:anchor="page91">
              <w:r>
                <w:rPr>
                  <w:rFonts w:ascii="Arial" w:cs="Arial" w:eastAsia="Arial" w:hAnsi="Arial"/>
                  <w:sz w:val="16"/>
                  <w:szCs w:val="16"/>
                  <w:color w:val="0000EE"/>
                  <w:w w:val="88"/>
                </w:rPr>
                <w:t>A-6</w:t>
              </w:r>
            </w:hyperlink>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29"/>
        </w:trPr>
        <w:tc>
          <w:tcPr>
            <w:tcW w:w="660" w:type="dxa"/>
            <w:vAlign w:val="bottom"/>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0" w:type="dxa"/>
            <w:vAlign w:val="bottom"/>
            <w:tcBorders>
              <w:top w:val="single" w:sz="8" w:color="0000EE"/>
            </w:tcBorders>
            <w:gridSpan w:val="3"/>
          </w:tcPr>
          <w:p>
            <w:pPr>
              <w:spacing w:after="0"/>
              <w:rPr>
                <w:rFonts w:ascii="Arial" w:cs="Arial" w:eastAsia="Arial" w:hAnsi="Arial"/>
                <w:sz w:val="16"/>
                <w:szCs w:val="16"/>
                <w:color w:val="0000EE"/>
                <w:w w:val="96"/>
              </w:rPr>
            </w:pPr>
            <w:hyperlink w:anchor="page91">
              <w:r>
                <w:rPr>
                  <w:rFonts w:ascii="Arial" w:cs="Arial" w:eastAsia="Arial" w:hAnsi="Arial"/>
                  <w:sz w:val="16"/>
                  <w:szCs w:val="16"/>
                  <w:color w:val="0000EE"/>
                  <w:w w:val="96"/>
                </w:rPr>
                <w:t>(c)</w:t>
              </w:r>
            </w:hyperlink>
          </w:p>
        </w:tc>
        <w:tc>
          <w:tcPr>
            <w:tcW w:w="180" w:type="dxa"/>
            <w:vAlign w:val="bottom"/>
            <w:tcBorders>
              <w:top w:val="single" w:sz="8" w:color="CCEEFF"/>
            </w:tcBorders>
            <w:gridSpan w:val="3"/>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860" w:type="dxa"/>
            <w:vAlign w:val="bottom"/>
            <w:tcBorders>
              <w:top w:val="single" w:sz="8" w:color="0000EE"/>
            </w:tcBorders>
            <w:gridSpan w:val="20"/>
          </w:tcPr>
          <w:p>
            <w:pPr>
              <w:spacing w:after="0"/>
              <w:rPr>
                <w:rFonts w:ascii="Arial" w:cs="Arial" w:eastAsia="Arial" w:hAnsi="Arial"/>
                <w:sz w:val="16"/>
                <w:szCs w:val="16"/>
                <w:color w:val="0000EE"/>
              </w:rPr>
            </w:pPr>
            <w:hyperlink w:anchor="page91">
              <w:r>
                <w:rPr>
                  <w:rFonts w:ascii="Arial" w:cs="Arial" w:eastAsia="Arial" w:hAnsi="Arial"/>
                  <w:sz w:val="16"/>
                  <w:szCs w:val="16"/>
                  <w:color w:val="0000EE"/>
                </w:rPr>
                <w:t>Attribution Rules</w:t>
              </w:r>
            </w:hyperlink>
          </w:p>
        </w:tc>
        <w:tc>
          <w:tcPr>
            <w:tcW w:w="4580" w:type="dxa"/>
            <w:vAlign w:val="bottom"/>
            <w:tcBorders>
              <w:top w:val="single" w:sz="8" w:color="CCEEFF"/>
            </w:tcBorders>
            <w:gridSpan w:val="11"/>
          </w:tcPr>
          <w:p>
            <w:pPr>
              <w:spacing w:after="0"/>
              <w:rPr>
                <w:sz w:val="19"/>
                <w:szCs w:val="19"/>
                <w:color w:val="auto"/>
              </w:rPr>
            </w:pPr>
          </w:p>
        </w:tc>
        <w:tc>
          <w:tcPr>
            <w:tcW w:w="19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60" w:type="dxa"/>
            <w:vAlign w:val="bottom"/>
            <w:tcBorders>
              <w:top w:val="single" w:sz="8" w:color="0000EE"/>
            </w:tcBorders>
            <w:gridSpan w:val="2"/>
          </w:tcPr>
          <w:p>
            <w:pPr>
              <w:spacing w:after="0"/>
              <w:rPr>
                <w:rFonts w:ascii="Arial" w:cs="Arial" w:eastAsia="Arial" w:hAnsi="Arial"/>
                <w:sz w:val="16"/>
                <w:szCs w:val="16"/>
                <w:color w:val="0000EE"/>
                <w:w w:val="96"/>
              </w:rPr>
            </w:pPr>
            <w:hyperlink w:anchor="page91">
              <w:r>
                <w:rPr>
                  <w:rFonts w:ascii="Arial" w:cs="Arial" w:eastAsia="Arial" w:hAnsi="Arial"/>
                  <w:sz w:val="16"/>
                  <w:szCs w:val="16"/>
                  <w:color w:val="0000EE"/>
                  <w:w w:val="96"/>
                </w:rPr>
                <w:t>A-6</w:t>
              </w:r>
            </w:hyperlink>
          </w:p>
        </w:tc>
        <w:tc>
          <w:tcPr>
            <w:tcW w:w="66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30"/>
        </w:trPr>
        <w:tc>
          <w:tcPr>
            <w:tcW w:w="66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gridSpan w:val="3"/>
            <w:shd w:val="clear" w:color="auto" w:fill="CCEEFF"/>
          </w:tcPr>
          <w:p>
            <w:pPr>
              <w:spacing w:after="0"/>
              <w:rPr>
                <w:rFonts w:ascii="Arial" w:cs="Arial" w:eastAsia="Arial" w:hAnsi="Arial"/>
                <w:sz w:val="16"/>
                <w:szCs w:val="16"/>
                <w:color w:val="0000EE"/>
                <w:w w:val="91"/>
              </w:rPr>
            </w:pPr>
            <w:hyperlink w:anchor="page91">
              <w:r>
                <w:rPr>
                  <w:rFonts w:ascii="Arial" w:cs="Arial" w:eastAsia="Arial" w:hAnsi="Arial"/>
                  <w:sz w:val="16"/>
                  <w:szCs w:val="16"/>
                  <w:color w:val="0000EE"/>
                  <w:w w:val="91"/>
                </w:rPr>
                <w:t>(d)</w:t>
              </w:r>
            </w:hyperlink>
          </w:p>
        </w:tc>
        <w:tc>
          <w:tcPr>
            <w:tcW w:w="180" w:type="dxa"/>
            <w:vAlign w:val="bottom"/>
            <w:gridSpan w:val="3"/>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40" w:type="dxa"/>
            <w:vAlign w:val="bottom"/>
            <w:gridSpan w:val="31"/>
            <w:shd w:val="clear" w:color="auto" w:fill="CCEEFF"/>
          </w:tcPr>
          <w:p>
            <w:pPr>
              <w:spacing w:after="0"/>
              <w:rPr>
                <w:rFonts w:ascii="Arial" w:cs="Arial" w:eastAsia="Arial" w:hAnsi="Arial"/>
                <w:sz w:val="16"/>
                <w:szCs w:val="16"/>
                <w:color w:val="0000EE"/>
              </w:rPr>
            </w:pPr>
            <w:hyperlink w:anchor="page91">
              <w:r>
                <w:rPr>
                  <w:rFonts w:ascii="Arial" w:cs="Arial" w:eastAsia="Arial" w:hAnsi="Arial"/>
                  <w:sz w:val="16"/>
                  <w:szCs w:val="16"/>
                  <w:color w:val="0000EE"/>
                </w:rPr>
                <w:t>Outstanding Stock</w:t>
              </w:r>
            </w:hyperlink>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rFonts w:ascii="Arial" w:cs="Arial" w:eastAsia="Arial" w:hAnsi="Arial"/>
                <w:sz w:val="16"/>
                <w:szCs w:val="16"/>
                <w:color w:val="0000EE"/>
                <w:w w:val="88"/>
              </w:rPr>
            </w:pPr>
            <w:hyperlink w:anchor="page91">
              <w:r>
                <w:rPr>
                  <w:rFonts w:ascii="Arial" w:cs="Arial" w:eastAsia="Arial" w:hAnsi="Arial"/>
                  <w:sz w:val="16"/>
                  <w:szCs w:val="16"/>
                  <w:color w:val="0000EE"/>
                  <w:w w:val="88"/>
                </w:rPr>
                <w:t>A-6</w:t>
              </w:r>
            </w:hyperlink>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30"/>
        </w:trPr>
        <w:tc>
          <w:tcPr>
            <w:tcW w:w="660" w:type="dxa"/>
            <w:vAlign w:val="bottom"/>
          </w:tcPr>
          <w:p>
            <w:pPr>
              <w:spacing w:after="0"/>
              <w:rPr>
                <w:sz w:val="19"/>
                <w:szCs w:val="19"/>
                <w:color w:val="auto"/>
              </w:rPr>
            </w:pPr>
          </w:p>
        </w:tc>
        <w:tc>
          <w:tcPr>
            <w:tcW w:w="7040" w:type="dxa"/>
            <w:vAlign w:val="bottom"/>
            <w:gridSpan w:val="39"/>
          </w:tcPr>
          <w:p>
            <w:pPr>
              <w:spacing w:after="0"/>
              <w:rPr>
                <w:rFonts w:ascii="Arial" w:cs="Arial" w:eastAsia="Arial" w:hAnsi="Arial"/>
                <w:sz w:val="16"/>
                <w:szCs w:val="16"/>
                <w:b w:val="1"/>
                <w:bCs w:val="1"/>
                <w:color w:val="0000EE"/>
              </w:rPr>
            </w:pPr>
            <w:hyperlink w:anchor="page91">
              <w:r>
                <w:rPr>
                  <w:rFonts w:ascii="Arial" w:cs="Arial" w:eastAsia="Arial" w:hAnsi="Arial"/>
                  <w:sz w:val="16"/>
                  <w:szCs w:val="16"/>
                  <w:b w:val="1"/>
                  <w:bCs w:val="1"/>
                  <w:color w:val="0000EE"/>
                </w:rPr>
                <w:t>SECTION 5.  STOCK SUBJECT TO PLAN; DIRECTOR COMPENSATION LIMIT.</w:t>
              </w:r>
            </w:hyperlink>
          </w:p>
        </w:tc>
        <w:tc>
          <w:tcPr>
            <w:tcW w:w="1960" w:type="dxa"/>
            <w:vAlign w:val="bottom"/>
          </w:tcPr>
          <w:p>
            <w:pPr>
              <w:spacing w:after="0"/>
              <w:rPr>
                <w:sz w:val="19"/>
                <w:szCs w:val="19"/>
                <w:color w:val="auto"/>
              </w:rPr>
            </w:pPr>
          </w:p>
        </w:tc>
        <w:tc>
          <w:tcPr>
            <w:tcW w:w="1060" w:type="dxa"/>
            <w:vAlign w:val="bottom"/>
            <w:gridSpan w:val="5"/>
          </w:tcPr>
          <w:p>
            <w:pPr>
              <w:ind w:left="120"/>
              <w:spacing w:after="0"/>
              <w:rPr>
                <w:rFonts w:ascii="Arial" w:cs="Arial" w:eastAsia="Arial" w:hAnsi="Arial"/>
                <w:sz w:val="16"/>
                <w:szCs w:val="16"/>
                <w:b w:val="1"/>
                <w:bCs w:val="1"/>
                <w:color w:val="0000EE"/>
              </w:rPr>
            </w:pPr>
            <w:hyperlink w:anchor="page91">
              <w:r>
                <w:rPr>
                  <w:rFonts w:ascii="Arial" w:cs="Arial" w:eastAsia="Arial" w:hAnsi="Arial"/>
                  <w:sz w:val="16"/>
                  <w:szCs w:val="16"/>
                  <w:b w:val="1"/>
                  <w:bCs w:val="1"/>
                  <w:color w:val="0000EE"/>
                </w:rPr>
                <w:t>A-6</w:t>
              </w:r>
            </w:hyperlink>
          </w:p>
        </w:tc>
      </w:tr>
      <w:tr>
        <w:trPr>
          <w:trHeight w:val="34"/>
        </w:trPr>
        <w:tc>
          <w:tcPr>
            <w:tcW w:w="660" w:type="dxa"/>
            <w:vAlign w:val="bottom"/>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0" w:type="dxa"/>
            <w:vAlign w:val="bottom"/>
            <w:tcBorders>
              <w:top w:val="single" w:sz="8" w:color="0000EE"/>
            </w:tcBorders>
          </w:tcPr>
          <w:p>
            <w:pPr>
              <w:spacing w:after="0"/>
              <w:rPr>
                <w:sz w:val="2"/>
                <w:szCs w:val="2"/>
                <w:color w:val="auto"/>
              </w:rPr>
            </w:pPr>
          </w:p>
        </w:tc>
        <w:tc>
          <w:tcPr>
            <w:tcW w:w="1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29"/>
        </w:trPr>
        <w:tc>
          <w:tcPr>
            <w:tcW w:w="66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gridSpan w:val="3"/>
            <w:shd w:val="clear" w:color="auto" w:fill="CCEEFF"/>
          </w:tcPr>
          <w:p>
            <w:pPr>
              <w:spacing w:after="0"/>
              <w:rPr>
                <w:rFonts w:ascii="Arial" w:cs="Arial" w:eastAsia="Arial" w:hAnsi="Arial"/>
                <w:sz w:val="16"/>
                <w:szCs w:val="16"/>
                <w:color w:val="0000EE"/>
                <w:w w:val="91"/>
              </w:rPr>
            </w:pPr>
            <w:hyperlink w:anchor="page91">
              <w:r>
                <w:rPr>
                  <w:rFonts w:ascii="Arial" w:cs="Arial" w:eastAsia="Arial" w:hAnsi="Arial"/>
                  <w:sz w:val="16"/>
                  <w:szCs w:val="16"/>
                  <w:color w:val="0000EE"/>
                  <w:w w:val="91"/>
                </w:rPr>
                <w:t>(a)</w:t>
              </w:r>
            </w:hyperlink>
          </w:p>
        </w:tc>
        <w:tc>
          <w:tcPr>
            <w:tcW w:w="180" w:type="dxa"/>
            <w:vAlign w:val="bottom"/>
            <w:gridSpan w:val="3"/>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40" w:type="dxa"/>
            <w:vAlign w:val="bottom"/>
            <w:gridSpan w:val="31"/>
            <w:shd w:val="clear" w:color="auto" w:fill="CCEEFF"/>
          </w:tcPr>
          <w:p>
            <w:pPr>
              <w:spacing w:after="0"/>
              <w:rPr>
                <w:rFonts w:ascii="Arial" w:cs="Arial" w:eastAsia="Arial" w:hAnsi="Arial"/>
                <w:sz w:val="16"/>
                <w:szCs w:val="16"/>
                <w:color w:val="0000EE"/>
              </w:rPr>
            </w:pPr>
            <w:hyperlink w:anchor="page91">
              <w:r>
                <w:rPr>
                  <w:rFonts w:ascii="Arial" w:cs="Arial" w:eastAsia="Arial" w:hAnsi="Arial"/>
                  <w:sz w:val="16"/>
                  <w:szCs w:val="16"/>
                  <w:color w:val="0000EE"/>
                </w:rPr>
                <w:t>Basic Limitation</w:t>
              </w:r>
            </w:hyperlink>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rFonts w:ascii="Arial" w:cs="Arial" w:eastAsia="Arial" w:hAnsi="Arial"/>
                <w:sz w:val="16"/>
                <w:szCs w:val="16"/>
                <w:color w:val="0000EE"/>
                <w:w w:val="88"/>
              </w:rPr>
            </w:pPr>
            <w:hyperlink w:anchor="page91">
              <w:r>
                <w:rPr>
                  <w:rFonts w:ascii="Arial" w:cs="Arial" w:eastAsia="Arial" w:hAnsi="Arial"/>
                  <w:sz w:val="16"/>
                  <w:szCs w:val="16"/>
                  <w:color w:val="0000EE"/>
                  <w:w w:val="88"/>
                </w:rPr>
                <w:t>A-6</w:t>
              </w:r>
            </w:hyperlink>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29"/>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gridSpan w:val="3"/>
          </w:tcPr>
          <w:p>
            <w:pPr>
              <w:spacing w:after="0"/>
              <w:rPr>
                <w:rFonts w:ascii="Arial" w:cs="Arial" w:eastAsia="Arial" w:hAnsi="Arial"/>
                <w:sz w:val="16"/>
                <w:szCs w:val="16"/>
                <w:color w:val="0000EE"/>
                <w:w w:val="91"/>
              </w:rPr>
            </w:pPr>
            <w:hyperlink w:anchor="page91">
              <w:r>
                <w:rPr>
                  <w:rFonts w:ascii="Arial" w:cs="Arial" w:eastAsia="Arial" w:hAnsi="Arial"/>
                  <w:sz w:val="16"/>
                  <w:szCs w:val="16"/>
                  <w:color w:val="0000EE"/>
                  <w:w w:val="91"/>
                </w:rPr>
                <w:t>(b)</w:t>
              </w:r>
            </w:hyperlink>
          </w:p>
        </w:tc>
        <w:tc>
          <w:tcPr>
            <w:tcW w:w="180" w:type="dxa"/>
            <w:vAlign w:val="bottom"/>
            <w:gridSpan w:val="3"/>
          </w:tcPr>
          <w:p>
            <w:pPr>
              <w:spacing w:after="0"/>
              <w:rPr>
                <w:sz w:val="19"/>
                <w:szCs w:val="19"/>
                <w:color w:val="auto"/>
              </w:rPr>
            </w:pPr>
          </w:p>
        </w:tc>
        <w:tc>
          <w:tcPr>
            <w:tcW w:w="60" w:type="dxa"/>
            <w:vAlign w:val="bottom"/>
          </w:tcPr>
          <w:p>
            <w:pPr>
              <w:spacing w:after="0"/>
              <w:rPr>
                <w:sz w:val="19"/>
                <w:szCs w:val="19"/>
                <w:color w:val="auto"/>
              </w:rPr>
            </w:pPr>
          </w:p>
        </w:tc>
        <w:tc>
          <w:tcPr>
            <w:tcW w:w="6440" w:type="dxa"/>
            <w:vAlign w:val="bottom"/>
            <w:gridSpan w:val="31"/>
          </w:tcPr>
          <w:p>
            <w:pPr>
              <w:spacing w:after="0"/>
              <w:rPr>
                <w:rFonts w:ascii="Arial" w:cs="Arial" w:eastAsia="Arial" w:hAnsi="Arial"/>
                <w:sz w:val="16"/>
                <w:szCs w:val="16"/>
                <w:color w:val="0000EE"/>
              </w:rPr>
            </w:pPr>
            <w:hyperlink w:anchor="page91">
              <w:r>
                <w:rPr>
                  <w:rFonts w:ascii="Arial" w:cs="Arial" w:eastAsia="Arial" w:hAnsi="Arial"/>
                  <w:sz w:val="16"/>
                  <w:szCs w:val="16"/>
                  <w:color w:val="0000EE"/>
                </w:rPr>
                <w:t>Additional Shares</w:t>
              </w:r>
            </w:hyperlink>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3"/>
          </w:tcPr>
          <w:p>
            <w:pPr>
              <w:spacing w:after="0"/>
              <w:rPr>
                <w:rFonts w:ascii="Arial" w:cs="Arial" w:eastAsia="Arial" w:hAnsi="Arial"/>
                <w:sz w:val="16"/>
                <w:szCs w:val="16"/>
                <w:color w:val="0000EE"/>
              </w:rPr>
            </w:pPr>
            <w:hyperlink w:anchor="page91">
              <w:r>
                <w:rPr>
                  <w:rFonts w:ascii="Arial" w:cs="Arial" w:eastAsia="Arial" w:hAnsi="Arial"/>
                  <w:sz w:val="16"/>
                  <w:szCs w:val="16"/>
                  <w:color w:val="0000EE"/>
                </w:rPr>
                <w:t>A-6</w:t>
              </w:r>
            </w:hyperlink>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29"/>
        </w:trPr>
        <w:tc>
          <w:tcPr>
            <w:tcW w:w="66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gridSpan w:val="6"/>
            <w:shd w:val="clear" w:color="auto" w:fill="CCEEFF"/>
          </w:tcPr>
          <w:p>
            <w:pPr>
              <w:spacing w:after="0"/>
              <w:rPr>
                <w:rFonts w:ascii="Arial" w:cs="Arial" w:eastAsia="Arial" w:hAnsi="Arial"/>
                <w:sz w:val="16"/>
                <w:szCs w:val="16"/>
                <w:color w:val="0000EE"/>
              </w:rPr>
            </w:pPr>
            <w:hyperlink w:anchor="page91">
              <w:r>
                <w:rPr>
                  <w:rFonts w:ascii="Arial" w:cs="Arial" w:eastAsia="Arial" w:hAnsi="Arial"/>
                  <w:sz w:val="16"/>
                  <w:szCs w:val="16"/>
                  <w:color w:val="0000EE"/>
                </w:rPr>
                <w:t>(c)</w:t>
              </w:r>
            </w:hyperlink>
          </w:p>
        </w:tc>
        <w:tc>
          <w:tcPr>
            <w:tcW w:w="60" w:type="dxa"/>
            <w:vAlign w:val="bottom"/>
            <w:shd w:val="clear" w:color="auto" w:fill="CCEEFF"/>
          </w:tcPr>
          <w:p>
            <w:pPr>
              <w:spacing w:after="0"/>
              <w:rPr>
                <w:sz w:val="19"/>
                <w:szCs w:val="19"/>
                <w:color w:val="auto"/>
              </w:rPr>
            </w:pPr>
          </w:p>
        </w:tc>
        <w:tc>
          <w:tcPr>
            <w:tcW w:w="6440" w:type="dxa"/>
            <w:vAlign w:val="bottom"/>
            <w:gridSpan w:val="31"/>
            <w:shd w:val="clear" w:color="auto" w:fill="CCEEFF"/>
          </w:tcPr>
          <w:p>
            <w:pPr>
              <w:spacing w:after="0"/>
              <w:rPr>
                <w:rFonts w:ascii="Arial" w:cs="Arial" w:eastAsia="Arial" w:hAnsi="Arial"/>
                <w:sz w:val="16"/>
                <w:szCs w:val="16"/>
                <w:color w:val="0000EE"/>
              </w:rPr>
            </w:pPr>
            <w:hyperlink w:anchor="page91">
              <w:r>
                <w:rPr>
                  <w:rFonts w:ascii="Arial" w:cs="Arial" w:eastAsia="Arial" w:hAnsi="Arial"/>
                  <w:sz w:val="16"/>
                  <w:szCs w:val="16"/>
                  <w:color w:val="0000EE"/>
                </w:rPr>
                <w:t>Substitution and Assumption of Awards</w:t>
              </w:r>
            </w:hyperlink>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rFonts w:ascii="Arial" w:cs="Arial" w:eastAsia="Arial" w:hAnsi="Arial"/>
                <w:sz w:val="16"/>
                <w:szCs w:val="16"/>
                <w:color w:val="0000EE"/>
                <w:w w:val="88"/>
              </w:rPr>
            </w:pPr>
            <w:hyperlink w:anchor="page91">
              <w:r>
                <w:rPr>
                  <w:rFonts w:ascii="Arial" w:cs="Arial" w:eastAsia="Arial" w:hAnsi="Arial"/>
                  <w:sz w:val="16"/>
                  <w:szCs w:val="16"/>
                  <w:color w:val="0000EE"/>
                  <w:w w:val="88"/>
                </w:rPr>
                <w:t>A-6</w:t>
              </w:r>
            </w:hyperlink>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29"/>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gridSpan w:val="6"/>
          </w:tcPr>
          <w:p>
            <w:pPr>
              <w:spacing w:after="0"/>
              <w:rPr>
                <w:rFonts w:ascii="Arial" w:cs="Arial" w:eastAsia="Arial" w:hAnsi="Arial"/>
                <w:sz w:val="16"/>
                <w:szCs w:val="16"/>
                <w:color w:val="0000EE"/>
              </w:rPr>
            </w:pPr>
            <w:hyperlink w:anchor="page91">
              <w:r>
                <w:rPr>
                  <w:rFonts w:ascii="Arial" w:cs="Arial" w:eastAsia="Arial" w:hAnsi="Arial"/>
                  <w:sz w:val="16"/>
                  <w:szCs w:val="16"/>
                  <w:color w:val="0000EE"/>
                </w:rPr>
                <w:t>(d)</w:t>
              </w:r>
            </w:hyperlink>
          </w:p>
        </w:tc>
        <w:tc>
          <w:tcPr>
            <w:tcW w:w="60" w:type="dxa"/>
            <w:vAlign w:val="bottom"/>
          </w:tcPr>
          <w:p>
            <w:pPr>
              <w:spacing w:after="0"/>
              <w:rPr>
                <w:sz w:val="19"/>
                <w:szCs w:val="19"/>
                <w:color w:val="auto"/>
              </w:rPr>
            </w:pPr>
          </w:p>
        </w:tc>
        <w:tc>
          <w:tcPr>
            <w:tcW w:w="6440" w:type="dxa"/>
            <w:vAlign w:val="bottom"/>
            <w:gridSpan w:val="31"/>
          </w:tcPr>
          <w:p>
            <w:pPr>
              <w:spacing w:after="0"/>
              <w:rPr>
                <w:rFonts w:ascii="Arial" w:cs="Arial" w:eastAsia="Arial" w:hAnsi="Arial"/>
                <w:sz w:val="16"/>
                <w:szCs w:val="16"/>
                <w:color w:val="0000EE"/>
              </w:rPr>
            </w:pPr>
            <w:hyperlink w:anchor="page91">
              <w:r>
                <w:rPr>
                  <w:rFonts w:ascii="Arial" w:cs="Arial" w:eastAsia="Arial" w:hAnsi="Arial"/>
                  <w:sz w:val="16"/>
                  <w:szCs w:val="16"/>
                  <w:color w:val="0000EE"/>
                </w:rPr>
                <w:t>Outside Director Compensation Limit</w:t>
              </w:r>
            </w:hyperlink>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3"/>
          </w:tcPr>
          <w:p>
            <w:pPr>
              <w:spacing w:after="0"/>
              <w:rPr>
                <w:rFonts w:ascii="Arial" w:cs="Arial" w:eastAsia="Arial" w:hAnsi="Arial"/>
                <w:sz w:val="16"/>
                <w:szCs w:val="16"/>
                <w:color w:val="0000EE"/>
              </w:rPr>
            </w:pPr>
            <w:hyperlink w:anchor="page91">
              <w:r>
                <w:rPr>
                  <w:rFonts w:ascii="Arial" w:cs="Arial" w:eastAsia="Arial" w:hAnsi="Arial"/>
                  <w:sz w:val="16"/>
                  <w:szCs w:val="16"/>
                  <w:color w:val="0000EE"/>
                </w:rPr>
                <w:t>A-6</w:t>
              </w:r>
            </w:hyperlink>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30"/>
        </w:trPr>
        <w:tc>
          <w:tcPr>
            <w:tcW w:w="660" w:type="dxa"/>
            <w:vAlign w:val="bottom"/>
          </w:tcPr>
          <w:p>
            <w:pPr>
              <w:spacing w:after="0"/>
              <w:rPr>
                <w:sz w:val="19"/>
                <w:szCs w:val="19"/>
                <w:color w:val="auto"/>
              </w:rPr>
            </w:pPr>
          </w:p>
        </w:tc>
        <w:tc>
          <w:tcPr>
            <w:tcW w:w="7040" w:type="dxa"/>
            <w:vAlign w:val="bottom"/>
            <w:gridSpan w:val="39"/>
            <w:shd w:val="clear" w:color="auto" w:fill="CCEEFF"/>
          </w:tcPr>
          <w:p>
            <w:pPr>
              <w:spacing w:after="0"/>
              <w:rPr>
                <w:rFonts w:ascii="Arial" w:cs="Arial" w:eastAsia="Arial" w:hAnsi="Arial"/>
                <w:sz w:val="16"/>
                <w:szCs w:val="16"/>
                <w:b w:val="1"/>
                <w:bCs w:val="1"/>
                <w:color w:val="0000EE"/>
              </w:rPr>
            </w:pPr>
            <w:hyperlink w:anchor="page92">
              <w:r>
                <w:rPr>
                  <w:rFonts w:ascii="Arial" w:cs="Arial" w:eastAsia="Arial" w:hAnsi="Arial"/>
                  <w:sz w:val="16"/>
                  <w:szCs w:val="16"/>
                  <w:b w:val="1"/>
                  <w:bCs w:val="1"/>
                  <w:color w:val="0000EE"/>
                </w:rPr>
                <w:t>SECTION 6.  RESTRICTED SHARES.</w:t>
              </w:r>
            </w:hyperlink>
          </w:p>
        </w:tc>
        <w:tc>
          <w:tcPr>
            <w:tcW w:w="1960" w:type="dxa"/>
            <w:vAlign w:val="bottom"/>
            <w:shd w:val="clear" w:color="auto" w:fill="CCEEFF"/>
          </w:tcPr>
          <w:p>
            <w:pPr>
              <w:spacing w:after="0"/>
              <w:rPr>
                <w:sz w:val="19"/>
                <w:szCs w:val="19"/>
                <w:color w:val="auto"/>
              </w:rPr>
            </w:pPr>
          </w:p>
        </w:tc>
        <w:tc>
          <w:tcPr>
            <w:tcW w:w="380" w:type="dxa"/>
            <w:vAlign w:val="bottom"/>
            <w:gridSpan w:val="3"/>
            <w:shd w:val="clear" w:color="auto" w:fill="CCEEFF"/>
          </w:tcPr>
          <w:p>
            <w:pPr>
              <w:ind w:left="120"/>
              <w:spacing w:after="0"/>
              <w:rPr>
                <w:rFonts w:ascii="Arial" w:cs="Arial" w:eastAsia="Arial" w:hAnsi="Arial"/>
                <w:sz w:val="16"/>
                <w:szCs w:val="16"/>
                <w:b w:val="1"/>
                <w:bCs w:val="1"/>
                <w:color w:val="0000EE"/>
                <w:w w:val="92"/>
              </w:rPr>
            </w:pPr>
            <w:hyperlink w:anchor="page92">
              <w:r>
                <w:rPr>
                  <w:rFonts w:ascii="Arial" w:cs="Arial" w:eastAsia="Arial" w:hAnsi="Arial"/>
                  <w:sz w:val="16"/>
                  <w:szCs w:val="16"/>
                  <w:b w:val="1"/>
                  <w:bCs w:val="1"/>
                  <w:color w:val="0000EE"/>
                  <w:w w:val="92"/>
                </w:rPr>
                <w:t>A-7</w:t>
              </w:r>
            </w:hyperlink>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30"/>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gridSpan w:val="6"/>
          </w:tcPr>
          <w:p>
            <w:pPr>
              <w:spacing w:after="0"/>
              <w:rPr>
                <w:rFonts w:ascii="Arial" w:cs="Arial" w:eastAsia="Arial" w:hAnsi="Arial"/>
                <w:sz w:val="16"/>
                <w:szCs w:val="16"/>
                <w:color w:val="0000EE"/>
              </w:rPr>
            </w:pPr>
            <w:hyperlink w:anchor="page92">
              <w:r>
                <w:rPr>
                  <w:rFonts w:ascii="Arial" w:cs="Arial" w:eastAsia="Arial" w:hAnsi="Arial"/>
                  <w:sz w:val="16"/>
                  <w:szCs w:val="16"/>
                  <w:color w:val="0000EE"/>
                </w:rPr>
                <w:t>(a)</w:t>
              </w:r>
            </w:hyperlink>
          </w:p>
        </w:tc>
        <w:tc>
          <w:tcPr>
            <w:tcW w:w="60" w:type="dxa"/>
            <w:vAlign w:val="bottom"/>
          </w:tcPr>
          <w:p>
            <w:pPr>
              <w:spacing w:after="0"/>
              <w:rPr>
                <w:sz w:val="19"/>
                <w:szCs w:val="19"/>
                <w:color w:val="auto"/>
              </w:rPr>
            </w:pPr>
          </w:p>
        </w:tc>
        <w:tc>
          <w:tcPr>
            <w:tcW w:w="6440" w:type="dxa"/>
            <w:vAlign w:val="bottom"/>
            <w:gridSpan w:val="31"/>
          </w:tcPr>
          <w:p>
            <w:pPr>
              <w:spacing w:after="0"/>
              <w:rPr>
                <w:rFonts w:ascii="Arial" w:cs="Arial" w:eastAsia="Arial" w:hAnsi="Arial"/>
                <w:sz w:val="16"/>
                <w:szCs w:val="16"/>
                <w:color w:val="0000EE"/>
              </w:rPr>
            </w:pPr>
            <w:hyperlink w:anchor="page92">
              <w:r>
                <w:rPr>
                  <w:rFonts w:ascii="Arial" w:cs="Arial" w:eastAsia="Arial" w:hAnsi="Arial"/>
                  <w:sz w:val="16"/>
                  <w:szCs w:val="16"/>
                  <w:color w:val="0000EE"/>
                </w:rPr>
                <w:t>Restricted Share Award Agreement</w:t>
              </w:r>
            </w:hyperlink>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3"/>
          </w:tcPr>
          <w:p>
            <w:pPr>
              <w:spacing w:after="0"/>
              <w:rPr>
                <w:rFonts w:ascii="Arial" w:cs="Arial" w:eastAsia="Arial" w:hAnsi="Arial"/>
                <w:sz w:val="16"/>
                <w:szCs w:val="16"/>
                <w:color w:val="0000EE"/>
              </w:rPr>
            </w:pPr>
            <w:hyperlink w:anchor="page92">
              <w:r>
                <w:rPr>
                  <w:rFonts w:ascii="Arial" w:cs="Arial" w:eastAsia="Arial" w:hAnsi="Arial"/>
                  <w:sz w:val="16"/>
                  <w:szCs w:val="16"/>
                  <w:color w:val="0000EE"/>
                </w:rPr>
                <w:t>A-7</w:t>
              </w:r>
            </w:hyperlink>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64"/>
        </w:trPr>
        <w:tc>
          <w:tcPr>
            <w:tcW w:w="660" w:type="dxa"/>
            <w:vAlign w:val="bottom"/>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0" w:type="dxa"/>
            <w:vAlign w:val="bottom"/>
            <w:gridSpan w:val="3"/>
            <w:shd w:val="clear" w:color="auto" w:fill="CCEEFF"/>
          </w:tcPr>
          <w:p>
            <w:pPr>
              <w:spacing w:after="0"/>
              <w:rPr>
                <w:rFonts w:ascii="Arial" w:cs="Arial" w:eastAsia="Arial" w:hAnsi="Arial"/>
                <w:sz w:val="16"/>
                <w:szCs w:val="16"/>
                <w:color w:val="0000EE"/>
                <w:w w:val="91"/>
              </w:rPr>
            </w:pPr>
            <w:hyperlink w:anchor="page92">
              <w:r>
                <w:rPr>
                  <w:rFonts w:ascii="Arial" w:cs="Arial" w:eastAsia="Arial" w:hAnsi="Arial"/>
                  <w:sz w:val="16"/>
                  <w:szCs w:val="16"/>
                  <w:color w:val="0000EE"/>
                  <w:w w:val="91"/>
                </w:rPr>
                <w:t>(b)</w:t>
              </w:r>
            </w:hyperlink>
          </w:p>
        </w:tc>
        <w:tc>
          <w:tcPr>
            <w:tcW w:w="180" w:type="dxa"/>
            <w:vAlign w:val="bottom"/>
            <w:gridSpan w:val="3"/>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440" w:type="dxa"/>
            <w:vAlign w:val="bottom"/>
            <w:gridSpan w:val="31"/>
            <w:shd w:val="clear" w:color="auto" w:fill="CCEEFF"/>
          </w:tcPr>
          <w:p>
            <w:pPr>
              <w:spacing w:after="0"/>
              <w:rPr>
                <w:rFonts w:ascii="Arial" w:cs="Arial" w:eastAsia="Arial" w:hAnsi="Arial"/>
                <w:sz w:val="16"/>
                <w:szCs w:val="16"/>
                <w:color w:val="0000EE"/>
              </w:rPr>
            </w:pPr>
            <w:hyperlink w:anchor="page92">
              <w:r>
                <w:rPr>
                  <w:rFonts w:ascii="Arial" w:cs="Arial" w:eastAsia="Arial" w:hAnsi="Arial"/>
                  <w:sz w:val="16"/>
                  <w:szCs w:val="16"/>
                  <w:color w:val="0000EE"/>
                </w:rPr>
                <w:t>Payment for Awards</w:t>
              </w:r>
            </w:hyperlink>
          </w:p>
        </w:tc>
        <w:tc>
          <w:tcPr>
            <w:tcW w:w="1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rFonts w:ascii="Arial" w:cs="Arial" w:eastAsia="Arial" w:hAnsi="Arial"/>
                <w:sz w:val="16"/>
                <w:szCs w:val="16"/>
                <w:color w:val="0000EE"/>
                <w:w w:val="88"/>
              </w:rPr>
            </w:pPr>
            <w:hyperlink w:anchor="page92">
              <w:r>
                <w:rPr>
                  <w:rFonts w:ascii="Arial" w:cs="Arial" w:eastAsia="Arial" w:hAnsi="Arial"/>
                  <w:sz w:val="16"/>
                  <w:szCs w:val="16"/>
                  <w:color w:val="0000EE"/>
                  <w:w w:val="88"/>
                </w:rPr>
                <w:t>A-7</w:t>
              </w:r>
            </w:hyperlink>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29"/>
        </w:trPr>
        <w:tc>
          <w:tcPr>
            <w:tcW w:w="660" w:type="dxa"/>
            <w:vAlign w:val="bottom"/>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0" w:type="dxa"/>
            <w:vAlign w:val="bottom"/>
            <w:tcBorders>
              <w:top w:val="single" w:sz="8" w:color="0000EE"/>
            </w:tcBorders>
            <w:gridSpan w:val="3"/>
          </w:tcPr>
          <w:p>
            <w:pPr>
              <w:spacing w:after="0"/>
              <w:rPr>
                <w:rFonts w:ascii="Arial" w:cs="Arial" w:eastAsia="Arial" w:hAnsi="Arial"/>
                <w:sz w:val="16"/>
                <w:szCs w:val="16"/>
                <w:color w:val="0000EE"/>
                <w:w w:val="96"/>
              </w:rPr>
            </w:pPr>
            <w:hyperlink w:anchor="page92">
              <w:r>
                <w:rPr>
                  <w:rFonts w:ascii="Arial" w:cs="Arial" w:eastAsia="Arial" w:hAnsi="Arial"/>
                  <w:sz w:val="16"/>
                  <w:szCs w:val="16"/>
                  <w:color w:val="0000EE"/>
                  <w:w w:val="96"/>
                </w:rPr>
                <w:t>(c)</w:t>
              </w:r>
            </w:hyperlink>
          </w:p>
        </w:tc>
        <w:tc>
          <w:tcPr>
            <w:tcW w:w="180" w:type="dxa"/>
            <w:vAlign w:val="bottom"/>
            <w:tcBorders>
              <w:top w:val="single" w:sz="8" w:color="CCEEFF"/>
            </w:tcBorders>
            <w:gridSpan w:val="3"/>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460" w:type="dxa"/>
            <w:vAlign w:val="bottom"/>
            <w:tcBorders>
              <w:top w:val="single" w:sz="8" w:color="0000EE"/>
            </w:tcBorders>
            <w:gridSpan w:val="16"/>
          </w:tcPr>
          <w:p>
            <w:pPr>
              <w:spacing w:after="0"/>
              <w:rPr>
                <w:rFonts w:ascii="Arial" w:cs="Arial" w:eastAsia="Arial" w:hAnsi="Arial"/>
                <w:sz w:val="16"/>
                <w:szCs w:val="16"/>
                <w:color w:val="0000EE"/>
              </w:rPr>
            </w:pPr>
            <w:hyperlink w:anchor="page92">
              <w:r>
                <w:rPr>
                  <w:rFonts w:ascii="Arial" w:cs="Arial" w:eastAsia="Arial" w:hAnsi="Arial"/>
                  <w:sz w:val="16"/>
                  <w:szCs w:val="16"/>
                  <w:color w:val="0000EE"/>
                </w:rPr>
                <w:t>Vesting</w:t>
              </w:r>
            </w:hyperlink>
          </w:p>
        </w:tc>
        <w:tc>
          <w:tcPr>
            <w:tcW w:w="4980" w:type="dxa"/>
            <w:vAlign w:val="bottom"/>
            <w:tcBorders>
              <w:top w:val="single" w:sz="8" w:color="CCEEFF"/>
            </w:tcBorders>
            <w:gridSpan w:val="15"/>
          </w:tcPr>
          <w:p>
            <w:pPr>
              <w:spacing w:after="0"/>
              <w:rPr>
                <w:sz w:val="19"/>
                <w:szCs w:val="19"/>
                <w:color w:val="auto"/>
              </w:rPr>
            </w:pPr>
          </w:p>
        </w:tc>
        <w:tc>
          <w:tcPr>
            <w:tcW w:w="19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60" w:type="dxa"/>
            <w:vAlign w:val="bottom"/>
            <w:tcBorders>
              <w:top w:val="single" w:sz="8" w:color="0000EE"/>
            </w:tcBorders>
            <w:gridSpan w:val="2"/>
          </w:tcPr>
          <w:p>
            <w:pPr>
              <w:spacing w:after="0"/>
              <w:rPr>
                <w:rFonts w:ascii="Arial" w:cs="Arial" w:eastAsia="Arial" w:hAnsi="Arial"/>
                <w:sz w:val="16"/>
                <w:szCs w:val="16"/>
                <w:color w:val="0000EE"/>
                <w:w w:val="96"/>
              </w:rPr>
            </w:pPr>
            <w:hyperlink w:anchor="page92">
              <w:r>
                <w:rPr>
                  <w:rFonts w:ascii="Arial" w:cs="Arial" w:eastAsia="Arial" w:hAnsi="Arial"/>
                  <w:sz w:val="16"/>
                  <w:szCs w:val="16"/>
                  <w:color w:val="0000EE"/>
                  <w:w w:val="96"/>
                </w:rPr>
                <w:t>A-7</w:t>
              </w:r>
            </w:hyperlink>
          </w:p>
        </w:tc>
        <w:tc>
          <w:tcPr>
            <w:tcW w:w="66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63"/>
        </w:trPr>
        <w:tc>
          <w:tcPr>
            <w:tcW w:w="660" w:type="dxa"/>
            <w:vAlign w:val="bottom"/>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0000EE"/>
            </w:tcBorders>
            <w:gridSpan w:val="3"/>
            <w:shd w:val="clear" w:color="auto" w:fill="CCEEFF"/>
          </w:tcPr>
          <w:p>
            <w:pPr>
              <w:spacing w:after="0"/>
              <w:rPr>
                <w:rFonts w:ascii="Arial" w:cs="Arial" w:eastAsia="Arial" w:hAnsi="Arial"/>
                <w:sz w:val="16"/>
                <w:szCs w:val="16"/>
                <w:color w:val="0000EE"/>
                <w:w w:val="91"/>
              </w:rPr>
            </w:pPr>
            <w:hyperlink w:anchor="page92">
              <w:r>
                <w:rPr>
                  <w:rFonts w:ascii="Arial" w:cs="Arial" w:eastAsia="Arial" w:hAnsi="Arial"/>
                  <w:sz w:val="16"/>
                  <w:szCs w:val="16"/>
                  <w:color w:val="0000EE"/>
                  <w:w w:val="91"/>
                </w:rPr>
                <w:t>(d)</w:t>
              </w:r>
            </w:hyperlink>
          </w:p>
        </w:tc>
        <w:tc>
          <w:tcPr>
            <w:tcW w:w="180" w:type="dxa"/>
            <w:vAlign w:val="bottom"/>
            <w:tcBorders>
              <w:bottom w:val="single" w:sz="8" w:color="CCEEFF"/>
            </w:tcBorders>
            <w:gridSpan w:val="3"/>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0000EE"/>
            </w:tcBorders>
            <w:gridSpan w:val="21"/>
            <w:shd w:val="clear" w:color="auto" w:fill="CCEEFF"/>
          </w:tcPr>
          <w:p>
            <w:pPr>
              <w:spacing w:after="0"/>
              <w:rPr>
                <w:rFonts w:ascii="Arial" w:cs="Arial" w:eastAsia="Arial" w:hAnsi="Arial"/>
                <w:sz w:val="16"/>
                <w:szCs w:val="16"/>
                <w:color w:val="0000EE"/>
              </w:rPr>
            </w:pPr>
            <w:hyperlink w:anchor="page92">
              <w:r>
                <w:rPr>
                  <w:rFonts w:ascii="Arial" w:cs="Arial" w:eastAsia="Arial" w:hAnsi="Arial"/>
                  <w:sz w:val="16"/>
                  <w:szCs w:val="16"/>
                  <w:color w:val="0000EE"/>
                </w:rPr>
                <w:t>Voting and Dividend Rights</w:t>
              </w:r>
            </w:hyperlink>
          </w:p>
        </w:tc>
        <w:tc>
          <w:tcPr>
            <w:tcW w:w="4480" w:type="dxa"/>
            <w:vAlign w:val="bottom"/>
            <w:tcBorders>
              <w:bottom w:val="single" w:sz="8" w:color="CCEEFF"/>
            </w:tcBorders>
            <w:gridSpan w:val="10"/>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0000EE"/>
            </w:tcBorders>
            <w:shd w:val="clear" w:color="auto" w:fill="CCEEFF"/>
          </w:tcPr>
          <w:p>
            <w:pPr>
              <w:spacing w:after="0"/>
              <w:rPr>
                <w:rFonts w:ascii="Arial" w:cs="Arial" w:eastAsia="Arial" w:hAnsi="Arial"/>
                <w:sz w:val="16"/>
                <w:szCs w:val="16"/>
                <w:color w:val="0000EE"/>
                <w:w w:val="88"/>
              </w:rPr>
            </w:pPr>
            <w:hyperlink w:anchor="page92">
              <w:r>
                <w:rPr>
                  <w:rFonts w:ascii="Arial" w:cs="Arial" w:eastAsia="Arial" w:hAnsi="Arial"/>
                  <w:sz w:val="16"/>
                  <w:szCs w:val="16"/>
                  <w:color w:val="0000EE"/>
                  <w:w w:val="88"/>
                </w:rPr>
                <w:t>A-7</w:t>
              </w:r>
            </w:hyperlink>
          </w:p>
        </w:tc>
        <w:tc>
          <w:tcPr>
            <w:tcW w:w="20" w:type="dxa"/>
            <w:vAlign w:val="bottom"/>
            <w:tcBorders>
              <w:bottom w:val="single" w:sz="8" w:color="0000EE"/>
            </w:tcBorders>
          </w:tcPr>
          <w:p>
            <w:pPr>
              <w:spacing w:after="0"/>
              <w:rPr>
                <w:sz w:val="22"/>
                <w:szCs w:val="22"/>
                <w:color w:val="auto"/>
              </w:rPr>
            </w:pPr>
          </w:p>
        </w:tc>
        <w:tc>
          <w:tcPr>
            <w:tcW w:w="660" w:type="dxa"/>
            <w:vAlign w:val="bottom"/>
          </w:tcPr>
          <w:p>
            <w:pPr>
              <w:spacing w:after="0"/>
              <w:rPr>
                <w:sz w:val="22"/>
                <w:szCs w:val="22"/>
                <w:color w:val="auto"/>
              </w:rPr>
            </w:pPr>
          </w:p>
        </w:tc>
      </w:tr>
      <w:tr>
        <w:trPr>
          <w:trHeight w:val="230"/>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gridSpan w:val="6"/>
          </w:tcPr>
          <w:p>
            <w:pPr>
              <w:spacing w:after="0"/>
              <w:rPr>
                <w:rFonts w:ascii="Arial" w:cs="Arial" w:eastAsia="Arial" w:hAnsi="Arial"/>
                <w:sz w:val="16"/>
                <w:szCs w:val="16"/>
                <w:color w:val="0000EE"/>
              </w:rPr>
            </w:pPr>
            <w:hyperlink w:anchor="page92">
              <w:r>
                <w:rPr>
                  <w:rFonts w:ascii="Arial" w:cs="Arial" w:eastAsia="Arial" w:hAnsi="Arial"/>
                  <w:sz w:val="16"/>
                  <w:szCs w:val="16"/>
                  <w:color w:val="0000EE"/>
                </w:rPr>
                <w:t>(e)</w:t>
              </w:r>
            </w:hyperlink>
          </w:p>
        </w:tc>
        <w:tc>
          <w:tcPr>
            <w:tcW w:w="60" w:type="dxa"/>
            <w:vAlign w:val="bottom"/>
          </w:tcPr>
          <w:p>
            <w:pPr>
              <w:spacing w:after="0"/>
              <w:rPr>
                <w:sz w:val="19"/>
                <w:szCs w:val="19"/>
                <w:color w:val="auto"/>
              </w:rPr>
            </w:pPr>
          </w:p>
        </w:tc>
        <w:tc>
          <w:tcPr>
            <w:tcW w:w="6440" w:type="dxa"/>
            <w:vAlign w:val="bottom"/>
            <w:gridSpan w:val="31"/>
          </w:tcPr>
          <w:p>
            <w:pPr>
              <w:spacing w:after="0"/>
              <w:rPr>
                <w:rFonts w:ascii="Arial" w:cs="Arial" w:eastAsia="Arial" w:hAnsi="Arial"/>
                <w:sz w:val="16"/>
                <w:szCs w:val="16"/>
                <w:color w:val="0000EE"/>
              </w:rPr>
            </w:pPr>
            <w:hyperlink w:anchor="page92">
              <w:r>
                <w:rPr>
                  <w:rFonts w:ascii="Arial" w:cs="Arial" w:eastAsia="Arial" w:hAnsi="Arial"/>
                  <w:sz w:val="16"/>
                  <w:szCs w:val="16"/>
                  <w:color w:val="0000EE"/>
                </w:rPr>
                <w:t>Restrictions on Transfer of Shares</w:t>
              </w:r>
            </w:hyperlink>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3"/>
          </w:tcPr>
          <w:p>
            <w:pPr>
              <w:spacing w:after="0"/>
              <w:rPr>
                <w:rFonts w:ascii="Arial" w:cs="Arial" w:eastAsia="Arial" w:hAnsi="Arial"/>
                <w:sz w:val="16"/>
                <w:szCs w:val="16"/>
                <w:color w:val="0000EE"/>
              </w:rPr>
            </w:pPr>
            <w:hyperlink w:anchor="page92">
              <w:r>
                <w:rPr>
                  <w:rFonts w:ascii="Arial" w:cs="Arial" w:eastAsia="Arial" w:hAnsi="Arial"/>
                  <w:sz w:val="16"/>
                  <w:szCs w:val="16"/>
                  <w:color w:val="0000EE"/>
                </w:rPr>
                <w:t>A-7</w:t>
              </w:r>
            </w:hyperlink>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63"/>
        </w:trPr>
        <w:tc>
          <w:tcPr>
            <w:tcW w:w="660" w:type="dxa"/>
            <w:vAlign w:val="bottom"/>
          </w:tcPr>
          <w:p>
            <w:pPr>
              <w:spacing w:after="0"/>
              <w:rPr>
                <w:sz w:val="22"/>
                <w:szCs w:val="22"/>
                <w:color w:val="auto"/>
              </w:rPr>
            </w:pPr>
          </w:p>
        </w:tc>
        <w:tc>
          <w:tcPr>
            <w:tcW w:w="7040" w:type="dxa"/>
            <w:vAlign w:val="bottom"/>
            <w:gridSpan w:val="39"/>
            <w:shd w:val="clear" w:color="auto" w:fill="CCEEFF"/>
          </w:tcPr>
          <w:p>
            <w:pPr>
              <w:spacing w:after="0"/>
              <w:rPr>
                <w:rFonts w:ascii="Arial" w:cs="Arial" w:eastAsia="Arial" w:hAnsi="Arial"/>
                <w:sz w:val="16"/>
                <w:szCs w:val="16"/>
                <w:b w:val="1"/>
                <w:bCs w:val="1"/>
                <w:color w:val="0000EE"/>
              </w:rPr>
            </w:pPr>
            <w:hyperlink w:anchor="page92">
              <w:r>
                <w:rPr>
                  <w:rFonts w:ascii="Arial" w:cs="Arial" w:eastAsia="Arial" w:hAnsi="Arial"/>
                  <w:sz w:val="16"/>
                  <w:szCs w:val="16"/>
                  <w:b w:val="1"/>
                  <w:bCs w:val="1"/>
                  <w:color w:val="0000EE"/>
                </w:rPr>
                <w:t>SECTION 7.  TERMS AND CONDITIONS OF OPTIONS.</w:t>
              </w:r>
            </w:hyperlink>
          </w:p>
        </w:tc>
        <w:tc>
          <w:tcPr>
            <w:tcW w:w="1960" w:type="dxa"/>
            <w:vAlign w:val="bottom"/>
            <w:shd w:val="clear" w:color="auto" w:fill="CCEEFF"/>
          </w:tcPr>
          <w:p>
            <w:pPr>
              <w:spacing w:after="0"/>
              <w:rPr>
                <w:sz w:val="22"/>
                <w:szCs w:val="22"/>
                <w:color w:val="auto"/>
              </w:rPr>
            </w:pPr>
          </w:p>
        </w:tc>
        <w:tc>
          <w:tcPr>
            <w:tcW w:w="380" w:type="dxa"/>
            <w:vAlign w:val="bottom"/>
            <w:gridSpan w:val="3"/>
            <w:shd w:val="clear" w:color="auto" w:fill="CCEEFF"/>
          </w:tcPr>
          <w:p>
            <w:pPr>
              <w:ind w:left="120"/>
              <w:spacing w:after="0"/>
              <w:rPr>
                <w:rFonts w:ascii="Arial" w:cs="Arial" w:eastAsia="Arial" w:hAnsi="Arial"/>
                <w:sz w:val="16"/>
                <w:szCs w:val="16"/>
                <w:b w:val="1"/>
                <w:bCs w:val="1"/>
                <w:color w:val="0000EE"/>
                <w:w w:val="92"/>
              </w:rPr>
            </w:pPr>
            <w:hyperlink w:anchor="page92">
              <w:r>
                <w:rPr>
                  <w:rFonts w:ascii="Arial" w:cs="Arial" w:eastAsia="Arial" w:hAnsi="Arial"/>
                  <w:sz w:val="16"/>
                  <w:szCs w:val="16"/>
                  <w:b w:val="1"/>
                  <w:bCs w:val="1"/>
                  <w:color w:val="0000EE"/>
                  <w:w w:val="92"/>
                </w:rPr>
                <w:t>A-7</w:t>
              </w:r>
            </w:hyperlink>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30"/>
        </w:trPr>
        <w:tc>
          <w:tcPr>
            <w:tcW w:w="660" w:type="dxa"/>
            <w:vAlign w:val="bottom"/>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gridSpan w:val="6"/>
          </w:tcPr>
          <w:p>
            <w:pPr>
              <w:spacing w:after="0"/>
              <w:rPr>
                <w:rFonts w:ascii="Arial" w:cs="Arial" w:eastAsia="Arial" w:hAnsi="Arial"/>
                <w:sz w:val="16"/>
                <w:szCs w:val="16"/>
                <w:color w:val="0000EE"/>
              </w:rPr>
            </w:pPr>
            <w:hyperlink w:anchor="page92">
              <w:r>
                <w:rPr>
                  <w:rFonts w:ascii="Arial" w:cs="Arial" w:eastAsia="Arial" w:hAnsi="Arial"/>
                  <w:sz w:val="16"/>
                  <w:szCs w:val="16"/>
                  <w:color w:val="0000EE"/>
                </w:rPr>
                <w:t>(a)</w:t>
              </w:r>
            </w:hyperlink>
          </w:p>
        </w:tc>
        <w:tc>
          <w:tcPr>
            <w:tcW w:w="60" w:type="dxa"/>
            <w:vAlign w:val="bottom"/>
            <w:tcBorders>
              <w:top w:val="single" w:sz="8" w:color="0000EE"/>
            </w:tcBorders>
          </w:tcPr>
          <w:p>
            <w:pPr>
              <w:spacing w:after="0"/>
              <w:rPr>
                <w:sz w:val="19"/>
                <w:szCs w:val="19"/>
                <w:color w:val="auto"/>
              </w:rPr>
            </w:pPr>
          </w:p>
        </w:tc>
        <w:tc>
          <w:tcPr>
            <w:tcW w:w="3540" w:type="dxa"/>
            <w:vAlign w:val="bottom"/>
            <w:tcBorders>
              <w:top w:val="single" w:sz="8" w:color="0000EE"/>
            </w:tcBorders>
            <w:gridSpan w:val="29"/>
          </w:tcPr>
          <w:p>
            <w:pPr>
              <w:spacing w:after="0"/>
              <w:rPr>
                <w:rFonts w:ascii="Arial" w:cs="Arial" w:eastAsia="Arial" w:hAnsi="Arial"/>
                <w:sz w:val="16"/>
                <w:szCs w:val="16"/>
                <w:color w:val="0000EE"/>
              </w:rPr>
            </w:pPr>
            <w:hyperlink w:anchor="page92">
              <w:r>
                <w:rPr>
                  <w:rFonts w:ascii="Arial" w:cs="Arial" w:eastAsia="Arial" w:hAnsi="Arial"/>
                  <w:sz w:val="16"/>
                  <w:szCs w:val="16"/>
                  <w:color w:val="0000EE"/>
                </w:rPr>
                <w:t>Option Award Agreement</w:t>
              </w:r>
            </w:hyperlink>
          </w:p>
        </w:tc>
        <w:tc>
          <w:tcPr>
            <w:tcW w:w="2900" w:type="dxa"/>
            <w:vAlign w:val="bottom"/>
            <w:tcBorders>
              <w:top w:val="single" w:sz="8" w:color="CCEEFF"/>
            </w:tcBorders>
            <w:gridSpan w:val="2"/>
          </w:tcPr>
          <w:p>
            <w:pPr>
              <w:spacing w:after="0"/>
              <w:rPr>
                <w:sz w:val="19"/>
                <w:szCs w:val="19"/>
                <w:color w:val="auto"/>
              </w:rPr>
            </w:pPr>
          </w:p>
        </w:tc>
        <w:tc>
          <w:tcPr>
            <w:tcW w:w="19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gridSpan w:val="2"/>
          </w:tcPr>
          <w:p>
            <w:pPr>
              <w:spacing w:after="0"/>
              <w:rPr>
                <w:rFonts w:ascii="Arial" w:cs="Arial" w:eastAsia="Arial" w:hAnsi="Arial"/>
                <w:sz w:val="16"/>
                <w:szCs w:val="16"/>
                <w:color w:val="0000EE"/>
                <w:w w:val="96"/>
              </w:rPr>
            </w:pPr>
            <w:hyperlink w:anchor="page92">
              <w:r>
                <w:rPr>
                  <w:rFonts w:ascii="Arial" w:cs="Arial" w:eastAsia="Arial" w:hAnsi="Arial"/>
                  <w:sz w:val="16"/>
                  <w:szCs w:val="16"/>
                  <w:color w:val="0000EE"/>
                  <w:w w:val="96"/>
                </w:rPr>
                <w:t>A-7</w:t>
              </w:r>
            </w:hyperlink>
          </w:p>
        </w:tc>
        <w:tc>
          <w:tcPr>
            <w:tcW w:w="66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64"/>
        </w:trPr>
        <w:tc>
          <w:tcPr>
            <w:tcW w:w="660" w:type="dxa"/>
            <w:vAlign w:val="bottom"/>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0" w:type="dxa"/>
            <w:vAlign w:val="bottom"/>
            <w:gridSpan w:val="3"/>
            <w:shd w:val="clear" w:color="auto" w:fill="CCEEFF"/>
          </w:tcPr>
          <w:p>
            <w:pPr>
              <w:spacing w:after="0"/>
              <w:rPr>
                <w:rFonts w:ascii="Arial" w:cs="Arial" w:eastAsia="Arial" w:hAnsi="Arial"/>
                <w:sz w:val="16"/>
                <w:szCs w:val="16"/>
                <w:color w:val="0000EE"/>
                <w:w w:val="91"/>
              </w:rPr>
            </w:pPr>
            <w:hyperlink w:anchor="page92">
              <w:r>
                <w:rPr>
                  <w:rFonts w:ascii="Arial" w:cs="Arial" w:eastAsia="Arial" w:hAnsi="Arial"/>
                  <w:sz w:val="16"/>
                  <w:szCs w:val="16"/>
                  <w:color w:val="0000EE"/>
                  <w:w w:val="91"/>
                </w:rPr>
                <w:t>(b)</w:t>
              </w:r>
            </w:hyperlink>
          </w:p>
        </w:tc>
        <w:tc>
          <w:tcPr>
            <w:tcW w:w="180" w:type="dxa"/>
            <w:vAlign w:val="bottom"/>
            <w:gridSpan w:val="3"/>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440" w:type="dxa"/>
            <w:vAlign w:val="bottom"/>
            <w:gridSpan w:val="31"/>
            <w:shd w:val="clear" w:color="auto" w:fill="CCEEFF"/>
          </w:tcPr>
          <w:p>
            <w:pPr>
              <w:spacing w:after="0"/>
              <w:rPr>
                <w:rFonts w:ascii="Arial" w:cs="Arial" w:eastAsia="Arial" w:hAnsi="Arial"/>
                <w:sz w:val="16"/>
                <w:szCs w:val="16"/>
                <w:color w:val="0000EE"/>
              </w:rPr>
            </w:pPr>
            <w:hyperlink w:anchor="page92">
              <w:r>
                <w:rPr>
                  <w:rFonts w:ascii="Arial" w:cs="Arial" w:eastAsia="Arial" w:hAnsi="Arial"/>
                  <w:sz w:val="16"/>
                  <w:szCs w:val="16"/>
                  <w:color w:val="0000EE"/>
                </w:rPr>
                <w:t>Number of Shares</w:t>
              </w:r>
            </w:hyperlink>
          </w:p>
        </w:tc>
        <w:tc>
          <w:tcPr>
            <w:tcW w:w="1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rFonts w:ascii="Arial" w:cs="Arial" w:eastAsia="Arial" w:hAnsi="Arial"/>
                <w:sz w:val="16"/>
                <w:szCs w:val="16"/>
                <w:color w:val="0000EE"/>
                <w:w w:val="88"/>
              </w:rPr>
            </w:pPr>
            <w:hyperlink w:anchor="page92">
              <w:r>
                <w:rPr>
                  <w:rFonts w:ascii="Arial" w:cs="Arial" w:eastAsia="Arial" w:hAnsi="Arial"/>
                  <w:sz w:val="16"/>
                  <w:szCs w:val="16"/>
                  <w:color w:val="0000EE"/>
                  <w:w w:val="88"/>
                </w:rPr>
                <w:t>A-7</w:t>
              </w:r>
            </w:hyperlink>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29"/>
        </w:trPr>
        <w:tc>
          <w:tcPr>
            <w:tcW w:w="660" w:type="dxa"/>
            <w:vAlign w:val="bottom"/>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0" w:type="dxa"/>
            <w:vAlign w:val="bottom"/>
            <w:tcBorders>
              <w:top w:val="single" w:sz="8" w:color="0000EE"/>
            </w:tcBorders>
            <w:gridSpan w:val="3"/>
          </w:tcPr>
          <w:p>
            <w:pPr>
              <w:spacing w:after="0"/>
              <w:rPr>
                <w:rFonts w:ascii="Arial" w:cs="Arial" w:eastAsia="Arial" w:hAnsi="Arial"/>
                <w:sz w:val="16"/>
                <w:szCs w:val="16"/>
                <w:color w:val="0000EE"/>
                <w:w w:val="96"/>
              </w:rPr>
            </w:pPr>
            <w:hyperlink w:anchor="page92">
              <w:r>
                <w:rPr>
                  <w:rFonts w:ascii="Arial" w:cs="Arial" w:eastAsia="Arial" w:hAnsi="Arial"/>
                  <w:sz w:val="16"/>
                  <w:szCs w:val="16"/>
                  <w:color w:val="0000EE"/>
                  <w:w w:val="96"/>
                </w:rPr>
                <w:t>(c)</w:t>
              </w:r>
            </w:hyperlink>
          </w:p>
        </w:tc>
        <w:tc>
          <w:tcPr>
            <w:tcW w:w="180" w:type="dxa"/>
            <w:vAlign w:val="bottom"/>
            <w:tcBorders>
              <w:top w:val="single" w:sz="8" w:color="CCEEFF"/>
            </w:tcBorders>
            <w:gridSpan w:val="3"/>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320" w:type="dxa"/>
            <w:vAlign w:val="bottom"/>
            <w:tcBorders>
              <w:top w:val="single" w:sz="8" w:color="0000EE"/>
            </w:tcBorders>
            <w:gridSpan w:val="10"/>
          </w:tcPr>
          <w:p>
            <w:pPr>
              <w:spacing w:after="0"/>
              <w:rPr>
                <w:rFonts w:ascii="Arial" w:cs="Arial" w:eastAsia="Arial" w:hAnsi="Arial"/>
                <w:sz w:val="16"/>
                <w:szCs w:val="16"/>
                <w:color w:val="0000EE"/>
              </w:rPr>
            </w:pPr>
            <w:hyperlink w:anchor="page92">
              <w:r>
                <w:rPr>
                  <w:rFonts w:ascii="Arial" w:cs="Arial" w:eastAsia="Arial" w:hAnsi="Arial"/>
                  <w:sz w:val="16"/>
                  <w:szCs w:val="16"/>
                  <w:color w:val="0000EE"/>
                </w:rPr>
                <w:t>Exercise Price</w:t>
              </w:r>
            </w:hyperlink>
          </w:p>
        </w:tc>
        <w:tc>
          <w:tcPr>
            <w:tcW w:w="5120" w:type="dxa"/>
            <w:vAlign w:val="bottom"/>
            <w:tcBorders>
              <w:top w:val="single" w:sz="8" w:color="CCEEFF"/>
            </w:tcBorders>
            <w:gridSpan w:val="21"/>
          </w:tcPr>
          <w:p>
            <w:pPr>
              <w:spacing w:after="0"/>
              <w:rPr>
                <w:sz w:val="19"/>
                <w:szCs w:val="19"/>
                <w:color w:val="auto"/>
              </w:rPr>
            </w:pPr>
          </w:p>
        </w:tc>
        <w:tc>
          <w:tcPr>
            <w:tcW w:w="19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60" w:type="dxa"/>
            <w:vAlign w:val="bottom"/>
            <w:tcBorders>
              <w:top w:val="single" w:sz="8" w:color="0000EE"/>
            </w:tcBorders>
            <w:gridSpan w:val="2"/>
          </w:tcPr>
          <w:p>
            <w:pPr>
              <w:spacing w:after="0"/>
              <w:rPr>
                <w:rFonts w:ascii="Arial" w:cs="Arial" w:eastAsia="Arial" w:hAnsi="Arial"/>
                <w:sz w:val="16"/>
                <w:szCs w:val="16"/>
                <w:color w:val="0000EE"/>
                <w:w w:val="96"/>
              </w:rPr>
            </w:pPr>
            <w:hyperlink w:anchor="page92">
              <w:r>
                <w:rPr>
                  <w:rFonts w:ascii="Arial" w:cs="Arial" w:eastAsia="Arial" w:hAnsi="Arial"/>
                  <w:sz w:val="16"/>
                  <w:szCs w:val="16"/>
                  <w:color w:val="0000EE"/>
                  <w:w w:val="96"/>
                </w:rPr>
                <w:t>A-7</w:t>
              </w:r>
            </w:hyperlink>
          </w:p>
        </w:tc>
        <w:tc>
          <w:tcPr>
            <w:tcW w:w="66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30"/>
        </w:trPr>
        <w:tc>
          <w:tcPr>
            <w:tcW w:w="66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gridSpan w:val="3"/>
            <w:shd w:val="clear" w:color="auto" w:fill="CCEEFF"/>
          </w:tcPr>
          <w:p>
            <w:pPr>
              <w:spacing w:after="0"/>
              <w:rPr>
                <w:rFonts w:ascii="Arial" w:cs="Arial" w:eastAsia="Arial" w:hAnsi="Arial"/>
                <w:sz w:val="16"/>
                <w:szCs w:val="16"/>
                <w:color w:val="0000EE"/>
                <w:w w:val="91"/>
              </w:rPr>
            </w:pPr>
            <w:hyperlink w:anchor="page92">
              <w:r>
                <w:rPr>
                  <w:rFonts w:ascii="Arial" w:cs="Arial" w:eastAsia="Arial" w:hAnsi="Arial"/>
                  <w:sz w:val="16"/>
                  <w:szCs w:val="16"/>
                  <w:color w:val="0000EE"/>
                  <w:w w:val="91"/>
                </w:rPr>
                <w:t>(d)</w:t>
              </w:r>
            </w:hyperlink>
          </w:p>
        </w:tc>
        <w:tc>
          <w:tcPr>
            <w:tcW w:w="180" w:type="dxa"/>
            <w:vAlign w:val="bottom"/>
            <w:gridSpan w:val="3"/>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40" w:type="dxa"/>
            <w:vAlign w:val="bottom"/>
            <w:gridSpan w:val="31"/>
            <w:shd w:val="clear" w:color="auto" w:fill="CCEEFF"/>
          </w:tcPr>
          <w:p>
            <w:pPr>
              <w:spacing w:after="0"/>
              <w:rPr>
                <w:rFonts w:ascii="Arial" w:cs="Arial" w:eastAsia="Arial" w:hAnsi="Arial"/>
                <w:sz w:val="16"/>
                <w:szCs w:val="16"/>
                <w:color w:val="0000EE"/>
              </w:rPr>
            </w:pPr>
            <w:hyperlink w:anchor="page92">
              <w:r>
                <w:rPr>
                  <w:rFonts w:ascii="Arial" w:cs="Arial" w:eastAsia="Arial" w:hAnsi="Arial"/>
                  <w:sz w:val="16"/>
                  <w:szCs w:val="16"/>
                  <w:color w:val="0000EE"/>
                </w:rPr>
                <w:t>Withholding Taxes</w:t>
              </w:r>
            </w:hyperlink>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rFonts w:ascii="Arial" w:cs="Arial" w:eastAsia="Arial" w:hAnsi="Arial"/>
                <w:sz w:val="16"/>
                <w:szCs w:val="16"/>
                <w:color w:val="0000EE"/>
                <w:w w:val="88"/>
              </w:rPr>
            </w:pPr>
            <w:hyperlink w:anchor="page92">
              <w:r>
                <w:rPr>
                  <w:rFonts w:ascii="Arial" w:cs="Arial" w:eastAsia="Arial" w:hAnsi="Arial"/>
                  <w:sz w:val="16"/>
                  <w:szCs w:val="16"/>
                  <w:color w:val="0000EE"/>
                  <w:w w:val="88"/>
                </w:rPr>
                <w:t>A-7</w:t>
              </w:r>
            </w:hyperlink>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30"/>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gridSpan w:val="3"/>
          </w:tcPr>
          <w:p>
            <w:pPr>
              <w:spacing w:after="0"/>
              <w:rPr>
                <w:rFonts w:ascii="Arial" w:cs="Arial" w:eastAsia="Arial" w:hAnsi="Arial"/>
                <w:sz w:val="16"/>
                <w:szCs w:val="16"/>
                <w:color w:val="0000EE"/>
                <w:w w:val="91"/>
              </w:rPr>
            </w:pPr>
            <w:hyperlink w:anchor="page93">
              <w:r>
                <w:rPr>
                  <w:rFonts w:ascii="Arial" w:cs="Arial" w:eastAsia="Arial" w:hAnsi="Arial"/>
                  <w:sz w:val="16"/>
                  <w:szCs w:val="16"/>
                  <w:color w:val="0000EE"/>
                  <w:w w:val="91"/>
                </w:rPr>
                <w:t>(e)</w:t>
              </w:r>
            </w:hyperlink>
          </w:p>
        </w:tc>
        <w:tc>
          <w:tcPr>
            <w:tcW w:w="180" w:type="dxa"/>
            <w:vAlign w:val="bottom"/>
            <w:gridSpan w:val="3"/>
          </w:tcPr>
          <w:p>
            <w:pPr>
              <w:spacing w:after="0"/>
              <w:rPr>
                <w:sz w:val="19"/>
                <w:szCs w:val="19"/>
                <w:color w:val="auto"/>
              </w:rPr>
            </w:pPr>
          </w:p>
        </w:tc>
        <w:tc>
          <w:tcPr>
            <w:tcW w:w="60" w:type="dxa"/>
            <w:vAlign w:val="bottom"/>
          </w:tcPr>
          <w:p>
            <w:pPr>
              <w:spacing w:after="0"/>
              <w:rPr>
                <w:sz w:val="19"/>
                <w:szCs w:val="19"/>
                <w:color w:val="auto"/>
              </w:rPr>
            </w:pPr>
          </w:p>
        </w:tc>
        <w:tc>
          <w:tcPr>
            <w:tcW w:w="6440" w:type="dxa"/>
            <w:vAlign w:val="bottom"/>
            <w:gridSpan w:val="31"/>
          </w:tcPr>
          <w:p>
            <w:pPr>
              <w:spacing w:after="0"/>
              <w:rPr>
                <w:rFonts w:ascii="Arial" w:cs="Arial" w:eastAsia="Arial" w:hAnsi="Arial"/>
                <w:sz w:val="16"/>
                <w:szCs w:val="16"/>
                <w:color w:val="0000EE"/>
              </w:rPr>
            </w:pPr>
            <w:hyperlink w:anchor="page93">
              <w:r>
                <w:rPr>
                  <w:rFonts w:ascii="Arial" w:cs="Arial" w:eastAsia="Arial" w:hAnsi="Arial"/>
                  <w:sz w:val="16"/>
                  <w:szCs w:val="16"/>
                  <w:color w:val="0000EE"/>
                </w:rPr>
                <w:t>Exercisability and Term</w:t>
              </w:r>
            </w:hyperlink>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3"/>
          </w:tcPr>
          <w:p>
            <w:pPr>
              <w:spacing w:after="0"/>
              <w:rPr>
                <w:rFonts w:ascii="Arial" w:cs="Arial" w:eastAsia="Arial" w:hAnsi="Arial"/>
                <w:sz w:val="16"/>
                <w:szCs w:val="16"/>
                <w:color w:val="0000EE"/>
              </w:rPr>
            </w:pPr>
            <w:hyperlink w:anchor="page93">
              <w:r>
                <w:rPr>
                  <w:rFonts w:ascii="Arial" w:cs="Arial" w:eastAsia="Arial" w:hAnsi="Arial"/>
                  <w:sz w:val="16"/>
                  <w:szCs w:val="16"/>
                  <w:color w:val="0000EE"/>
                </w:rPr>
                <w:t>A-8</w:t>
              </w:r>
            </w:hyperlink>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29"/>
        </w:trPr>
        <w:tc>
          <w:tcPr>
            <w:tcW w:w="66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gridSpan w:val="6"/>
            <w:shd w:val="clear" w:color="auto" w:fill="CCEEFF"/>
          </w:tcPr>
          <w:p>
            <w:pPr>
              <w:spacing w:after="0"/>
              <w:rPr>
                <w:rFonts w:ascii="Arial" w:cs="Arial" w:eastAsia="Arial" w:hAnsi="Arial"/>
                <w:sz w:val="16"/>
                <w:szCs w:val="16"/>
                <w:color w:val="0000EE"/>
              </w:rPr>
            </w:pPr>
            <w:hyperlink w:anchor="page93">
              <w:r>
                <w:rPr>
                  <w:rFonts w:ascii="Arial" w:cs="Arial" w:eastAsia="Arial" w:hAnsi="Arial"/>
                  <w:sz w:val="16"/>
                  <w:szCs w:val="16"/>
                  <w:color w:val="0000EE"/>
                </w:rPr>
                <w:t>(f)</w:t>
              </w:r>
            </w:hyperlink>
          </w:p>
        </w:tc>
        <w:tc>
          <w:tcPr>
            <w:tcW w:w="60" w:type="dxa"/>
            <w:vAlign w:val="bottom"/>
            <w:shd w:val="clear" w:color="auto" w:fill="CCEEFF"/>
          </w:tcPr>
          <w:p>
            <w:pPr>
              <w:spacing w:after="0"/>
              <w:rPr>
                <w:sz w:val="19"/>
                <w:szCs w:val="19"/>
                <w:color w:val="auto"/>
              </w:rPr>
            </w:pPr>
          </w:p>
        </w:tc>
        <w:tc>
          <w:tcPr>
            <w:tcW w:w="6440" w:type="dxa"/>
            <w:vAlign w:val="bottom"/>
            <w:gridSpan w:val="31"/>
            <w:shd w:val="clear" w:color="auto" w:fill="CCEEFF"/>
          </w:tcPr>
          <w:p>
            <w:pPr>
              <w:spacing w:after="0"/>
              <w:rPr>
                <w:rFonts w:ascii="Arial" w:cs="Arial" w:eastAsia="Arial" w:hAnsi="Arial"/>
                <w:sz w:val="16"/>
                <w:szCs w:val="16"/>
                <w:color w:val="0000EE"/>
              </w:rPr>
            </w:pPr>
            <w:hyperlink w:anchor="page93">
              <w:r>
                <w:rPr>
                  <w:rFonts w:ascii="Arial" w:cs="Arial" w:eastAsia="Arial" w:hAnsi="Arial"/>
                  <w:sz w:val="16"/>
                  <w:szCs w:val="16"/>
                  <w:color w:val="0000EE"/>
                </w:rPr>
                <w:t>Exercise of Options</w:t>
              </w:r>
            </w:hyperlink>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rFonts w:ascii="Arial" w:cs="Arial" w:eastAsia="Arial" w:hAnsi="Arial"/>
                <w:sz w:val="16"/>
                <w:szCs w:val="16"/>
                <w:color w:val="0000EE"/>
                <w:w w:val="88"/>
              </w:rPr>
            </w:pPr>
            <w:hyperlink w:anchor="page93">
              <w:r>
                <w:rPr>
                  <w:rFonts w:ascii="Arial" w:cs="Arial" w:eastAsia="Arial" w:hAnsi="Arial"/>
                  <w:sz w:val="16"/>
                  <w:szCs w:val="16"/>
                  <w:color w:val="0000EE"/>
                  <w:w w:val="88"/>
                </w:rPr>
                <w:t>A-8</w:t>
              </w:r>
            </w:hyperlink>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gridSpan w:val="6"/>
          </w:tcPr>
          <w:p>
            <w:pPr>
              <w:spacing w:after="0"/>
              <w:rPr>
                <w:rFonts w:ascii="Arial" w:cs="Arial" w:eastAsia="Arial" w:hAnsi="Arial"/>
                <w:sz w:val="16"/>
                <w:szCs w:val="16"/>
                <w:color w:val="0000EE"/>
              </w:rPr>
            </w:pPr>
            <w:hyperlink w:anchor="page93">
              <w:r>
                <w:rPr>
                  <w:rFonts w:ascii="Arial" w:cs="Arial" w:eastAsia="Arial" w:hAnsi="Arial"/>
                  <w:sz w:val="16"/>
                  <w:szCs w:val="16"/>
                  <w:color w:val="0000EE"/>
                </w:rPr>
                <w:t>(g)</w:t>
              </w:r>
            </w:hyperlink>
          </w:p>
        </w:tc>
        <w:tc>
          <w:tcPr>
            <w:tcW w:w="60" w:type="dxa"/>
            <w:vAlign w:val="bottom"/>
          </w:tcPr>
          <w:p>
            <w:pPr>
              <w:spacing w:after="0"/>
              <w:rPr>
                <w:sz w:val="21"/>
                <w:szCs w:val="21"/>
                <w:color w:val="auto"/>
              </w:rPr>
            </w:pPr>
          </w:p>
        </w:tc>
        <w:tc>
          <w:tcPr>
            <w:tcW w:w="6440" w:type="dxa"/>
            <w:vAlign w:val="bottom"/>
            <w:gridSpan w:val="31"/>
          </w:tcPr>
          <w:p>
            <w:pPr>
              <w:spacing w:after="0"/>
              <w:rPr>
                <w:rFonts w:ascii="Arial" w:cs="Arial" w:eastAsia="Arial" w:hAnsi="Arial"/>
                <w:sz w:val="16"/>
                <w:szCs w:val="16"/>
                <w:color w:val="0000EE"/>
              </w:rPr>
            </w:pPr>
            <w:hyperlink w:anchor="page93">
              <w:r>
                <w:rPr>
                  <w:rFonts w:ascii="Arial" w:cs="Arial" w:eastAsia="Arial" w:hAnsi="Arial"/>
                  <w:sz w:val="16"/>
                  <w:szCs w:val="16"/>
                  <w:color w:val="0000EE"/>
                </w:rPr>
                <w:t>No Rights as a Stockholder</w:t>
              </w:r>
            </w:hyperlink>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gridSpan w:val="3"/>
          </w:tcPr>
          <w:p>
            <w:pPr>
              <w:spacing w:after="0"/>
              <w:rPr>
                <w:rFonts w:ascii="Arial" w:cs="Arial" w:eastAsia="Arial" w:hAnsi="Arial"/>
                <w:sz w:val="16"/>
                <w:szCs w:val="16"/>
                <w:color w:val="0000EE"/>
              </w:rPr>
            </w:pPr>
            <w:hyperlink w:anchor="page93">
              <w:r>
                <w:rPr>
                  <w:rFonts w:ascii="Arial" w:cs="Arial" w:eastAsia="Arial" w:hAnsi="Arial"/>
                  <w:sz w:val="16"/>
                  <w:szCs w:val="16"/>
                  <w:color w:val="0000EE"/>
                </w:rPr>
                <w:t>A-8</w:t>
              </w:r>
            </w:hyperlink>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77"/>
        </w:trPr>
        <w:tc>
          <w:tcPr>
            <w:tcW w:w="660" w:type="dxa"/>
            <w:vAlign w:val="bottom"/>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gridSpan w:val="3"/>
            <w:shd w:val="clear" w:color="auto" w:fill="CCEEFF"/>
          </w:tcPr>
          <w:p>
            <w:pPr>
              <w:spacing w:after="0"/>
              <w:rPr>
                <w:rFonts w:ascii="Arial" w:cs="Arial" w:eastAsia="Arial" w:hAnsi="Arial"/>
                <w:sz w:val="16"/>
                <w:szCs w:val="16"/>
                <w:color w:val="0000EE"/>
                <w:w w:val="91"/>
              </w:rPr>
            </w:pPr>
            <w:hyperlink w:anchor="page93">
              <w:r>
                <w:rPr>
                  <w:rFonts w:ascii="Arial" w:cs="Arial" w:eastAsia="Arial" w:hAnsi="Arial"/>
                  <w:sz w:val="16"/>
                  <w:szCs w:val="16"/>
                  <w:color w:val="0000EE"/>
                  <w:w w:val="91"/>
                </w:rPr>
                <w:t>(h)</w:t>
              </w:r>
            </w:hyperlink>
          </w:p>
        </w:tc>
        <w:tc>
          <w:tcPr>
            <w:tcW w:w="180" w:type="dxa"/>
            <w:vAlign w:val="bottom"/>
            <w:gridSpan w:val="3"/>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440" w:type="dxa"/>
            <w:vAlign w:val="bottom"/>
            <w:gridSpan w:val="31"/>
            <w:shd w:val="clear" w:color="auto" w:fill="CCEEFF"/>
          </w:tcPr>
          <w:p>
            <w:pPr>
              <w:spacing w:after="0"/>
              <w:rPr>
                <w:rFonts w:ascii="Arial" w:cs="Arial" w:eastAsia="Arial" w:hAnsi="Arial"/>
                <w:sz w:val="16"/>
                <w:szCs w:val="16"/>
                <w:color w:val="0000EE"/>
              </w:rPr>
            </w:pPr>
            <w:hyperlink w:anchor="page93">
              <w:r>
                <w:rPr>
                  <w:rFonts w:ascii="Arial" w:cs="Arial" w:eastAsia="Arial" w:hAnsi="Arial"/>
                  <w:sz w:val="16"/>
                  <w:szCs w:val="16"/>
                  <w:color w:val="0000EE"/>
                </w:rPr>
                <w:t>Modification, Extension and Renewal of Options</w:t>
              </w:r>
            </w:hyperlink>
          </w:p>
        </w:tc>
        <w:tc>
          <w:tcPr>
            <w:tcW w:w="1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rFonts w:ascii="Arial" w:cs="Arial" w:eastAsia="Arial" w:hAnsi="Arial"/>
                <w:sz w:val="16"/>
                <w:szCs w:val="16"/>
                <w:color w:val="0000EE"/>
                <w:w w:val="88"/>
              </w:rPr>
            </w:pPr>
            <w:hyperlink w:anchor="page93">
              <w:r>
                <w:rPr>
                  <w:rFonts w:ascii="Arial" w:cs="Arial" w:eastAsia="Arial" w:hAnsi="Arial"/>
                  <w:sz w:val="16"/>
                  <w:szCs w:val="16"/>
                  <w:color w:val="0000EE"/>
                  <w:w w:val="88"/>
                </w:rPr>
                <w:t>A-8</w:t>
              </w:r>
            </w:hyperlink>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43"/>
        </w:trPr>
        <w:tc>
          <w:tcPr>
            <w:tcW w:w="660" w:type="dxa"/>
            <w:vAlign w:val="bottom"/>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0" w:type="dxa"/>
            <w:vAlign w:val="bottom"/>
            <w:tcBorders>
              <w:top w:val="single" w:sz="8" w:color="0000EE"/>
            </w:tcBorders>
            <w:gridSpan w:val="3"/>
          </w:tcPr>
          <w:p>
            <w:pPr>
              <w:spacing w:after="0"/>
              <w:rPr>
                <w:rFonts w:ascii="Arial" w:cs="Arial" w:eastAsia="Arial" w:hAnsi="Arial"/>
                <w:sz w:val="16"/>
                <w:szCs w:val="16"/>
                <w:color w:val="0000EE"/>
              </w:rPr>
            </w:pPr>
            <w:hyperlink w:anchor="page93">
              <w:r>
                <w:rPr>
                  <w:rFonts w:ascii="Arial" w:cs="Arial" w:eastAsia="Arial" w:hAnsi="Arial"/>
                  <w:sz w:val="16"/>
                  <w:szCs w:val="16"/>
                  <w:color w:val="0000EE"/>
                </w:rPr>
                <w:t>(i)</w:t>
              </w:r>
            </w:hyperlink>
          </w:p>
        </w:tc>
        <w:tc>
          <w:tcPr>
            <w:tcW w:w="180" w:type="dxa"/>
            <w:vAlign w:val="bottom"/>
            <w:tcBorders>
              <w:top w:val="single" w:sz="8" w:color="CCEEFF"/>
            </w:tcBorders>
            <w:gridSpan w:val="3"/>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3440" w:type="dxa"/>
            <w:vAlign w:val="bottom"/>
            <w:tcBorders>
              <w:top w:val="single" w:sz="8" w:color="0000EE"/>
            </w:tcBorders>
            <w:gridSpan w:val="28"/>
          </w:tcPr>
          <w:p>
            <w:pPr>
              <w:spacing w:after="0"/>
              <w:rPr>
                <w:rFonts w:ascii="Arial" w:cs="Arial" w:eastAsia="Arial" w:hAnsi="Arial"/>
                <w:sz w:val="16"/>
                <w:szCs w:val="16"/>
                <w:color w:val="0000EE"/>
              </w:rPr>
            </w:pPr>
            <w:hyperlink w:anchor="page93">
              <w:r>
                <w:rPr>
                  <w:rFonts w:ascii="Arial" w:cs="Arial" w:eastAsia="Arial" w:hAnsi="Arial"/>
                  <w:sz w:val="16"/>
                  <w:szCs w:val="16"/>
                  <w:color w:val="0000EE"/>
                </w:rPr>
                <w:t>Restrictions on Transfer of Shares</w:t>
              </w:r>
            </w:hyperlink>
          </w:p>
        </w:tc>
        <w:tc>
          <w:tcPr>
            <w:tcW w:w="3000" w:type="dxa"/>
            <w:vAlign w:val="bottom"/>
            <w:tcBorders>
              <w:top w:val="single" w:sz="8" w:color="CCEEFF"/>
            </w:tcBorders>
            <w:gridSpan w:val="3"/>
          </w:tcPr>
          <w:p>
            <w:pPr>
              <w:spacing w:after="0"/>
              <w:rPr>
                <w:sz w:val="21"/>
                <w:szCs w:val="21"/>
                <w:color w:val="auto"/>
              </w:rPr>
            </w:pPr>
          </w:p>
        </w:tc>
        <w:tc>
          <w:tcPr>
            <w:tcW w:w="19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0000EE"/>
            </w:tcBorders>
            <w:gridSpan w:val="2"/>
          </w:tcPr>
          <w:p>
            <w:pPr>
              <w:spacing w:after="0"/>
              <w:rPr>
                <w:rFonts w:ascii="Arial" w:cs="Arial" w:eastAsia="Arial" w:hAnsi="Arial"/>
                <w:sz w:val="16"/>
                <w:szCs w:val="16"/>
                <w:color w:val="0000EE"/>
                <w:w w:val="96"/>
              </w:rPr>
            </w:pPr>
            <w:hyperlink w:anchor="page93">
              <w:r>
                <w:rPr>
                  <w:rFonts w:ascii="Arial" w:cs="Arial" w:eastAsia="Arial" w:hAnsi="Arial"/>
                  <w:sz w:val="16"/>
                  <w:szCs w:val="16"/>
                  <w:color w:val="0000EE"/>
                  <w:w w:val="96"/>
                </w:rPr>
                <w:t>A-8</w:t>
              </w:r>
            </w:hyperlink>
          </w:p>
        </w:tc>
        <w:tc>
          <w:tcPr>
            <w:tcW w:w="660" w:type="dxa"/>
            <w:vAlign w:val="bottom"/>
          </w:tcPr>
          <w:p>
            <w:pPr>
              <w:spacing w:after="0"/>
              <w:rPr>
                <w:sz w:val="21"/>
                <w:szCs w:val="2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660" w:type="dxa"/>
            <w:vAlign w:val="bottom"/>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80" w:type="dxa"/>
            <w:vAlign w:val="bottom"/>
            <w:gridSpan w:val="6"/>
            <w:shd w:val="clear" w:color="auto" w:fill="CCEEFF"/>
          </w:tcPr>
          <w:p>
            <w:pPr>
              <w:spacing w:after="0"/>
              <w:rPr>
                <w:rFonts w:ascii="Arial" w:cs="Arial" w:eastAsia="Arial" w:hAnsi="Arial"/>
                <w:sz w:val="16"/>
                <w:szCs w:val="16"/>
                <w:color w:val="0000EE"/>
              </w:rPr>
            </w:pPr>
            <w:hyperlink w:anchor="page93">
              <w:r>
                <w:rPr>
                  <w:rFonts w:ascii="Arial" w:cs="Arial" w:eastAsia="Arial" w:hAnsi="Arial"/>
                  <w:sz w:val="16"/>
                  <w:szCs w:val="16"/>
                  <w:color w:val="0000EE"/>
                </w:rPr>
                <w:t>(j)</w:t>
              </w:r>
            </w:hyperlink>
          </w:p>
        </w:tc>
        <w:tc>
          <w:tcPr>
            <w:tcW w:w="60" w:type="dxa"/>
            <w:vAlign w:val="bottom"/>
            <w:shd w:val="clear" w:color="auto" w:fill="CCEEFF"/>
          </w:tcPr>
          <w:p>
            <w:pPr>
              <w:spacing w:after="0"/>
              <w:rPr>
                <w:sz w:val="21"/>
                <w:szCs w:val="21"/>
                <w:color w:val="auto"/>
              </w:rPr>
            </w:pPr>
          </w:p>
        </w:tc>
        <w:tc>
          <w:tcPr>
            <w:tcW w:w="6440" w:type="dxa"/>
            <w:vAlign w:val="bottom"/>
            <w:gridSpan w:val="31"/>
            <w:shd w:val="clear" w:color="auto" w:fill="CCEEFF"/>
          </w:tcPr>
          <w:p>
            <w:pPr>
              <w:spacing w:after="0"/>
              <w:rPr>
                <w:rFonts w:ascii="Arial" w:cs="Arial" w:eastAsia="Arial" w:hAnsi="Arial"/>
                <w:sz w:val="16"/>
                <w:szCs w:val="16"/>
                <w:color w:val="0000EE"/>
              </w:rPr>
            </w:pPr>
            <w:hyperlink w:anchor="page93">
              <w:r>
                <w:rPr>
                  <w:rFonts w:ascii="Arial" w:cs="Arial" w:eastAsia="Arial" w:hAnsi="Arial"/>
                  <w:sz w:val="16"/>
                  <w:szCs w:val="16"/>
                  <w:color w:val="0000EE"/>
                </w:rPr>
                <w:t>Buyout Provisions</w:t>
              </w:r>
            </w:hyperlink>
          </w:p>
        </w:tc>
        <w:tc>
          <w:tcPr>
            <w:tcW w:w="1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rFonts w:ascii="Arial" w:cs="Arial" w:eastAsia="Arial" w:hAnsi="Arial"/>
                <w:sz w:val="16"/>
                <w:szCs w:val="16"/>
                <w:color w:val="0000EE"/>
                <w:w w:val="88"/>
              </w:rPr>
            </w:pPr>
            <w:hyperlink w:anchor="page93">
              <w:r>
                <w:rPr>
                  <w:rFonts w:ascii="Arial" w:cs="Arial" w:eastAsia="Arial" w:hAnsi="Arial"/>
                  <w:sz w:val="16"/>
                  <w:szCs w:val="16"/>
                  <w:color w:val="0000EE"/>
                  <w:w w:val="88"/>
                </w:rPr>
                <w:t>A-8</w:t>
              </w:r>
            </w:hyperlink>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34"/>
        </w:trPr>
        <w:tc>
          <w:tcPr>
            <w:tcW w:w="66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660" w:type="dxa"/>
            <w:vAlign w:val="bottom"/>
          </w:tcPr>
          <w:p>
            <w:pPr>
              <w:spacing w:after="0"/>
              <w:rPr>
                <w:sz w:val="21"/>
                <w:szCs w:val="21"/>
                <w:color w:val="auto"/>
              </w:rPr>
            </w:pPr>
          </w:p>
        </w:tc>
        <w:tc>
          <w:tcPr>
            <w:tcW w:w="7040" w:type="dxa"/>
            <w:vAlign w:val="bottom"/>
            <w:gridSpan w:val="39"/>
          </w:tcPr>
          <w:p>
            <w:pPr>
              <w:spacing w:after="0"/>
              <w:rPr>
                <w:rFonts w:ascii="Arial" w:cs="Arial" w:eastAsia="Arial" w:hAnsi="Arial"/>
                <w:sz w:val="16"/>
                <w:szCs w:val="16"/>
                <w:b w:val="1"/>
                <w:bCs w:val="1"/>
                <w:color w:val="0000EE"/>
              </w:rPr>
            </w:pPr>
            <w:hyperlink w:anchor="page93">
              <w:r>
                <w:rPr>
                  <w:rFonts w:ascii="Arial" w:cs="Arial" w:eastAsia="Arial" w:hAnsi="Arial"/>
                  <w:sz w:val="16"/>
                  <w:szCs w:val="16"/>
                  <w:b w:val="1"/>
                  <w:bCs w:val="1"/>
                  <w:color w:val="0000EE"/>
                </w:rPr>
                <w:t>SECTION 8.  PAYMENT FOR SHARES.</w:t>
              </w:r>
            </w:hyperlink>
          </w:p>
        </w:tc>
        <w:tc>
          <w:tcPr>
            <w:tcW w:w="1960" w:type="dxa"/>
            <w:vAlign w:val="bottom"/>
          </w:tcPr>
          <w:p>
            <w:pPr>
              <w:spacing w:after="0"/>
              <w:rPr>
                <w:sz w:val="21"/>
                <w:szCs w:val="21"/>
                <w:color w:val="auto"/>
              </w:rPr>
            </w:pPr>
          </w:p>
        </w:tc>
        <w:tc>
          <w:tcPr>
            <w:tcW w:w="1060" w:type="dxa"/>
            <w:vAlign w:val="bottom"/>
            <w:gridSpan w:val="5"/>
          </w:tcPr>
          <w:p>
            <w:pPr>
              <w:ind w:left="120"/>
              <w:spacing w:after="0"/>
              <w:rPr>
                <w:rFonts w:ascii="Arial" w:cs="Arial" w:eastAsia="Arial" w:hAnsi="Arial"/>
                <w:sz w:val="16"/>
                <w:szCs w:val="16"/>
                <w:b w:val="1"/>
                <w:bCs w:val="1"/>
                <w:color w:val="0000EE"/>
              </w:rPr>
            </w:pPr>
            <w:hyperlink w:anchor="page93">
              <w:r>
                <w:rPr>
                  <w:rFonts w:ascii="Arial" w:cs="Arial" w:eastAsia="Arial" w:hAnsi="Arial"/>
                  <w:sz w:val="16"/>
                  <w:szCs w:val="16"/>
                  <w:b w:val="1"/>
                  <w:bCs w:val="1"/>
                  <w:color w:val="0000EE"/>
                </w:rPr>
                <w:t>A-8</w:t>
              </w:r>
            </w:hyperlink>
          </w:p>
        </w:tc>
      </w:tr>
      <w:tr>
        <w:trPr>
          <w:trHeight w:val="34"/>
        </w:trPr>
        <w:tc>
          <w:tcPr>
            <w:tcW w:w="660" w:type="dxa"/>
            <w:vAlign w:val="bottom"/>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660" w:type="dxa"/>
            <w:vAlign w:val="bottom"/>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gridSpan w:val="3"/>
            <w:shd w:val="clear" w:color="auto" w:fill="CCEEFF"/>
          </w:tcPr>
          <w:p>
            <w:pPr>
              <w:spacing w:after="0"/>
              <w:rPr>
                <w:rFonts w:ascii="Arial" w:cs="Arial" w:eastAsia="Arial" w:hAnsi="Arial"/>
                <w:sz w:val="16"/>
                <w:szCs w:val="16"/>
                <w:color w:val="0000EE"/>
                <w:w w:val="91"/>
              </w:rPr>
            </w:pPr>
            <w:hyperlink w:anchor="page93">
              <w:r>
                <w:rPr>
                  <w:rFonts w:ascii="Arial" w:cs="Arial" w:eastAsia="Arial" w:hAnsi="Arial"/>
                  <w:sz w:val="16"/>
                  <w:szCs w:val="16"/>
                  <w:color w:val="0000EE"/>
                  <w:w w:val="91"/>
                </w:rPr>
                <w:t>(a)</w:t>
              </w:r>
            </w:hyperlink>
          </w:p>
        </w:tc>
        <w:tc>
          <w:tcPr>
            <w:tcW w:w="180" w:type="dxa"/>
            <w:vAlign w:val="bottom"/>
            <w:gridSpan w:val="3"/>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440" w:type="dxa"/>
            <w:vAlign w:val="bottom"/>
            <w:gridSpan w:val="31"/>
            <w:shd w:val="clear" w:color="auto" w:fill="CCEEFF"/>
          </w:tcPr>
          <w:p>
            <w:pPr>
              <w:spacing w:after="0"/>
              <w:rPr>
                <w:rFonts w:ascii="Arial" w:cs="Arial" w:eastAsia="Arial" w:hAnsi="Arial"/>
                <w:sz w:val="16"/>
                <w:szCs w:val="16"/>
                <w:color w:val="0000EE"/>
              </w:rPr>
            </w:pPr>
            <w:hyperlink w:anchor="page93">
              <w:r>
                <w:rPr>
                  <w:rFonts w:ascii="Arial" w:cs="Arial" w:eastAsia="Arial" w:hAnsi="Arial"/>
                  <w:sz w:val="16"/>
                  <w:szCs w:val="16"/>
                  <w:color w:val="0000EE"/>
                </w:rPr>
                <w:t>General Rule</w:t>
              </w:r>
            </w:hyperlink>
          </w:p>
        </w:tc>
        <w:tc>
          <w:tcPr>
            <w:tcW w:w="1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rFonts w:ascii="Arial" w:cs="Arial" w:eastAsia="Arial" w:hAnsi="Arial"/>
                <w:sz w:val="16"/>
                <w:szCs w:val="16"/>
                <w:color w:val="0000EE"/>
                <w:w w:val="88"/>
              </w:rPr>
            </w:pPr>
            <w:hyperlink w:anchor="page93">
              <w:r>
                <w:rPr>
                  <w:rFonts w:ascii="Arial" w:cs="Arial" w:eastAsia="Arial" w:hAnsi="Arial"/>
                  <w:sz w:val="16"/>
                  <w:szCs w:val="16"/>
                  <w:color w:val="0000EE"/>
                  <w:w w:val="88"/>
                </w:rPr>
                <w:t>A-8</w:t>
              </w:r>
            </w:hyperlink>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34"/>
        </w:trPr>
        <w:tc>
          <w:tcPr>
            <w:tcW w:w="66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gridSpan w:val="3"/>
          </w:tcPr>
          <w:p>
            <w:pPr>
              <w:spacing w:after="0"/>
              <w:rPr>
                <w:rFonts w:ascii="Arial" w:cs="Arial" w:eastAsia="Arial" w:hAnsi="Arial"/>
                <w:sz w:val="16"/>
                <w:szCs w:val="16"/>
                <w:color w:val="0000EE"/>
                <w:w w:val="91"/>
              </w:rPr>
            </w:pPr>
            <w:hyperlink w:anchor="page93">
              <w:r>
                <w:rPr>
                  <w:rFonts w:ascii="Arial" w:cs="Arial" w:eastAsia="Arial" w:hAnsi="Arial"/>
                  <w:sz w:val="16"/>
                  <w:szCs w:val="16"/>
                  <w:color w:val="0000EE"/>
                  <w:w w:val="91"/>
                </w:rPr>
                <w:t>(b)</w:t>
              </w:r>
            </w:hyperlink>
          </w:p>
        </w:tc>
        <w:tc>
          <w:tcPr>
            <w:tcW w:w="180" w:type="dxa"/>
            <w:vAlign w:val="bottom"/>
            <w:gridSpan w:val="3"/>
          </w:tcPr>
          <w:p>
            <w:pPr>
              <w:spacing w:after="0"/>
              <w:rPr>
                <w:sz w:val="21"/>
                <w:szCs w:val="21"/>
                <w:color w:val="auto"/>
              </w:rPr>
            </w:pPr>
          </w:p>
        </w:tc>
        <w:tc>
          <w:tcPr>
            <w:tcW w:w="60" w:type="dxa"/>
            <w:vAlign w:val="bottom"/>
          </w:tcPr>
          <w:p>
            <w:pPr>
              <w:spacing w:after="0"/>
              <w:rPr>
                <w:sz w:val="21"/>
                <w:szCs w:val="21"/>
                <w:color w:val="auto"/>
              </w:rPr>
            </w:pPr>
          </w:p>
        </w:tc>
        <w:tc>
          <w:tcPr>
            <w:tcW w:w="6440" w:type="dxa"/>
            <w:vAlign w:val="bottom"/>
            <w:gridSpan w:val="31"/>
          </w:tcPr>
          <w:p>
            <w:pPr>
              <w:spacing w:after="0"/>
              <w:rPr>
                <w:rFonts w:ascii="Arial" w:cs="Arial" w:eastAsia="Arial" w:hAnsi="Arial"/>
                <w:sz w:val="16"/>
                <w:szCs w:val="16"/>
                <w:color w:val="0000EE"/>
              </w:rPr>
            </w:pPr>
            <w:hyperlink w:anchor="page93">
              <w:r>
                <w:rPr>
                  <w:rFonts w:ascii="Arial" w:cs="Arial" w:eastAsia="Arial" w:hAnsi="Arial"/>
                  <w:sz w:val="16"/>
                  <w:szCs w:val="16"/>
                  <w:color w:val="0000EE"/>
                </w:rPr>
                <w:t>Surrender of Stock</w:t>
              </w:r>
            </w:hyperlink>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gridSpan w:val="3"/>
          </w:tcPr>
          <w:p>
            <w:pPr>
              <w:spacing w:after="0"/>
              <w:rPr>
                <w:rFonts w:ascii="Arial" w:cs="Arial" w:eastAsia="Arial" w:hAnsi="Arial"/>
                <w:sz w:val="16"/>
                <w:szCs w:val="16"/>
                <w:color w:val="0000EE"/>
              </w:rPr>
            </w:pPr>
            <w:hyperlink w:anchor="page93">
              <w:r>
                <w:rPr>
                  <w:rFonts w:ascii="Arial" w:cs="Arial" w:eastAsia="Arial" w:hAnsi="Arial"/>
                  <w:sz w:val="16"/>
                  <w:szCs w:val="16"/>
                  <w:color w:val="0000EE"/>
                </w:rPr>
                <w:t>A-8</w:t>
              </w:r>
            </w:hyperlink>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660" w:type="dxa"/>
            <w:vAlign w:val="bottom"/>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80" w:type="dxa"/>
            <w:vAlign w:val="bottom"/>
            <w:gridSpan w:val="6"/>
            <w:shd w:val="clear" w:color="auto" w:fill="CCEEFF"/>
          </w:tcPr>
          <w:p>
            <w:pPr>
              <w:spacing w:after="0"/>
              <w:rPr>
                <w:rFonts w:ascii="Arial" w:cs="Arial" w:eastAsia="Arial" w:hAnsi="Arial"/>
                <w:sz w:val="16"/>
                <w:szCs w:val="16"/>
                <w:color w:val="0000EE"/>
              </w:rPr>
            </w:pPr>
            <w:hyperlink w:anchor="page94">
              <w:r>
                <w:rPr>
                  <w:rFonts w:ascii="Arial" w:cs="Arial" w:eastAsia="Arial" w:hAnsi="Arial"/>
                  <w:sz w:val="16"/>
                  <w:szCs w:val="16"/>
                  <w:color w:val="0000EE"/>
                </w:rPr>
                <w:t>(c)</w:t>
              </w:r>
            </w:hyperlink>
          </w:p>
        </w:tc>
        <w:tc>
          <w:tcPr>
            <w:tcW w:w="60" w:type="dxa"/>
            <w:vAlign w:val="bottom"/>
            <w:shd w:val="clear" w:color="auto" w:fill="CCEEFF"/>
          </w:tcPr>
          <w:p>
            <w:pPr>
              <w:spacing w:after="0"/>
              <w:rPr>
                <w:sz w:val="21"/>
                <w:szCs w:val="21"/>
                <w:color w:val="auto"/>
              </w:rPr>
            </w:pPr>
          </w:p>
        </w:tc>
        <w:tc>
          <w:tcPr>
            <w:tcW w:w="6440" w:type="dxa"/>
            <w:vAlign w:val="bottom"/>
            <w:gridSpan w:val="31"/>
            <w:shd w:val="clear" w:color="auto" w:fill="CCEEFF"/>
          </w:tcPr>
          <w:p>
            <w:pPr>
              <w:spacing w:after="0"/>
              <w:rPr>
                <w:rFonts w:ascii="Arial" w:cs="Arial" w:eastAsia="Arial" w:hAnsi="Arial"/>
                <w:sz w:val="16"/>
                <w:szCs w:val="16"/>
                <w:color w:val="0000EE"/>
              </w:rPr>
            </w:pPr>
            <w:hyperlink w:anchor="page94">
              <w:r>
                <w:rPr>
                  <w:rFonts w:ascii="Arial" w:cs="Arial" w:eastAsia="Arial" w:hAnsi="Arial"/>
                  <w:sz w:val="16"/>
                  <w:szCs w:val="16"/>
                  <w:color w:val="0000EE"/>
                </w:rPr>
                <w:t>Services Rendered</w:t>
              </w:r>
            </w:hyperlink>
          </w:p>
        </w:tc>
        <w:tc>
          <w:tcPr>
            <w:tcW w:w="1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rFonts w:ascii="Arial" w:cs="Arial" w:eastAsia="Arial" w:hAnsi="Arial"/>
                <w:sz w:val="16"/>
                <w:szCs w:val="16"/>
                <w:color w:val="0000EE"/>
                <w:w w:val="88"/>
              </w:rPr>
            </w:pPr>
            <w:hyperlink w:anchor="page94">
              <w:r>
                <w:rPr>
                  <w:rFonts w:ascii="Arial" w:cs="Arial" w:eastAsia="Arial" w:hAnsi="Arial"/>
                  <w:sz w:val="16"/>
                  <w:szCs w:val="16"/>
                  <w:color w:val="0000EE"/>
                  <w:w w:val="88"/>
                </w:rPr>
                <w:t>A-9</w:t>
              </w:r>
            </w:hyperlink>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34"/>
        </w:trPr>
        <w:tc>
          <w:tcPr>
            <w:tcW w:w="66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Borders>
              <w:bottom w:val="single" w:sz="8" w:color="0000EE"/>
            </w:tcBorders>
            <w:gridSpan w:val="3"/>
          </w:tcPr>
          <w:p>
            <w:pPr>
              <w:spacing w:after="0"/>
              <w:rPr>
                <w:rFonts w:ascii="Arial" w:cs="Arial" w:eastAsia="Arial" w:hAnsi="Arial"/>
                <w:sz w:val="16"/>
                <w:szCs w:val="16"/>
                <w:color w:val="0000EE"/>
                <w:w w:val="91"/>
              </w:rPr>
            </w:pPr>
            <w:hyperlink w:anchor="page94">
              <w:r>
                <w:rPr>
                  <w:rFonts w:ascii="Arial" w:cs="Arial" w:eastAsia="Arial" w:hAnsi="Arial"/>
                  <w:sz w:val="16"/>
                  <w:szCs w:val="16"/>
                  <w:color w:val="0000EE"/>
                  <w:w w:val="91"/>
                </w:rPr>
                <w:t>(d)</w:t>
              </w:r>
            </w:hyperlink>
          </w:p>
        </w:tc>
        <w:tc>
          <w:tcPr>
            <w:tcW w:w="180" w:type="dxa"/>
            <w:vAlign w:val="bottom"/>
            <w:gridSpan w:val="3"/>
          </w:tcPr>
          <w:p>
            <w:pPr>
              <w:spacing w:after="0"/>
              <w:rPr>
                <w:sz w:val="21"/>
                <w:szCs w:val="21"/>
                <w:color w:val="auto"/>
              </w:rPr>
            </w:pPr>
          </w:p>
        </w:tc>
        <w:tc>
          <w:tcPr>
            <w:tcW w:w="60" w:type="dxa"/>
            <w:vAlign w:val="bottom"/>
          </w:tcPr>
          <w:p>
            <w:pPr>
              <w:spacing w:after="0"/>
              <w:rPr>
                <w:sz w:val="21"/>
                <w:szCs w:val="21"/>
                <w:color w:val="auto"/>
              </w:rPr>
            </w:pPr>
          </w:p>
        </w:tc>
        <w:tc>
          <w:tcPr>
            <w:tcW w:w="1340" w:type="dxa"/>
            <w:vAlign w:val="bottom"/>
            <w:tcBorders>
              <w:bottom w:val="single" w:sz="8" w:color="0000EE"/>
            </w:tcBorders>
            <w:gridSpan w:val="11"/>
          </w:tcPr>
          <w:p>
            <w:pPr>
              <w:spacing w:after="0"/>
              <w:rPr>
                <w:rFonts w:ascii="Arial" w:cs="Arial" w:eastAsia="Arial" w:hAnsi="Arial"/>
                <w:sz w:val="16"/>
                <w:szCs w:val="16"/>
                <w:color w:val="0000EE"/>
              </w:rPr>
            </w:pPr>
            <w:hyperlink w:anchor="page94">
              <w:r>
                <w:rPr>
                  <w:rFonts w:ascii="Arial" w:cs="Arial" w:eastAsia="Arial" w:hAnsi="Arial"/>
                  <w:sz w:val="16"/>
                  <w:szCs w:val="16"/>
                  <w:color w:val="0000EE"/>
                </w:rPr>
                <w:t>Cashless Exercise</w:t>
              </w:r>
            </w:hyperlink>
          </w:p>
        </w:tc>
        <w:tc>
          <w:tcPr>
            <w:tcW w:w="5100" w:type="dxa"/>
            <w:vAlign w:val="bottom"/>
            <w:gridSpan w:val="20"/>
          </w:tcPr>
          <w:p>
            <w:pPr>
              <w:spacing w:after="0"/>
              <w:rPr>
                <w:sz w:val="21"/>
                <w:szCs w:val="21"/>
                <w:color w:val="auto"/>
              </w:rPr>
            </w:pP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0000EE"/>
            </w:tcBorders>
            <w:gridSpan w:val="2"/>
          </w:tcPr>
          <w:p>
            <w:pPr>
              <w:spacing w:after="0"/>
              <w:rPr>
                <w:rFonts w:ascii="Arial" w:cs="Arial" w:eastAsia="Arial" w:hAnsi="Arial"/>
                <w:sz w:val="16"/>
                <w:szCs w:val="16"/>
                <w:color w:val="0000EE"/>
                <w:w w:val="96"/>
              </w:rPr>
            </w:pPr>
            <w:hyperlink w:anchor="page94">
              <w:r>
                <w:rPr>
                  <w:rFonts w:ascii="Arial" w:cs="Arial" w:eastAsia="Arial" w:hAnsi="Arial"/>
                  <w:sz w:val="16"/>
                  <w:szCs w:val="16"/>
                  <w:color w:val="0000EE"/>
                  <w:w w:val="96"/>
                </w:rPr>
                <w:t>A-9</w:t>
              </w:r>
            </w:hyperlink>
          </w:p>
        </w:tc>
        <w:tc>
          <w:tcPr>
            <w:tcW w:w="660" w:type="dxa"/>
            <w:vAlign w:val="bottom"/>
          </w:tcPr>
          <w:p>
            <w:pPr>
              <w:spacing w:after="0"/>
              <w:rPr>
                <w:sz w:val="21"/>
                <w:szCs w:val="21"/>
                <w:color w:val="auto"/>
              </w:rPr>
            </w:pPr>
          </w:p>
        </w:tc>
      </w:tr>
      <w:tr>
        <w:trPr>
          <w:trHeight w:val="518"/>
        </w:trPr>
        <w:tc>
          <w:tcPr>
            <w:tcW w:w="660" w:type="dxa"/>
            <w:vAlign w:val="bottom"/>
          </w:tcPr>
          <w:p>
            <w:pPr>
              <w:spacing w:after="0"/>
              <w:rPr>
                <w:sz w:val="24"/>
                <w:szCs w:val="24"/>
                <w:color w:val="auto"/>
              </w:rPr>
            </w:pPr>
          </w:p>
        </w:tc>
        <w:tc>
          <w:tcPr>
            <w:tcW w:w="540" w:type="dxa"/>
            <w:vAlign w:val="bottom"/>
            <w:gridSpan w:val="7"/>
          </w:tcPr>
          <w:p>
            <w:pPr>
              <w:spacing w:after="0"/>
              <w:rPr>
                <w:sz w:val="20"/>
                <w:szCs w:val="20"/>
                <w:color w:val="auto"/>
              </w:rPr>
            </w:pPr>
            <w:r>
              <w:rPr>
                <w:rFonts w:ascii="Arial" w:cs="Arial" w:eastAsia="Arial" w:hAnsi="Arial"/>
                <w:sz w:val="13"/>
                <w:szCs w:val="13"/>
                <w:b w:val="1"/>
                <w:bCs w:val="1"/>
                <w:color w:val="auto"/>
              </w:rPr>
              <w:t>A-ii</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20" w:type="dxa"/>
            <w:vAlign w:val="bottom"/>
            <w:gridSpan w:val="6"/>
          </w:tcPr>
          <w:p>
            <w:pPr>
              <w:ind w:left="1100"/>
              <w:spacing w:after="0"/>
              <w:rPr>
                <w:sz w:val="20"/>
                <w:szCs w:val="20"/>
                <w:color w:val="auto"/>
              </w:rPr>
            </w:pPr>
            <w:r>
              <w:rPr>
                <w:rFonts w:ascii="Arial" w:cs="Arial" w:eastAsia="Arial" w:hAnsi="Arial"/>
                <w:sz w:val="13"/>
                <w:szCs w:val="13"/>
                <w:color w:val="auto"/>
              </w:rPr>
              <w:t>2022 Proxy Statement</w:t>
            </w:r>
          </w:p>
        </w:tc>
      </w:tr>
      <w:tr>
        <w:trPr>
          <w:trHeight w:val="171"/>
        </w:trPr>
        <w:tc>
          <w:tcPr>
            <w:tcW w:w="6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80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-7714615</wp:posOffset>
            </wp:positionV>
            <wp:extent cx="571754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17540" cy="1714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84" w:name="page85"/>
    <w:bookmarkEnd w:id="84"/>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5"/>
          </w:tcPr>
          <w:p>
            <w:pPr>
              <w:spacing w:after="0"/>
              <w:rPr>
                <w:sz w:val="20"/>
                <w:szCs w:val="20"/>
                <w:color w:val="auto"/>
              </w:rPr>
            </w:pPr>
            <w:r>
              <w:rPr>
                <w:rFonts w:ascii="Arial" w:cs="Arial" w:eastAsia="Arial" w:hAnsi="Arial"/>
                <w:sz w:val="13"/>
                <w:szCs w:val="13"/>
                <w:b w:val="1"/>
                <w:bCs w:val="1"/>
                <w:color w:val="auto"/>
              </w:rPr>
              <w:t>Page</w:t>
            </w:r>
          </w:p>
        </w:tc>
      </w:tr>
      <w:tr>
        <w:trPr>
          <w:trHeight w:val="63"/>
        </w:trPr>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gridSpan w:val="2"/>
          </w:tcPr>
          <w:p>
            <w:pPr>
              <w:spacing w:after="0"/>
              <w:rPr>
                <w:sz w:val="5"/>
                <w:szCs w:val="5"/>
                <w:color w:val="auto"/>
              </w:rPr>
            </w:pPr>
          </w:p>
        </w:tc>
        <w:tc>
          <w:tcPr>
            <w:tcW w:w="660" w:type="dxa"/>
            <w:vAlign w:val="bottom"/>
          </w:tcPr>
          <w:p>
            <w:pPr>
              <w:spacing w:after="0"/>
              <w:rPr>
                <w:sz w:val="5"/>
                <w:szCs w:val="5"/>
                <w:color w:val="auto"/>
              </w:rPr>
            </w:pPr>
          </w:p>
        </w:tc>
      </w:tr>
      <w:tr>
        <w:trPr>
          <w:trHeight w:val="250"/>
        </w:trPr>
        <w:tc>
          <w:tcPr>
            <w:tcW w:w="660" w:type="dxa"/>
            <w:vAlign w:val="bottom"/>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0000EE"/>
            </w:tcBorders>
            <w:gridSpan w:val="3"/>
            <w:shd w:val="clear" w:color="auto" w:fill="CCEEFF"/>
          </w:tcPr>
          <w:p>
            <w:pPr>
              <w:spacing w:after="0"/>
              <w:rPr>
                <w:rFonts w:ascii="Arial" w:cs="Arial" w:eastAsia="Arial" w:hAnsi="Arial"/>
                <w:sz w:val="16"/>
                <w:szCs w:val="16"/>
                <w:color w:val="0000EE"/>
                <w:w w:val="91"/>
              </w:rPr>
            </w:pPr>
            <w:hyperlink w:anchor="page94">
              <w:r>
                <w:rPr>
                  <w:rFonts w:ascii="Arial" w:cs="Arial" w:eastAsia="Arial" w:hAnsi="Arial"/>
                  <w:sz w:val="16"/>
                  <w:szCs w:val="16"/>
                  <w:color w:val="0000EE"/>
                  <w:w w:val="91"/>
                </w:rPr>
                <w:t>(e)</w:t>
              </w:r>
            </w:hyperlink>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CCEEFF"/>
              <w:bottom w:val="single" w:sz="8" w:color="0000EE"/>
            </w:tcBorders>
            <w:gridSpan w:val="6"/>
            <w:shd w:val="clear" w:color="auto" w:fill="CCEEFF"/>
          </w:tcPr>
          <w:p>
            <w:pPr>
              <w:spacing w:after="0"/>
              <w:rPr>
                <w:rFonts w:ascii="Arial" w:cs="Arial" w:eastAsia="Arial" w:hAnsi="Arial"/>
                <w:sz w:val="16"/>
                <w:szCs w:val="16"/>
                <w:color w:val="0000EE"/>
              </w:rPr>
            </w:pPr>
            <w:hyperlink w:anchor="page94">
              <w:r>
                <w:rPr>
                  <w:rFonts w:ascii="Arial" w:cs="Arial" w:eastAsia="Arial" w:hAnsi="Arial"/>
                  <w:sz w:val="16"/>
                  <w:szCs w:val="16"/>
                  <w:color w:val="0000EE"/>
                </w:rPr>
                <w:t>Exercise/Pledge</w:t>
              </w:r>
            </w:hyperlink>
          </w:p>
        </w:tc>
        <w:tc>
          <w:tcPr>
            <w:tcW w:w="7220" w:type="dxa"/>
            <w:vAlign w:val="bottom"/>
            <w:tcBorders>
              <w:top w:val="single" w:sz="8" w:color="CCEEFF"/>
              <w:bottom w:val="single" w:sz="8" w:color="CCEEFF"/>
            </w:tcBorders>
            <w:gridSpan w:val="29"/>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0000EE"/>
            </w:tcBorders>
            <w:shd w:val="clear" w:color="auto" w:fill="CCEEFF"/>
          </w:tcPr>
          <w:p>
            <w:pPr>
              <w:spacing w:after="0"/>
              <w:rPr>
                <w:rFonts w:ascii="Arial" w:cs="Arial" w:eastAsia="Arial" w:hAnsi="Arial"/>
                <w:sz w:val="16"/>
                <w:szCs w:val="16"/>
                <w:color w:val="0000EE"/>
                <w:w w:val="88"/>
              </w:rPr>
            </w:pPr>
            <w:hyperlink w:anchor="page94">
              <w:r>
                <w:rPr>
                  <w:rFonts w:ascii="Arial" w:cs="Arial" w:eastAsia="Arial" w:hAnsi="Arial"/>
                  <w:sz w:val="16"/>
                  <w:szCs w:val="16"/>
                  <w:color w:val="0000EE"/>
                  <w:w w:val="88"/>
                </w:rPr>
                <w:t>A-9</w:t>
              </w:r>
            </w:hyperlink>
          </w:p>
        </w:tc>
        <w:tc>
          <w:tcPr>
            <w:tcW w:w="20" w:type="dxa"/>
            <w:vAlign w:val="bottom"/>
            <w:tcBorders>
              <w:bottom w:val="single" w:sz="8" w:color="0000EE"/>
            </w:tcBorders>
          </w:tcPr>
          <w:p>
            <w:pPr>
              <w:spacing w:after="0"/>
              <w:rPr>
                <w:sz w:val="21"/>
                <w:szCs w:val="21"/>
                <w:color w:val="auto"/>
              </w:rPr>
            </w:pPr>
          </w:p>
        </w:tc>
        <w:tc>
          <w:tcPr>
            <w:tcW w:w="660" w:type="dxa"/>
            <w:vAlign w:val="bottom"/>
          </w:tcPr>
          <w:p>
            <w:pPr>
              <w:spacing w:after="0"/>
              <w:rPr>
                <w:sz w:val="21"/>
                <w:szCs w:val="21"/>
                <w:color w:val="auto"/>
              </w:rPr>
            </w:pPr>
          </w:p>
        </w:tc>
      </w:tr>
      <w:tr>
        <w:trPr>
          <w:trHeight w:val="230"/>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gridSpan w:val="3"/>
          </w:tcPr>
          <w:p>
            <w:pPr>
              <w:spacing w:after="0"/>
              <w:rPr>
                <w:rFonts w:ascii="Arial" w:cs="Arial" w:eastAsia="Arial" w:hAnsi="Arial"/>
                <w:sz w:val="16"/>
                <w:szCs w:val="16"/>
                <w:color w:val="0000EE"/>
              </w:rPr>
            </w:pPr>
            <w:hyperlink w:anchor="page94">
              <w:r>
                <w:rPr>
                  <w:rFonts w:ascii="Arial" w:cs="Arial" w:eastAsia="Arial" w:hAnsi="Arial"/>
                  <w:sz w:val="16"/>
                  <w:szCs w:val="16"/>
                  <w:color w:val="0000EE"/>
                </w:rPr>
                <w:t>(f)</w:t>
              </w:r>
            </w:hyperlink>
          </w:p>
        </w:tc>
        <w:tc>
          <w:tcPr>
            <w:tcW w:w="240" w:type="dxa"/>
            <w:vAlign w:val="bottom"/>
          </w:tcPr>
          <w:p>
            <w:pPr>
              <w:spacing w:after="0"/>
              <w:rPr>
                <w:sz w:val="19"/>
                <w:szCs w:val="19"/>
                <w:color w:val="auto"/>
              </w:rPr>
            </w:pPr>
          </w:p>
        </w:tc>
        <w:tc>
          <w:tcPr>
            <w:tcW w:w="8400" w:type="dxa"/>
            <w:vAlign w:val="bottom"/>
            <w:gridSpan w:val="35"/>
          </w:tcPr>
          <w:p>
            <w:pPr>
              <w:spacing w:after="0"/>
              <w:rPr>
                <w:rFonts w:ascii="Arial" w:cs="Arial" w:eastAsia="Arial" w:hAnsi="Arial"/>
                <w:sz w:val="16"/>
                <w:szCs w:val="16"/>
                <w:color w:val="0000EE"/>
              </w:rPr>
            </w:pPr>
            <w:hyperlink w:anchor="page94">
              <w:r>
                <w:rPr>
                  <w:rFonts w:ascii="Arial" w:cs="Arial" w:eastAsia="Arial" w:hAnsi="Arial"/>
                  <w:sz w:val="16"/>
                  <w:szCs w:val="16"/>
                  <w:color w:val="0000EE"/>
                </w:rPr>
                <w:t>Net Exercise</w:t>
              </w:r>
            </w:hyperlink>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3"/>
          </w:tcPr>
          <w:p>
            <w:pPr>
              <w:spacing w:after="0"/>
              <w:rPr>
                <w:rFonts w:ascii="Arial" w:cs="Arial" w:eastAsia="Arial" w:hAnsi="Arial"/>
                <w:sz w:val="16"/>
                <w:szCs w:val="16"/>
                <w:color w:val="0000EE"/>
              </w:rPr>
            </w:pPr>
            <w:hyperlink w:anchor="page94">
              <w:r>
                <w:rPr>
                  <w:rFonts w:ascii="Arial" w:cs="Arial" w:eastAsia="Arial" w:hAnsi="Arial"/>
                  <w:sz w:val="16"/>
                  <w:szCs w:val="16"/>
                  <w:color w:val="0000EE"/>
                </w:rPr>
                <w:t>A-9</w:t>
              </w:r>
            </w:hyperlink>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29"/>
        </w:trPr>
        <w:tc>
          <w:tcPr>
            <w:tcW w:w="66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gridSpan w:val="3"/>
            <w:shd w:val="clear" w:color="auto" w:fill="CCEEFF"/>
          </w:tcPr>
          <w:p>
            <w:pPr>
              <w:spacing w:after="0"/>
              <w:rPr>
                <w:rFonts w:ascii="Arial" w:cs="Arial" w:eastAsia="Arial" w:hAnsi="Arial"/>
                <w:sz w:val="16"/>
                <w:szCs w:val="16"/>
                <w:color w:val="0000EE"/>
                <w:w w:val="91"/>
              </w:rPr>
            </w:pPr>
            <w:hyperlink w:anchor="page94">
              <w:r>
                <w:rPr>
                  <w:rFonts w:ascii="Arial" w:cs="Arial" w:eastAsia="Arial" w:hAnsi="Arial"/>
                  <w:sz w:val="16"/>
                  <w:szCs w:val="16"/>
                  <w:color w:val="0000EE"/>
                  <w:w w:val="91"/>
                </w:rPr>
                <w:t>(g)</w:t>
              </w:r>
            </w:hyperlink>
          </w:p>
        </w:tc>
        <w:tc>
          <w:tcPr>
            <w:tcW w:w="240" w:type="dxa"/>
            <w:vAlign w:val="bottom"/>
            <w:shd w:val="clear" w:color="auto" w:fill="CCEEFF"/>
          </w:tcPr>
          <w:p>
            <w:pPr>
              <w:spacing w:after="0"/>
              <w:rPr>
                <w:sz w:val="19"/>
                <w:szCs w:val="19"/>
                <w:color w:val="auto"/>
              </w:rPr>
            </w:pPr>
          </w:p>
        </w:tc>
        <w:tc>
          <w:tcPr>
            <w:tcW w:w="8400" w:type="dxa"/>
            <w:vAlign w:val="bottom"/>
            <w:gridSpan w:val="35"/>
            <w:shd w:val="clear" w:color="auto" w:fill="CCEEFF"/>
          </w:tcPr>
          <w:p>
            <w:pPr>
              <w:spacing w:after="0"/>
              <w:rPr>
                <w:rFonts w:ascii="Arial" w:cs="Arial" w:eastAsia="Arial" w:hAnsi="Arial"/>
                <w:sz w:val="16"/>
                <w:szCs w:val="16"/>
                <w:color w:val="0000EE"/>
              </w:rPr>
            </w:pPr>
            <w:hyperlink w:anchor="page94">
              <w:r>
                <w:rPr>
                  <w:rFonts w:ascii="Arial" w:cs="Arial" w:eastAsia="Arial" w:hAnsi="Arial"/>
                  <w:sz w:val="16"/>
                  <w:szCs w:val="16"/>
                  <w:color w:val="0000EE"/>
                </w:rPr>
                <w:t>Promissory Note</w:t>
              </w:r>
            </w:hyperlink>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rFonts w:ascii="Arial" w:cs="Arial" w:eastAsia="Arial" w:hAnsi="Arial"/>
                <w:sz w:val="16"/>
                <w:szCs w:val="16"/>
                <w:color w:val="0000EE"/>
                <w:w w:val="88"/>
              </w:rPr>
            </w:pPr>
            <w:hyperlink w:anchor="page94">
              <w:r>
                <w:rPr>
                  <w:rFonts w:ascii="Arial" w:cs="Arial" w:eastAsia="Arial" w:hAnsi="Arial"/>
                  <w:sz w:val="16"/>
                  <w:szCs w:val="16"/>
                  <w:color w:val="0000EE"/>
                  <w:w w:val="88"/>
                </w:rPr>
                <w:t>A-9</w:t>
              </w:r>
            </w:hyperlink>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29"/>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gridSpan w:val="3"/>
          </w:tcPr>
          <w:p>
            <w:pPr>
              <w:spacing w:after="0"/>
              <w:rPr>
                <w:rFonts w:ascii="Arial" w:cs="Arial" w:eastAsia="Arial" w:hAnsi="Arial"/>
                <w:sz w:val="16"/>
                <w:szCs w:val="16"/>
                <w:color w:val="0000EE"/>
                <w:w w:val="91"/>
              </w:rPr>
            </w:pPr>
            <w:hyperlink w:anchor="page94">
              <w:r>
                <w:rPr>
                  <w:rFonts w:ascii="Arial" w:cs="Arial" w:eastAsia="Arial" w:hAnsi="Arial"/>
                  <w:sz w:val="16"/>
                  <w:szCs w:val="16"/>
                  <w:color w:val="0000EE"/>
                  <w:w w:val="91"/>
                </w:rPr>
                <w:t>(h)</w:t>
              </w:r>
            </w:hyperlink>
          </w:p>
        </w:tc>
        <w:tc>
          <w:tcPr>
            <w:tcW w:w="240" w:type="dxa"/>
            <w:vAlign w:val="bottom"/>
          </w:tcPr>
          <w:p>
            <w:pPr>
              <w:spacing w:after="0"/>
              <w:rPr>
                <w:sz w:val="19"/>
                <w:szCs w:val="19"/>
                <w:color w:val="auto"/>
              </w:rPr>
            </w:pPr>
          </w:p>
        </w:tc>
        <w:tc>
          <w:tcPr>
            <w:tcW w:w="8400" w:type="dxa"/>
            <w:vAlign w:val="bottom"/>
            <w:gridSpan w:val="35"/>
          </w:tcPr>
          <w:p>
            <w:pPr>
              <w:spacing w:after="0"/>
              <w:rPr>
                <w:rFonts w:ascii="Arial" w:cs="Arial" w:eastAsia="Arial" w:hAnsi="Arial"/>
                <w:sz w:val="16"/>
                <w:szCs w:val="16"/>
                <w:color w:val="0000EE"/>
              </w:rPr>
            </w:pPr>
            <w:hyperlink w:anchor="page94">
              <w:r>
                <w:rPr>
                  <w:rFonts w:ascii="Arial" w:cs="Arial" w:eastAsia="Arial" w:hAnsi="Arial"/>
                  <w:sz w:val="16"/>
                  <w:szCs w:val="16"/>
                  <w:color w:val="0000EE"/>
                </w:rPr>
                <w:t>Other Forms of Payment</w:t>
              </w:r>
            </w:hyperlink>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3"/>
          </w:tcPr>
          <w:p>
            <w:pPr>
              <w:spacing w:after="0"/>
              <w:rPr>
                <w:rFonts w:ascii="Arial" w:cs="Arial" w:eastAsia="Arial" w:hAnsi="Arial"/>
                <w:sz w:val="16"/>
                <w:szCs w:val="16"/>
                <w:color w:val="0000EE"/>
              </w:rPr>
            </w:pPr>
            <w:hyperlink w:anchor="page94">
              <w:r>
                <w:rPr>
                  <w:rFonts w:ascii="Arial" w:cs="Arial" w:eastAsia="Arial" w:hAnsi="Arial"/>
                  <w:sz w:val="16"/>
                  <w:szCs w:val="16"/>
                  <w:color w:val="0000EE"/>
                </w:rPr>
                <w:t>A-9</w:t>
              </w:r>
            </w:hyperlink>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29"/>
        </w:trPr>
        <w:tc>
          <w:tcPr>
            <w:tcW w:w="66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gridSpan w:val="3"/>
            <w:shd w:val="clear" w:color="auto" w:fill="CCEEFF"/>
          </w:tcPr>
          <w:p>
            <w:pPr>
              <w:spacing w:after="0"/>
              <w:rPr>
                <w:rFonts w:ascii="Arial" w:cs="Arial" w:eastAsia="Arial" w:hAnsi="Arial"/>
                <w:sz w:val="16"/>
                <w:szCs w:val="16"/>
                <w:color w:val="0000EE"/>
              </w:rPr>
            </w:pPr>
            <w:hyperlink w:anchor="page94">
              <w:r>
                <w:rPr>
                  <w:rFonts w:ascii="Arial" w:cs="Arial" w:eastAsia="Arial" w:hAnsi="Arial"/>
                  <w:sz w:val="16"/>
                  <w:szCs w:val="16"/>
                  <w:color w:val="0000EE"/>
                </w:rPr>
                <w:t>(i)</w:t>
              </w:r>
            </w:hyperlink>
          </w:p>
        </w:tc>
        <w:tc>
          <w:tcPr>
            <w:tcW w:w="240" w:type="dxa"/>
            <w:vAlign w:val="bottom"/>
            <w:shd w:val="clear" w:color="auto" w:fill="CCEEFF"/>
          </w:tcPr>
          <w:p>
            <w:pPr>
              <w:spacing w:after="0"/>
              <w:rPr>
                <w:sz w:val="19"/>
                <w:szCs w:val="19"/>
                <w:color w:val="auto"/>
              </w:rPr>
            </w:pPr>
          </w:p>
        </w:tc>
        <w:tc>
          <w:tcPr>
            <w:tcW w:w="8400" w:type="dxa"/>
            <w:vAlign w:val="bottom"/>
            <w:gridSpan w:val="35"/>
            <w:shd w:val="clear" w:color="auto" w:fill="CCEEFF"/>
          </w:tcPr>
          <w:p>
            <w:pPr>
              <w:spacing w:after="0"/>
              <w:rPr>
                <w:rFonts w:ascii="Arial" w:cs="Arial" w:eastAsia="Arial" w:hAnsi="Arial"/>
                <w:sz w:val="16"/>
                <w:szCs w:val="16"/>
                <w:color w:val="0000EE"/>
              </w:rPr>
            </w:pPr>
            <w:hyperlink w:anchor="page94">
              <w:r>
                <w:rPr>
                  <w:rFonts w:ascii="Arial" w:cs="Arial" w:eastAsia="Arial" w:hAnsi="Arial"/>
                  <w:sz w:val="16"/>
                  <w:szCs w:val="16"/>
                  <w:color w:val="0000EE"/>
                </w:rPr>
                <w:t>Limitations under Applicable Law</w:t>
              </w:r>
            </w:hyperlink>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rFonts w:ascii="Arial" w:cs="Arial" w:eastAsia="Arial" w:hAnsi="Arial"/>
                <w:sz w:val="16"/>
                <w:szCs w:val="16"/>
                <w:color w:val="0000EE"/>
                <w:w w:val="88"/>
              </w:rPr>
            </w:pPr>
            <w:hyperlink w:anchor="page94">
              <w:r>
                <w:rPr>
                  <w:rFonts w:ascii="Arial" w:cs="Arial" w:eastAsia="Arial" w:hAnsi="Arial"/>
                  <w:sz w:val="16"/>
                  <w:szCs w:val="16"/>
                  <w:color w:val="0000EE"/>
                  <w:w w:val="88"/>
                </w:rPr>
                <w:t>A-9</w:t>
              </w:r>
            </w:hyperlink>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29"/>
        </w:trPr>
        <w:tc>
          <w:tcPr>
            <w:tcW w:w="660" w:type="dxa"/>
            <w:vAlign w:val="bottom"/>
          </w:tcPr>
          <w:p>
            <w:pPr>
              <w:spacing w:after="0"/>
              <w:rPr>
                <w:sz w:val="19"/>
                <w:szCs w:val="19"/>
                <w:color w:val="auto"/>
              </w:rPr>
            </w:pPr>
          </w:p>
        </w:tc>
        <w:tc>
          <w:tcPr>
            <w:tcW w:w="9000" w:type="dxa"/>
            <w:vAlign w:val="bottom"/>
            <w:gridSpan w:val="40"/>
          </w:tcPr>
          <w:p>
            <w:pPr>
              <w:spacing w:after="0"/>
              <w:rPr>
                <w:rFonts w:ascii="Arial" w:cs="Arial" w:eastAsia="Arial" w:hAnsi="Arial"/>
                <w:sz w:val="16"/>
                <w:szCs w:val="16"/>
                <w:b w:val="1"/>
                <w:bCs w:val="1"/>
                <w:color w:val="0000EE"/>
              </w:rPr>
            </w:pPr>
            <w:hyperlink w:anchor="page94">
              <w:r>
                <w:rPr>
                  <w:rFonts w:ascii="Arial" w:cs="Arial" w:eastAsia="Arial" w:hAnsi="Arial"/>
                  <w:sz w:val="16"/>
                  <w:szCs w:val="16"/>
                  <w:b w:val="1"/>
                  <w:bCs w:val="1"/>
                  <w:color w:val="0000EE"/>
                </w:rPr>
                <w:t>SECTION 9.  STOCK APPRECIATION RIGHTS.</w:t>
              </w:r>
            </w:hyperlink>
          </w:p>
        </w:tc>
        <w:tc>
          <w:tcPr>
            <w:tcW w:w="40" w:type="dxa"/>
            <w:vAlign w:val="bottom"/>
          </w:tcPr>
          <w:p>
            <w:pPr>
              <w:spacing w:after="0"/>
              <w:rPr>
                <w:sz w:val="19"/>
                <w:szCs w:val="19"/>
                <w:color w:val="auto"/>
              </w:rPr>
            </w:pPr>
          </w:p>
        </w:tc>
        <w:tc>
          <w:tcPr>
            <w:tcW w:w="1020" w:type="dxa"/>
            <w:vAlign w:val="bottom"/>
            <w:gridSpan w:val="5"/>
          </w:tcPr>
          <w:p>
            <w:pPr>
              <w:ind w:left="80"/>
              <w:spacing w:after="0"/>
              <w:rPr>
                <w:rFonts w:ascii="Arial" w:cs="Arial" w:eastAsia="Arial" w:hAnsi="Arial"/>
                <w:sz w:val="16"/>
                <w:szCs w:val="16"/>
                <w:b w:val="1"/>
                <w:bCs w:val="1"/>
                <w:color w:val="0000EE"/>
              </w:rPr>
            </w:pPr>
            <w:hyperlink w:anchor="page94">
              <w:r>
                <w:rPr>
                  <w:rFonts w:ascii="Arial" w:cs="Arial" w:eastAsia="Arial" w:hAnsi="Arial"/>
                  <w:sz w:val="16"/>
                  <w:szCs w:val="16"/>
                  <w:b w:val="1"/>
                  <w:bCs w:val="1"/>
                  <w:color w:val="0000EE"/>
                </w:rPr>
                <w:t>A-9</w:t>
              </w:r>
            </w:hyperlink>
          </w:p>
        </w:tc>
      </w:tr>
      <w:tr>
        <w:trPr>
          <w:trHeight w:val="34"/>
        </w:trPr>
        <w:tc>
          <w:tcPr>
            <w:tcW w:w="660" w:type="dxa"/>
            <w:vAlign w:val="bottom"/>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63"/>
        </w:trPr>
        <w:tc>
          <w:tcPr>
            <w:tcW w:w="660" w:type="dxa"/>
            <w:vAlign w:val="bottom"/>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0000EE"/>
            </w:tcBorders>
            <w:gridSpan w:val="3"/>
            <w:shd w:val="clear" w:color="auto" w:fill="CCEEFF"/>
          </w:tcPr>
          <w:p>
            <w:pPr>
              <w:spacing w:after="0"/>
              <w:rPr>
                <w:rFonts w:ascii="Arial" w:cs="Arial" w:eastAsia="Arial" w:hAnsi="Arial"/>
                <w:sz w:val="16"/>
                <w:szCs w:val="16"/>
                <w:color w:val="0000EE"/>
                <w:w w:val="91"/>
              </w:rPr>
            </w:pPr>
            <w:hyperlink w:anchor="page94">
              <w:r>
                <w:rPr>
                  <w:rFonts w:ascii="Arial" w:cs="Arial" w:eastAsia="Arial" w:hAnsi="Arial"/>
                  <w:sz w:val="16"/>
                  <w:szCs w:val="16"/>
                  <w:color w:val="0000EE"/>
                  <w:w w:val="91"/>
                </w:rPr>
                <w:t>(a)</w:t>
              </w:r>
            </w:hyperlink>
          </w:p>
        </w:tc>
        <w:tc>
          <w:tcPr>
            <w:tcW w:w="2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0000EE"/>
            </w:tcBorders>
            <w:gridSpan w:val="15"/>
            <w:shd w:val="clear" w:color="auto" w:fill="CCEEFF"/>
          </w:tcPr>
          <w:p>
            <w:pPr>
              <w:spacing w:after="0"/>
              <w:rPr>
                <w:rFonts w:ascii="Arial" w:cs="Arial" w:eastAsia="Arial" w:hAnsi="Arial"/>
                <w:sz w:val="16"/>
                <w:szCs w:val="16"/>
                <w:color w:val="0000EE"/>
              </w:rPr>
            </w:pPr>
            <w:hyperlink w:anchor="page94">
              <w:r>
                <w:rPr>
                  <w:rFonts w:ascii="Arial" w:cs="Arial" w:eastAsia="Arial" w:hAnsi="Arial"/>
                  <w:sz w:val="16"/>
                  <w:szCs w:val="16"/>
                  <w:color w:val="0000EE"/>
                </w:rPr>
                <w:t>SAR Award Agreement</w:t>
              </w:r>
            </w:hyperlink>
          </w:p>
        </w:tc>
        <w:tc>
          <w:tcPr>
            <w:tcW w:w="6720" w:type="dxa"/>
            <w:vAlign w:val="bottom"/>
            <w:tcBorders>
              <w:bottom w:val="single" w:sz="8" w:color="CCEEFF"/>
            </w:tcBorders>
            <w:gridSpan w:val="20"/>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0000EE"/>
            </w:tcBorders>
            <w:shd w:val="clear" w:color="auto" w:fill="CCEEFF"/>
          </w:tcPr>
          <w:p>
            <w:pPr>
              <w:spacing w:after="0"/>
              <w:rPr>
                <w:rFonts w:ascii="Arial" w:cs="Arial" w:eastAsia="Arial" w:hAnsi="Arial"/>
                <w:sz w:val="16"/>
                <w:szCs w:val="16"/>
                <w:color w:val="0000EE"/>
                <w:w w:val="88"/>
              </w:rPr>
            </w:pPr>
            <w:hyperlink w:anchor="page94">
              <w:r>
                <w:rPr>
                  <w:rFonts w:ascii="Arial" w:cs="Arial" w:eastAsia="Arial" w:hAnsi="Arial"/>
                  <w:sz w:val="16"/>
                  <w:szCs w:val="16"/>
                  <w:color w:val="0000EE"/>
                  <w:w w:val="88"/>
                </w:rPr>
                <w:t>A-9</w:t>
              </w:r>
            </w:hyperlink>
          </w:p>
        </w:tc>
        <w:tc>
          <w:tcPr>
            <w:tcW w:w="20" w:type="dxa"/>
            <w:vAlign w:val="bottom"/>
            <w:tcBorders>
              <w:bottom w:val="single" w:sz="8" w:color="0000EE"/>
            </w:tcBorders>
          </w:tcPr>
          <w:p>
            <w:pPr>
              <w:spacing w:after="0"/>
              <w:rPr>
                <w:sz w:val="22"/>
                <w:szCs w:val="22"/>
                <w:color w:val="auto"/>
              </w:rPr>
            </w:pPr>
          </w:p>
        </w:tc>
        <w:tc>
          <w:tcPr>
            <w:tcW w:w="660" w:type="dxa"/>
            <w:vAlign w:val="bottom"/>
          </w:tcPr>
          <w:p>
            <w:pPr>
              <w:spacing w:after="0"/>
              <w:rPr>
                <w:sz w:val="22"/>
                <w:szCs w:val="22"/>
                <w:color w:val="auto"/>
              </w:rPr>
            </w:pPr>
          </w:p>
        </w:tc>
      </w:tr>
      <w:tr>
        <w:trPr>
          <w:trHeight w:val="230"/>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gridSpan w:val="3"/>
          </w:tcPr>
          <w:p>
            <w:pPr>
              <w:spacing w:after="0"/>
              <w:rPr>
                <w:rFonts w:ascii="Arial" w:cs="Arial" w:eastAsia="Arial" w:hAnsi="Arial"/>
                <w:sz w:val="16"/>
                <w:szCs w:val="16"/>
                <w:color w:val="0000EE"/>
                <w:w w:val="91"/>
              </w:rPr>
            </w:pPr>
            <w:hyperlink w:anchor="page94">
              <w:r>
                <w:rPr>
                  <w:rFonts w:ascii="Arial" w:cs="Arial" w:eastAsia="Arial" w:hAnsi="Arial"/>
                  <w:sz w:val="16"/>
                  <w:szCs w:val="16"/>
                  <w:color w:val="0000EE"/>
                  <w:w w:val="91"/>
                </w:rPr>
                <w:t>(b)</w:t>
              </w:r>
            </w:hyperlink>
          </w:p>
        </w:tc>
        <w:tc>
          <w:tcPr>
            <w:tcW w:w="240" w:type="dxa"/>
            <w:vAlign w:val="bottom"/>
          </w:tcPr>
          <w:p>
            <w:pPr>
              <w:spacing w:after="0"/>
              <w:rPr>
                <w:sz w:val="19"/>
                <w:szCs w:val="19"/>
                <w:color w:val="auto"/>
              </w:rPr>
            </w:pPr>
          </w:p>
        </w:tc>
        <w:tc>
          <w:tcPr>
            <w:tcW w:w="8400" w:type="dxa"/>
            <w:vAlign w:val="bottom"/>
            <w:gridSpan w:val="35"/>
          </w:tcPr>
          <w:p>
            <w:pPr>
              <w:spacing w:after="0"/>
              <w:rPr>
                <w:rFonts w:ascii="Arial" w:cs="Arial" w:eastAsia="Arial" w:hAnsi="Arial"/>
                <w:sz w:val="16"/>
                <w:szCs w:val="16"/>
                <w:color w:val="0000EE"/>
              </w:rPr>
            </w:pPr>
            <w:hyperlink w:anchor="page94">
              <w:r>
                <w:rPr>
                  <w:rFonts w:ascii="Arial" w:cs="Arial" w:eastAsia="Arial" w:hAnsi="Arial"/>
                  <w:sz w:val="16"/>
                  <w:szCs w:val="16"/>
                  <w:color w:val="0000EE"/>
                </w:rPr>
                <w:t>Number of Shares</w:t>
              </w:r>
            </w:hyperlink>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3"/>
          </w:tcPr>
          <w:p>
            <w:pPr>
              <w:spacing w:after="0"/>
              <w:rPr>
                <w:rFonts w:ascii="Arial" w:cs="Arial" w:eastAsia="Arial" w:hAnsi="Arial"/>
                <w:sz w:val="16"/>
                <w:szCs w:val="16"/>
                <w:color w:val="0000EE"/>
              </w:rPr>
            </w:pPr>
            <w:hyperlink w:anchor="page94">
              <w:r>
                <w:rPr>
                  <w:rFonts w:ascii="Arial" w:cs="Arial" w:eastAsia="Arial" w:hAnsi="Arial"/>
                  <w:sz w:val="16"/>
                  <w:szCs w:val="16"/>
                  <w:color w:val="0000EE"/>
                </w:rPr>
                <w:t>A-9</w:t>
              </w:r>
            </w:hyperlink>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29"/>
        </w:trPr>
        <w:tc>
          <w:tcPr>
            <w:tcW w:w="66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gridSpan w:val="3"/>
            <w:shd w:val="clear" w:color="auto" w:fill="CCEEFF"/>
          </w:tcPr>
          <w:p>
            <w:pPr>
              <w:spacing w:after="0"/>
              <w:rPr>
                <w:rFonts w:ascii="Arial" w:cs="Arial" w:eastAsia="Arial" w:hAnsi="Arial"/>
                <w:sz w:val="16"/>
                <w:szCs w:val="16"/>
                <w:color w:val="0000EE"/>
                <w:w w:val="96"/>
              </w:rPr>
            </w:pPr>
            <w:hyperlink w:anchor="page94">
              <w:r>
                <w:rPr>
                  <w:rFonts w:ascii="Arial" w:cs="Arial" w:eastAsia="Arial" w:hAnsi="Arial"/>
                  <w:sz w:val="16"/>
                  <w:szCs w:val="16"/>
                  <w:color w:val="0000EE"/>
                  <w:w w:val="96"/>
                </w:rPr>
                <w:t>(c)</w:t>
              </w:r>
            </w:hyperlink>
          </w:p>
        </w:tc>
        <w:tc>
          <w:tcPr>
            <w:tcW w:w="240" w:type="dxa"/>
            <w:vAlign w:val="bottom"/>
            <w:shd w:val="clear" w:color="auto" w:fill="CCEEFF"/>
          </w:tcPr>
          <w:p>
            <w:pPr>
              <w:spacing w:after="0"/>
              <w:rPr>
                <w:sz w:val="19"/>
                <w:szCs w:val="19"/>
                <w:color w:val="auto"/>
              </w:rPr>
            </w:pPr>
          </w:p>
        </w:tc>
        <w:tc>
          <w:tcPr>
            <w:tcW w:w="8400" w:type="dxa"/>
            <w:vAlign w:val="bottom"/>
            <w:gridSpan w:val="35"/>
            <w:shd w:val="clear" w:color="auto" w:fill="CCEEFF"/>
          </w:tcPr>
          <w:p>
            <w:pPr>
              <w:spacing w:after="0"/>
              <w:rPr>
                <w:rFonts w:ascii="Arial" w:cs="Arial" w:eastAsia="Arial" w:hAnsi="Arial"/>
                <w:sz w:val="16"/>
                <w:szCs w:val="16"/>
                <w:color w:val="0000EE"/>
              </w:rPr>
            </w:pPr>
            <w:hyperlink w:anchor="page94">
              <w:r>
                <w:rPr>
                  <w:rFonts w:ascii="Arial" w:cs="Arial" w:eastAsia="Arial" w:hAnsi="Arial"/>
                  <w:sz w:val="16"/>
                  <w:szCs w:val="16"/>
                  <w:color w:val="0000EE"/>
                </w:rPr>
                <w:t>Exercise Price</w:t>
              </w:r>
            </w:hyperlink>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rFonts w:ascii="Arial" w:cs="Arial" w:eastAsia="Arial" w:hAnsi="Arial"/>
                <w:sz w:val="16"/>
                <w:szCs w:val="16"/>
                <w:color w:val="0000EE"/>
                <w:w w:val="88"/>
              </w:rPr>
            </w:pPr>
            <w:hyperlink w:anchor="page94">
              <w:r>
                <w:rPr>
                  <w:rFonts w:ascii="Arial" w:cs="Arial" w:eastAsia="Arial" w:hAnsi="Arial"/>
                  <w:sz w:val="16"/>
                  <w:szCs w:val="16"/>
                  <w:color w:val="0000EE"/>
                  <w:w w:val="88"/>
                </w:rPr>
                <w:t>A-9</w:t>
              </w:r>
            </w:hyperlink>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29"/>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gridSpan w:val="3"/>
          </w:tcPr>
          <w:p>
            <w:pPr>
              <w:spacing w:after="0"/>
              <w:rPr>
                <w:rFonts w:ascii="Arial" w:cs="Arial" w:eastAsia="Arial" w:hAnsi="Arial"/>
                <w:sz w:val="16"/>
                <w:szCs w:val="16"/>
                <w:color w:val="0000EE"/>
                <w:w w:val="91"/>
              </w:rPr>
            </w:pPr>
            <w:hyperlink w:anchor="page94">
              <w:r>
                <w:rPr>
                  <w:rFonts w:ascii="Arial" w:cs="Arial" w:eastAsia="Arial" w:hAnsi="Arial"/>
                  <w:sz w:val="16"/>
                  <w:szCs w:val="16"/>
                  <w:color w:val="0000EE"/>
                  <w:w w:val="91"/>
                </w:rPr>
                <w:t>(d)</w:t>
              </w:r>
            </w:hyperlink>
          </w:p>
        </w:tc>
        <w:tc>
          <w:tcPr>
            <w:tcW w:w="240" w:type="dxa"/>
            <w:vAlign w:val="bottom"/>
          </w:tcPr>
          <w:p>
            <w:pPr>
              <w:spacing w:after="0"/>
              <w:rPr>
                <w:sz w:val="19"/>
                <w:szCs w:val="19"/>
                <w:color w:val="auto"/>
              </w:rPr>
            </w:pPr>
          </w:p>
        </w:tc>
        <w:tc>
          <w:tcPr>
            <w:tcW w:w="8400" w:type="dxa"/>
            <w:vAlign w:val="bottom"/>
            <w:gridSpan w:val="35"/>
          </w:tcPr>
          <w:p>
            <w:pPr>
              <w:spacing w:after="0"/>
              <w:rPr>
                <w:rFonts w:ascii="Arial" w:cs="Arial" w:eastAsia="Arial" w:hAnsi="Arial"/>
                <w:sz w:val="16"/>
                <w:szCs w:val="16"/>
                <w:color w:val="0000EE"/>
              </w:rPr>
            </w:pPr>
            <w:hyperlink w:anchor="page94">
              <w:r>
                <w:rPr>
                  <w:rFonts w:ascii="Arial" w:cs="Arial" w:eastAsia="Arial" w:hAnsi="Arial"/>
                  <w:sz w:val="16"/>
                  <w:szCs w:val="16"/>
                  <w:color w:val="0000EE"/>
                </w:rPr>
                <w:t>Exercisability and Term</w:t>
              </w:r>
            </w:hyperlink>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3"/>
          </w:tcPr>
          <w:p>
            <w:pPr>
              <w:spacing w:after="0"/>
              <w:rPr>
                <w:rFonts w:ascii="Arial" w:cs="Arial" w:eastAsia="Arial" w:hAnsi="Arial"/>
                <w:sz w:val="16"/>
                <w:szCs w:val="16"/>
                <w:color w:val="0000EE"/>
              </w:rPr>
            </w:pPr>
            <w:hyperlink w:anchor="page94">
              <w:r>
                <w:rPr>
                  <w:rFonts w:ascii="Arial" w:cs="Arial" w:eastAsia="Arial" w:hAnsi="Arial"/>
                  <w:sz w:val="16"/>
                  <w:szCs w:val="16"/>
                  <w:color w:val="0000EE"/>
                </w:rPr>
                <w:t>A-9</w:t>
              </w:r>
            </w:hyperlink>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29"/>
        </w:trPr>
        <w:tc>
          <w:tcPr>
            <w:tcW w:w="66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gridSpan w:val="3"/>
            <w:shd w:val="clear" w:color="auto" w:fill="CCEEFF"/>
          </w:tcPr>
          <w:p>
            <w:pPr>
              <w:spacing w:after="0"/>
              <w:rPr>
                <w:rFonts w:ascii="Arial" w:cs="Arial" w:eastAsia="Arial" w:hAnsi="Arial"/>
                <w:sz w:val="16"/>
                <w:szCs w:val="16"/>
                <w:color w:val="0000EE"/>
                <w:w w:val="91"/>
              </w:rPr>
            </w:pPr>
            <w:hyperlink w:anchor="page94">
              <w:r>
                <w:rPr>
                  <w:rFonts w:ascii="Arial" w:cs="Arial" w:eastAsia="Arial" w:hAnsi="Arial"/>
                  <w:sz w:val="16"/>
                  <w:szCs w:val="16"/>
                  <w:color w:val="0000EE"/>
                  <w:w w:val="91"/>
                </w:rPr>
                <w:t>(e)</w:t>
              </w:r>
            </w:hyperlink>
          </w:p>
        </w:tc>
        <w:tc>
          <w:tcPr>
            <w:tcW w:w="240" w:type="dxa"/>
            <w:vAlign w:val="bottom"/>
            <w:shd w:val="clear" w:color="auto" w:fill="CCEEFF"/>
          </w:tcPr>
          <w:p>
            <w:pPr>
              <w:spacing w:after="0"/>
              <w:rPr>
                <w:sz w:val="19"/>
                <w:szCs w:val="19"/>
                <w:color w:val="auto"/>
              </w:rPr>
            </w:pPr>
          </w:p>
        </w:tc>
        <w:tc>
          <w:tcPr>
            <w:tcW w:w="8400" w:type="dxa"/>
            <w:vAlign w:val="bottom"/>
            <w:gridSpan w:val="35"/>
            <w:shd w:val="clear" w:color="auto" w:fill="CCEEFF"/>
          </w:tcPr>
          <w:p>
            <w:pPr>
              <w:spacing w:after="0"/>
              <w:rPr>
                <w:rFonts w:ascii="Arial" w:cs="Arial" w:eastAsia="Arial" w:hAnsi="Arial"/>
                <w:sz w:val="16"/>
                <w:szCs w:val="16"/>
                <w:color w:val="0000EE"/>
              </w:rPr>
            </w:pPr>
            <w:hyperlink w:anchor="page94">
              <w:r>
                <w:rPr>
                  <w:rFonts w:ascii="Arial" w:cs="Arial" w:eastAsia="Arial" w:hAnsi="Arial"/>
                  <w:sz w:val="16"/>
                  <w:szCs w:val="16"/>
                  <w:color w:val="0000EE"/>
                </w:rPr>
                <w:t>Exercise of SARs</w:t>
              </w:r>
            </w:hyperlink>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rFonts w:ascii="Arial" w:cs="Arial" w:eastAsia="Arial" w:hAnsi="Arial"/>
                <w:sz w:val="16"/>
                <w:szCs w:val="16"/>
                <w:color w:val="0000EE"/>
                <w:w w:val="88"/>
              </w:rPr>
            </w:pPr>
            <w:hyperlink w:anchor="page94">
              <w:r>
                <w:rPr>
                  <w:rFonts w:ascii="Arial" w:cs="Arial" w:eastAsia="Arial" w:hAnsi="Arial"/>
                  <w:sz w:val="16"/>
                  <w:szCs w:val="16"/>
                  <w:color w:val="0000EE"/>
                  <w:w w:val="88"/>
                </w:rPr>
                <w:t>A-9</w:t>
              </w:r>
            </w:hyperlink>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29"/>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gridSpan w:val="3"/>
          </w:tcPr>
          <w:p>
            <w:pPr>
              <w:spacing w:after="0"/>
              <w:rPr>
                <w:rFonts w:ascii="Arial" w:cs="Arial" w:eastAsia="Arial" w:hAnsi="Arial"/>
                <w:sz w:val="16"/>
                <w:szCs w:val="16"/>
                <w:color w:val="0000EE"/>
              </w:rPr>
            </w:pPr>
            <w:hyperlink w:anchor="page95">
              <w:r>
                <w:rPr>
                  <w:rFonts w:ascii="Arial" w:cs="Arial" w:eastAsia="Arial" w:hAnsi="Arial"/>
                  <w:sz w:val="16"/>
                  <w:szCs w:val="16"/>
                  <w:color w:val="0000EE"/>
                </w:rPr>
                <w:t>(f)</w:t>
              </w:r>
            </w:hyperlink>
          </w:p>
        </w:tc>
        <w:tc>
          <w:tcPr>
            <w:tcW w:w="240" w:type="dxa"/>
            <w:vAlign w:val="bottom"/>
          </w:tcPr>
          <w:p>
            <w:pPr>
              <w:spacing w:after="0"/>
              <w:rPr>
                <w:sz w:val="19"/>
                <w:szCs w:val="19"/>
                <w:color w:val="auto"/>
              </w:rPr>
            </w:pPr>
          </w:p>
        </w:tc>
        <w:tc>
          <w:tcPr>
            <w:tcW w:w="8400" w:type="dxa"/>
            <w:vAlign w:val="bottom"/>
            <w:gridSpan w:val="35"/>
          </w:tcPr>
          <w:p>
            <w:pPr>
              <w:spacing w:after="0"/>
              <w:rPr>
                <w:rFonts w:ascii="Arial" w:cs="Arial" w:eastAsia="Arial" w:hAnsi="Arial"/>
                <w:sz w:val="16"/>
                <w:szCs w:val="16"/>
                <w:color w:val="0000EE"/>
              </w:rPr>
            </w:pPr>
            <w:hyperlink w:anchor="page95">
              <w:r>
                <w:rPr>
                  <w:rFonts w:ascii="Arial" w:cs="Arial" w:eastAsia="Arial" w:hAnsi="Arial"/>
                  <w:sz w:val="16"/>
                  <w:szCs w:val="16"/>
                  <w:color w:val="0000EE"/>
                </w:rPr>
                <w:t>Modification, Extension or Assumption of SARs</w:t>
              </w:r>
            </w:hyperlink>
          </w:p>
        </w:tc>
        <w:tc>
          <w:tcPr>
            <w:tcW w:w="40" w:type="dxa"/>
            <w:vAlign w:val="bottom"/>
          </w:tcPr>
          <w:p>
            <w:pPr>
              <w:spacing w:after="0"/>
              <w:rPr>
                <w:sz w:val="19"/>
                <w:szCs w:val="19"/>
                <w:color w:val="auto"/>
              </w:rPr>
            </w:pPr>
          </w:p>
        </w:tc>
        <w:tc>
          <w:tcPr>
            <w:tcW w:w="1020" w:type="dxa"/>
            <w:vAlign w:val="bottom"/>
            <w:gridSpan w:val="5"/>
          </w:tcPr>
          <w:p>
            <w:pPr>
              <w:spacing w:after="0"/>
              <w:rPr>
                <w:rFonts w:ascii="Arial" w:cs="Arial" w:eastAsia="Arial" w:hAnsi="Arial"/>
                <w:sz w:val="16"/>
                <w:szCs w:val="16"/>
                <w:color w:val="0000EE"/>
              </w:rPr>
            </w:pPr>
            <w:hyperlink w:anchor="page95">
              <w:r>
                <w:rPr>
                  <w:rFonts w:ascii="Arial" w:cs="Arial" w:eastAsia="Arial" w:hAnsi="Arial"/>
                  <w:sz w:val="16"/>
                  <w:szCs w:val="16"/>
                  <w:color w:val="0000EE"/>
                </w:rPr>
                <w:t>A-10</w:t>
              </w:r>
            </w:hyperlink>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30"/>
        </w:trPr>
        <w:tc>
          <w:tcPr>
            <w:tcW w:w="66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gridSpan w:val="3"/>
            <w:shd w:val="clear" w:color="auto" w:fill="CCEEFF"/>
          </w:tcPr>
          <w:p>
            <w:pPr>
              <w:spacing w:after="0"/>
              <w:rPr>
                <w:rFonts w:ascii="Arial" w:cs="Arial" w:eastAsia="Arial" w:hAnsi="Arial"/>
                <w:sz w:val="16"/>
                <w:szCs w:val="16"/>
                <w:color w:val="0000EE"/>
                <w:w w:val="91"/>
              </w:rPr>
            </w:pPr>
            <w:hyperlink w:anchor="page95">
              <w:r>
                <w:rPr>
                  <w:rFonts w:ascii="Arial" w:cs="Arial" w:eastAsia="Arial" w:hAnsi="Arial"/>
                  <w:sz w:val="16"/>
                  <w:szCs w:val="16"/>
                  <w:color w:val="0000EE"/>
                  <w:w w:val="91"/>
                </w:rPr>
                <w:t>(g)</w:t>
              </w:r>
            </w:hyperlink>
          </w:p>
        </w:tc>
        <w:tc>
          <w:tcPr>
            <w:tcW w:w="240" w:type="dxa"/>
            <w:vAlign w:val="bottom"/>
            <w:shd w:val="clear" w:color="auto" w:fill="CCEEFF"/>
          </w:tcPr>
          <w:p>
            <w:pPr>
              <w:spacing w:after="0"/>
              <w:rPr>
                <w:sz w:val="19"/>
                <w:szCs w:val="19"/>
                <w:color w:val="auto"/>
              </w:rPr>
            </w:pPr>
          </w:p>
        </w:tc>
        <w:tc>
          <w:tcPr>
            <w:tcW w:w="8400" w:type="dxa"/>
            <w:vAlign w:val="bottom"/>
            <w:gridSpan w:val="35"/>
            <w:shd w:val="clear" w:color="auto" w:fill="CCEEFF"/>
          </w:tcPr>
          <w:p>
            <w:pPr>
              <w:spacing w:after="0"/>
              <w:rPr>
                <w:rFonts w:ascii="Arial" w:cs="Arial" w:eastAsia="Arial" w:hAnsi="Arial"/>
                <w:sz w:val="16"/>
                <w:szCs w:val="16"/>
                <w:color w:val="0000EE"/>
              </w:rPr>
            </w:pPr>
            <w:hyperlink w:anchor="page95">
              <w:r>
                <w:rPr>
                  <w:rFonts w:ascii="Arial" w:cs="Arial" w:eastAsia="Arial" w:hAnsi="Arial"/>
                  <w:sz w:val="16"/>
                  <w:szCs w:val="16"/>
                  <w:color w:val="0000EE"/>
                </w:rPr>
                <w:t>Buyout Provisions</w:t>
              </w:r>
            </w:hyperlink>
          </w:p>
        </w:tc>
        <w:tc>
          <w:tcPr>
            <w:tcW w:w="40" w:type="dxa"/>
            <w:vAlign w:val="bottom"/>
            <w:shd w:val="clear" w:color="auto" w:fill="CCEEFF"/>
          </w:tcPr>
          <w:p>
            <w:pPr>
              <w:spacing w:after="0"/>
              <w:rPr>
                <w:sz w:val="19"/>
                <w:szCs w:val="19"/>
                <w:color w:val="auto"/>
              </w:rPr>
            </w:pPr>
          </w:p>
        </w:tc>
        <w:tc>
          <w:tcPr>
            <w:tcW w:w="340" w:type="dxa"/>
            <w:vAlign w:val="bottom"/>
            <w:gridSpan w:val="3"/>
            <w:shd w:val="clear" w:color="auto" w:fill="CCEEFF"/>
          </w:tcPr>
          <w:p>
            <w:pPr>
              <w:spacing w:after="0"/>
              <w:rPr>
                <w:rFonts w:ascii="Arial" w:cs="Arial" w:eastAsia="Arial" w:hAnsi="Arial"/>
                <w:sz w:val="16"/>
                <w:szCs w:val="16"/>
                <w:color w:val="0000EE"/>
                <w:w w:val="94"/>
              </w:rPr>
            </w:pPr>
            <w:hyperlink w:anchor="page95">
              <w:r>
                <w:rPr>
                  <w:rFonts w:ascii="Arial" w:cs="Arial" w:eastAsia="Arial" w:hAnsi="Arial"/>
                  <w:sz w:val="16"/>
                  <w:szCs w:val="16"/>
                  <w:color w:val="0000EE"/>
                  <w:w w:val="94"/>
                </w:rPr>
                <w:t>A-10</w:t>
              </w:r>
            </w:hyperlink>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30"/>
        </w:trPr>
        <w:tc>
          <w:tcPr>
            <w:tcW w:w="660" w:type="dxa"/>
            <w:vAlign w:val="bottom"/>
          </w:tcPr>
          <w:p>
            <w:pPr>
              <w:spacing w:after="0"/>
              <w:rPr>
                <w:sz w:val="19"/>
                <w:szCs w:val="19"/>
                <w:color w:val="auto"/>
              </w:rPr>
            </w:pPr>
          </w:p>
        </w:tc>
        <w:tc>
          <w:tcPr>
            <w:tcW w:w="9000" w:type="dxa"/>
            <w:vAlign w:val="bottom"/>
            <w:gridSpan w:val="40"/>
          </w:tcPr>
          <w:p>
            <w:pPr>
              <w:spacing w:after="0"/>
              <w:rPr>
                <w:rFonts w:ascii="Arial" w:cs="Arial" w:eastAsia="Arial" w:hAnsi="Arial"/>
                <w:sz w:val="16"/>
                <w:szCs w:val="16"/>
                <w:b w:val="1"/>
                <w:bCs w:val="1"/>
                <w:color w:val="0000EE"/>
              </w:rPr>
            </w:pPr>
            <w:hyperlink w:anchor="page95">
              <w:r>
                <w:rPr>
                  <w:rFonts w:ascii="Arial" w:cs="Arial" w:eastAsia="Arial" w:hAnsi="Arial"/>
                  <w:sz w:val="16"/>
                  <w:szCs w:val="16"/>
                  <w:b w:val="1"/>
                  <w:bCs w:val="1"/>
                  <w:color w:val="0000EE"/>
                </w:rPr>
                <w:t>SECTION 10.  RESTRICTED STOCK UNITS.</w:t>
              </w:r>
            </w:hyperlink>
          </w:p>
        </w:tc>
        <w:tc>
          <w:tcPr>
            <w:tcW w:w="40" w:type="dxa"/>
            <w:vAlign w:val="bottom"/>
          </w:tcPr>
          <w:p>
            <w:pPr>
              <w:spacing w:after="0"/>
              <w:rPr>
                <w:sz w:val="19"/>
                <w:szCs w:val="19"/>
                <w:color w:val="auto"/>
              </w:rPr>
            </w:pPr>
          </w:p>
        </w:tc>
        <w:tc>
          <w:tcPr>
            <w:tcW w:w="1020" w:type="dxa"/>
            <w:vAlign w:val="bottom"/>
            <w:gridSpan w:val="5"/>
          </w:tcPr>
          <w:p>
            <w:pPr>
              <w:spacing w:after="0"/>
              <w:rPr>
                <w:rFonts w:ascii="Arial" w:cs="Arial" w:eastAsia="Arial" w:hAnsi="Arial"/>
                <w:sz w:val="16"/>
                <w:szCs w:val="16"/>
                <w:b w:val="1"/>
                <w:bCs w:val="1"/>
                <w:color w:val="0000EE"/>
              </w:rPr>
            </w:pPr>
            <w:hyperlink w:anchor="page95">
              <w:r>
                <w:rPr>
                  <w:rFonts w:ascii="Arial" w:cs="Arial" w:eastAsia="Arial" w:hAnsi="Arial"/>
                  <w:sz w:val="16"/>
                  <w:szCs w:val="16"/>
                  <w:b w:val="1"/>
                  <w:bCs w:val="1"/>
                  <w:color w:val="0000EE"/>
                </w:rPr>
                <w:t>A-10</w:t>
              </w:r>
            </w:hyperlink>
          </w:p>
        </w:tc>
      </w:tr>
      <w:tr>
        <w:trPr>
          <w:trHeight w:val="34"/>
        </w:trPr>
        <w:tc>
          <w:tcPr>
            <w:tcW w:w="660" w:type="dxa"/>
            <w:vAlign w:val="bottom"/>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63"/>
        </w:trPr>
        <w:tc>
          <w:tcPr>
            <w:tcW w:w="660" w:type="dxa"/>
            <w:vAlign w:val="bottom"/>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0000EE"/>
            </w:tcBorders>
            <w:gridSpan w:val="3"/>
            <w:shd w:val="clear" w:color="auto" w:fill="CCEEFF"/>
          </w:tcPr>
          <w:p>
            <w:pPr>
              <w:spacing w:after="0"/>
              <w:rPr>
                <w:rFonts w:ascii="Arial" w:cs="Arial" w:eastAsia="Arial" w:hAnsi="Arial"/>
                <w:sz w:val="16"/>
                <w:szCs w:val="16"/>
                <w:color w:val="0000EE"/>
                <w:w w:val="91"/>
              </w:rPr>
            </w:pPr>
            <w:hyperlink w:anchor="page95">
              <w:r>
                <w:rPr>
                  <w:rFonts w:ascii="Arial" w:cs="Arial" w:eastAsia="Arial" w:hAnsi="Arial"/>
                  <w:sz w:val="16"/>
                  <w:szCs w:val="16"/>
                  <w:color w:val="0000EE"/>
                  <w:w w:val="91"/>
                </w:rPr>
                <w:t>(a)</w:t>
              </w:r>
            </w:hyperlink>
          </w:p>
        </w:tc>
        <w:tc>
          <w:tcPr>
            <w:tcW w:w="240" w:type="dxa"/>
            <w:vAlign w:val="bottom"/>
            <w:tcBorders>
              <w:bottom w:val="single" w:sz="8" w:color="CCEEFF"/>
            </w:tcBorders>
            <w:shd w:val="clear" w:color="auto" w:fill="CCEEFF"/>
          </w:tcPr>
          <w:p>
            <w:pPr>
              <w:spacing w:after="0"/>
              <w:rPr>
                <w:sz w:val="22"/>
                <w:szCs w:val="22"/>
                <w:color w:val="auto"/>
              </w:rPr>
            </w:pPr>
          </w:p>
        </w:tc>
        <w:tc>
          <w:tcPr>
            <w:tcW w:w="2860" w:type="dxa"/>
            <w:vAlign w:val="bottom"/>
            <w:tcBorders>
              <w:bottom w:val="single" w:sz="8" w:color="0000EE"/>
            </w:tcBorders>
            <w:gridSpan w:val="26"/>
            <w:shd w:val="clear" w:color="auto" w:fill="CCEEFF"/>
          </w:tcPr>
          <w:p>
            <w:pPr>
              <w:spacing w:after="0"/>
              <w:rPr>
                <w:rFonts w:ascii="Arial" w:cs="Arial" w:eastAsia="Arial" w:hAnsi="Arial"/>
                <w:sz w:val="16"/>
                <w:szCs w:val="16"/>
                <w:color w:val="0000EE"/>
              </w:rPr>
            </w:pPr>
            <w:hyperlink w:anchor="page95">
              <w:r>
                <w:rPr>
                  <w:rFonts w:ascii="Arial" w:cs="Arial" w:eastAsia="Arial" w:hAnsi="Arial"/>
                  <w:sz w:val="16"/>
                  <w:szCs w:val="16"/>
                  <w:color w:val="0000EE"/>
                </w:rPr>
                <w:t>Restricted Stock Unit Award Agreement</w:t>
              </w:r>
            </w:hyperlink>
          </w:p>
        </w:tc>
        <w:tc>
          <w:tcPr>
            <w:tcW w:w="5540" w:type="dxa"/>
            <w:vAlign w:val="bottom"/>
            <w:tcBorders>
              <w:bottom w:val="single" w:sz="8" w:color="CCEEFF"/>
            </w:tcBorders>
            <w:gridSpan w:val="9"/>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0000EE"/>
            </w:tcBorders>
            <w:gridSpan w:val="3"/>
            <w:shd w:val="clear" w:color="auto" w:fill="CCEEFF"/>
          </w:tcPr>
          <w:p>
            <w:pPr>
              <w:spacing w:after="0"/>
              <w:rPr>
                <w:rFonts w:ascii="Arial" w:cs="Arial" w:eastAsia="Arial" w:hAnsi="Arial"/>
                <w:sz w:val="16"/>
                <w:szCs w:val="16"/>
                <w:color w:val="0000EE"/>
                <w:w w:val="94"/>
              </w:rPr>
            </w:pPr>
            <w:hyperlink w:anchor="page95">
              <w:r>
                <w:rPr>
                  <w:rFonts w:ascii="Arial" w:cs="Arial" w:eastAsia="Arial" w:hAnsi="Arial"/>
                  <w:sz w:val="16"/>
                  <w:szCs w:val="16"/>
                  <w:color w:val="0000EE"/>
                  <w:w w:val="94"/>
                </w:rPr>
                <w:t>A-10</w:t>
              </w:r>
            </w:hyperlink>
          </w:p>
        </w:tc>
        <w:tc>
          <w:tcPr>
            <w:tcW w:w="20" w:type="dxa"/>
            <w:vAlign w:val="bottom"/>
            <w:tcBorders>
              <w:bottom w:val="single" w:sz="8" w:color="0000EE"/>
            </w:tcBorders>
          </w:tcPr>
          <w:p>
            <w:pPr>
              <w:spacing w:after="0"/>
              <w:rPr>
                <w:sz w:val="22"/>
                <w:szCs w:val="22"/>
                <w:color w:val="auto"/>
              </w:rPr>
            </w:pPr>
          </w:p>
        </w:tc>
        <w:tc>
          <w:tcPr>
            <w:tcW w:w="660" w:type="dxa"/>
            <w:vAlign w:val="bottom"/>
          </w:tcPr>
          <w:p>
            <w:pPr>
              <w:spacing w:after="0"/>
              <w:rPr>
                <w:sz w:val="22"/>
                <w:szCs w:val="22"/>
                <w:color w:val="auto"/>
              </w:rPr>
            </w:pPr>
          </w:p>
        </w:tc>
      </w:tr>
      <w:tr>
        <w:trPr>
          <w:trHeight w:val="229"/>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gridSpan w:val="3"/>
          </w:tcPr>
          <w:p>
            <w:pPr>
              <w:spacing w:after="0"/>
              <w:rPr>
                <w:rFonts w:ascii="Arial" w:cs="Arial" w:eastAsia="Arial" w:hAnsi="Arial"/>
                <w:sz w:val="16"/>
                <w:szCs w:val="16"/>
                <w:color w:val="0000EE"/>
                <w:w w:val="91"/>
              </w:rPr>
            </w:pPr>
            <w:hyperlink w:anchor="page95">
              <w:r>
                <w:rPr>
                  <w:rFonts w:ascii="Arial" w:cs="Arial" w:eastAsia="Arial" w:hAnsi="Arial"/>
                  <w:sz w:val="16"/>
                  <w:szCs w:val="16"/>
                  <w:color w:val="0000EE"/>
                  <w:w w:val="91"/>
                </w:rPr>
                <w:t>(b)</w:t>
              </w:r>
            </w:hyperlink>
          </w:p>
        </w:tc>
        <w:tc>
          <w:tcPr>
            <w:tcW w:w="240" w:type="dxa"/>
            <w:vAlign w:val="bottom"/>
          </w:tcPr>
          <w:p>
            <w:pPr>
              <w:spacing w:after="0"/>
              <w:rPr>
                <w:sz w:val="19"/>
                <w:szCs w:val="19"/>
                <w:color w:val="auto"/>
              </w:rPr>
            </w:pPr>
          </w:p>
        </w:tc>
        <w:tc>
          <w:tcPr>
            <w:tcW w:w="8400" w:type="dxa"/>
            <w:vAlign w:val="bottom"/>
            <w:gridSpan w:val="35"/>
          </w:tcPr>
          <w:p>
            <w:pPr>
              <w:spacing w:after="0"/>
              <w:rPr>
                <w:rFonts w:ascii="Arial" w:cs="Arial" w:eastAsia="Arial" w:hAnsi="Arial"/>
                <w:sz w:val="16"/>
                <w:szCs w:val="16"/>
                <w:color w:val="0000EE"/>
              </w:rPr>
            </w:pPr>
            <w:hyperlink w:anchor="page95">
              <w:r>
                <w:rPr>
                  <w:rFonts w:ascii="Arial" w:cs="Arial" w:eastAsia="Arial" w:hAnsi="Arial"/>
                  <w:sz w:val="16"/>
                  <w:szCs w:val="16"/>
                  <w:color w:val="0000EE"/>
                </w:rPr>
                <w:t>Payment for Awards</w:t>
              </w:r>
            </w:hyperlink>
          </w:p>
        </w:tc>
        <w:tc>
          <w:tcPr>
            <w:tcW w:w="40" w:type="dxa"/>
            <w:vAlign w:val="bottom"/>
          </w:tcPr>
          <w:p>
            <w:pPr>
              <w:spacing w:after="0"/>
              <w:rPr>
                <w:sz w:val="19"/>
                <w:szCs w:val="19"/>
                <w:color w:val="auto"/>
              </w:rPr>
            </w:pPr>
          </w:p>
        </w:tc>
        <w:tc>
          <w:tcPr>
            <w:tcW w:w="1020" w:type="dxa"/>
            <w:vAlign w:val="bottom"/>
            <w:gridSpan w:val="5"/>
          </w:tcPr>
          <w:p>
            <w:pPr>
              <w:spacing w:after="0"/>
              <w:rPr>
                <w:rFonts w:ascii="Arial" w:cs="Arial" w:eastAsia="Arial" w:hAnsi="Arial"/>
                <w:sz w:val="16"/>
                <w:szCs w:val="16"/>
                <w:color w:val="0000EE"/>
              </w:rPr>
            </w:pPr>
            <w:hyperlink w:anchor="page95">
              <w:r>
                <w:rPr>
                  <w:rFonts w:ascii="Arial" w:cs="Arial" w:eastAsia="Arial" w:hAnsi="Arial"/>
                  <w:sz w:val="16"/>
                  <w:szCs w:val="16"/>
                  <w:color w:val="0000EE"/>
                </w:rPr>
                <w:t>A-10</w:t>
              </w:r>
            </w:hyperlink>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29"/>
        </w:trPr>
        <w:tc>
          <w:tcPr>
            <w:tcW w:w="66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gridSpan w:val="3"/>
            <w:shd w:val="clear" w:color="auto" w:fill="CCEEFF"/>
          </w:tcPr>
          <w:p>
            <w:pPr>
              <w:spacing w:after="0"/>
              <w:rPr>
                <w:rFonts w:ascii="Arial" w:cs="Arial" w:eastAsia="Arial" w:hAnsi="Arial"/>
                <w:sz w:val="16"/>
                <w:szCs w:val="16"/>
                <w:color w:val="0000EE"/>
                <w:w w:val="96"/>
              </w:rPr>
            </w:pPr>
            <w:hyperlink w:anchor="page95">
              <w:r>
                <w:rPr>
                  <w:rFonts w:ascii="Arial" w:cs="Arial" w:eastAsia="Arial" w:hAnsi="Arial"/>
                  <w:sz w:val="16"/>
                  <w:szCs w:val="16"/>
                  <w:color w:val="0000EE"/>
                  <w:w w:val="96"/>
                </w:rPr>
                <w:t>(c)</w:t>
              </w:r>
            </w:hyperlink>
          </w:p>
        </w:tc>
        <w:tc>
          <w:tcPr>
            <w:tcW w:w="240" w:type="dxa"/>
            <w:vAlign w:val="bottom"/>
            <w:shd w:val="clear" w:color="auto" w:fill="CCEEFF"/>
          </w:tcPr>
          <w:p>
            <w:pPr>
              <w:spacing w:after="0"/>
              <w:rPr>
                <w:sz w:val="19"/>
                <w:szCs w:val="19"/>
                <w:color w:val="auto"/>
              </w:rPr>
            </w:pPr>
          </w:p>
        </w:tc>
        <w:tc>
          <w:tcPr>
            <w:tcW w:w="8400" w:type="dxa"/>
            <w:vAlign w:val="bottom"/>
            <w:gridSpan w:val="35"/>
            <w:shd w:val="clear" w:color="auto" w:fill="CCEEFF"/>
          </w:tcPr>
          <w:p>
            <w:pPr>
              <w:spacing w:after="0"/>
              <w:rPr>
                <w:rFonts w:ascii="Arial" w:cs="Arial" w:eastAsia="Arial" w:hAnsi="Arial"/>
                <w:sz w:val="16"/>
                <w:szCs w:val="16"/>
                <w:color w:val="0000EE"/>
              </w:rPr>
            </w:pPr>
            <w:hyperlink w:anchor="page95">
              <w:r>
                <w:rPr>
                  <w:rFonts w:ascii="Arial" w:cs="Arial" w:eastAsia="Arial" w:hAnsi="Arial"/>
                  <w:sz w:val="16"/>
                  <w:szCs w:val="16"/>
                  <w:color w:val="0000EE"/>
                </w:rPr>
                <w:t>Vesting Conditions</w:t>
              </w:r>
            </w:hyperlink>
          </w:p>
        </w:tc>
        <w:tc>
          <w:tcPr>
            <w:tcW w:w="40" w:type="dxa"/>
            <w:vAlign w:val="bottom"/>
            <w:shd w:val="clear" w:color="auto" w:fill="CCEEFF"/>
          </w:tcPr>
          <w:p>
            <w:pPr>
              <w:spacing w:after="0"/>
              <w:rPr>
                <w:sz w:val="19"/>
                <w:szCs w:val="19"/>
                <w:color w:val="auto"/>
              </w:rPr>
            </w:pPr>
          </w:p>
        </w:tc>
        <w:tc>
          <w:tcPr>
            <w:tcW w:w="340" w:type="dxa"/>
            <w:vAlign w:val="bottom"/>
            <w:gridSpan w:val="3"/>
            <w:shd w:val="clear" w:color="auto" w:fill="CCEEFF"/>
          </w:tcPr>
          <w:p>
            <w:pPr>
              <w:spacing w:after="0"/>
              <w:rPr>
                <w:rFonts w:ascii="Arial" w:cs="Arial" w:eastAsia="Arial" w:hAnsi="Arial"/>
                <w:sz w:val="16"/>
                <w:szCs w:val="16"/>
                <w:color w:val="0000EE"/>
                <w:w w:val="94"/>
              </w:rPr>
            </w:pPr>
            <w:hyperlink w:anchor="page95">
              <w:r>
                <w:rPr>
                  <w:rFonts w:ascii="Arial" w:cs="Arial" w:eastAsia="Arial" w:hAnsi="Arial"/>
                  <w:sz w:val="16"/>
                  <w:szCs w:val="16"/>
                  <w:color w:val="0000EE"/>
                  <w:w w:val="94"/>
                </w:rPr>
                <w:t>A-10</w:t>
              </w:r>
            </w:hyperlink>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30"/>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gridSpan w:val="3"/>
          </w:tcPr>
          <w:p>
            <w:pPr>
              <w:spacing w:after="0"/>
              <w:rPr>
                <w:rFonts w:ascii="Arial" w:cs="Arial" w:eastAsia="Arial" w:hAnsi="Arial"/>
                <w:sz w:val="16"/>
                <w:szCs w:val="16"/>
                <w:color w:val="0000EE"/>
                <w:w w:val="91"/>
              </w:rPr>
            </w:pPr>
            <w:hyperlink w:anchor="page95">
              <w:r>
                <w:rPr>
                  <w:rFonts w:ascii="Arial" w:cs="Arial" w:eastAsia="Arial" w:hAnsi="Arial"/>
                  <w:sz w:val="16"/>
                  <w:szCs w:val="16"/>
                  <w:color w:val="0000EE"/>
                  <w:w w:val="91"/>
                </w:rPr>
                <w:t>(d)</w:t>
              </w:r>
            </w:hyperlink>
          </w:p>
        </w:tc>
        <w:tc>
          <w:tcPr>
            <w:tcW w:w="240" w:type="dxa"/>
            <w:vAlign w:val="bottom"/>
          </w:tcPr>
          <w:p>
            <w:pPr>
              <w:spacing w:after="0"/>
              <w:rPr>
                <w:sz w:val="19"/>
                <w:szCs w:val="19"/>
                <w:color w:val="auto"/>
              </w:rPr>
            </w:pPr>
          </w:p>
        </w:tc>
        <w:tc>
          <w:tcPr>
            <w:tcW w:w="8400" w:type="dxa"/>
            <w:vAlign w:val="bottom"/>
            <w:gridSpan w:val="35"/>
          </w:tcPr>
          <w:p>
            <w:pPr>
              <w:spacing w:after="0"/>
              <w:rPr>
                <w:rFonts w:ascii="Arial" w:cs="Arial" w:eastAsia="Arial" w:hAnsi="Arial"/>
                <w:sz w:val="16"/>
                <w:szCs w:val="16"/>
                <w:color w:val="0000EE"/>
              </w:rPr>
            </w:pPr>
            <w:hyperlink w:anchor="page95">
              <w:r>
                <w:rPr>
                  <w:rFonts w:ascii="Arial" w:cs="Arial" w:eastAsia="Arial" w:hAnsi="Arial"/>
                  <w:sz w:val="16"/>
                  <w:szCs w:val="16"/>
                  <w:color w:val="0000EE"/>
                </w:rPr>
                <w:t>Voting and Dividend Rights</w:t>
              </w:r>
            </w:hyperlink>
          </w:p>
        </w:tc>
        <w:tc>
          <w:tcPr>
            <w:tcW w:w="40" w:type="dxa"/>
            <w:vAlign w:val="bottom"/>
          </w:tcPr>
          <w:p>
            <w:pPr>
              <w:spacing w:after="0"/>
              <w:rPr>
                <w:sz w:val="19"/>
                <w:szCs w:val="19"/>
                <w:color w:val="auto"/>
              </w:rPr>
            </w:pPr>
          </w:p>
        </w:tc>
        <w:tc>
          <w:tcPr>
            <w:tcW w:w="1020" w:type="dxa"/>
            <w:vAlign w:val="bottom"/>
            <w:gridSpan w:val="5"/>
          </w:tcPr>
          <w:p>
            <w:pPr>
              <w:spacing w:after="0"/>
              <w:rPr>
                <w:rFonts w:ascii="Arial" w:cs="Arial" w:eastAsia="Arial" w:hAnsi="Arial"/>
                <w:sz w:val="16"/>
                <w:szCs w:val="16"/>
                <w:color w:val="0000EE"/>
              </w:rPr>
            </w:pPr>
            <w:hyperlink w:anchor="page95">
              <w:r>
                <w:rPr>
                  <w:rFonts w:ascii="Arial" w:cs="Arial" w:eastAsia="Arial" w:hAnsi="Arial"/>
                  <w:sz w:val="16"/>
                  <w:szCs w:val="16"/>
                  <w:color w:val="0000EE"/>
                </w:rPr>
                <w:t>A-10</w:t>
              </w:r>
            </w:hyperlink>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64"/>
        </w:trPr>
        <w:tc>
          <w:tcPr>
            <w:tcW w:w="660" w:type="dxa"/>
            <w:vAlign w:val="bottom"/>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0000EE"/>
            </w:tcBorders>
            <w:gridSpan w:val="3"/>
            <w:shd w:val="clear" w:color="auto" w:fill="CCEEFF"/>
          </w:tcPr>
          <w:p>
            <w:pPr>
              <w:spacing w:after="0"/>
              <w:rPr>
                <w:rFonts w:ascii="Arial" w:cs="Arial" w:eastAsia="Arial" w:hAnsi="Arial"/>
                <w:sz w:val="16"/>
                <w:szCs w:val="16"/>
                <w:color w:val="0000EE"/>
                <w:w w:val="91"/>
              </w:rPr>
            </w:pPr>
            <w:hyperlink w:anchor="page95">
              <w:r>
                <w:rPr>
                  <w:rFonts w:ascii="Arial" w:cs="Arial" w:eastAsia="Arial" w:hAnsi="Arial"/>
                  <w:sz w:val="16"/>
                  <w:szCs w:val="16"/>
                  <w:color w:val="0000EE"/>
                  <w:w w:val="91"/>
                </w:rPr>
                <w:t>(e)</w:t>
              </w:r>
            </w:hyperlink>
          </w:p>
        </w:tc>
        <w:tc>
          <w:tcPr>
            <w:tcW w:w="240" w:type="dxa"/>
            <w:vAlign w:val="bottom"/>
            <w:tcBorders>
              <w:bottom w:val="single" w:sz="8" w:color="CCEEFF"/>
            </w:tcBorders>
            <w:shd w:val="clear" w:color="auto" w:fill="CCEEFF"/>
          </w:tcPr>
          <w:p>
            <w:pPr>
              <w:spacing w:after="0"/>
              <w:rPr>
                <w:sz w:val="22"/>
                <w:szCs w:val="22"/>
                <w:color w:val="auto"/>
              </w:rPr>
            </w:pPr>
          </w:p>
        </w:tc>
        <w:tc>
          <w:tcPr>
            <w:tcW w:w="3920" w:type="dxa"/>
            <w:vAlign w:val="bottom"/>
            <w:tcBorders>
              <w:bottom w:val="single" w:sz="8" w:color="0000EE"/>
            </w:tcBorders>
            <w:gridSpan w:val="30"/>
            <w:shd w:val="clear" w:color="auto" w:fill="CCEEFF"/>
          </w:tcPr>
          <w:p>
            <w:pPr>
              <w:spacing w:after="0"/>
              <w:rPr>
                <w:rFonts w:ascii="Arial" w:cs="Arial" w:eastAsia="Arial" w:hAnsi="Arial"/>
                <w:sz w:val="16"/>
                <w:szCs w:val="16"/>
                <w:color w:val="0000EE"/>
              </w:rPr>
            </w:pPr>
            <w:hyperlink w:anchor="page95">
              <w:r>
                <w:rPr>
                  <w:rFonts w:ascii="Arial" w:cs="Arial" w:eastAsia="Arial" w:hAnsi="Arial"/>
                  <w:sz w:val="16"/>
                  <w:szCs w:val="16"/>
                  <w:color w:val="0000EE"/>
                </w:rPr>
                <w:t>Form and Time of Settlement of Restricted Stock Units</w:t>
              </w:r>
            </w:hyperlink>
          </w:p>
        </w:tc>
        <w:tc>
          <w:tcPr>
            <w:tcW w:w="4480" w:type="dxa"/>
            <w:vAlign w:val="bottom"/>
            <w:tcBorders>
              <w:bottom w:val="single" w:sz="8" w:color="CCEEFF"/>
            </w:tcBorders>
            <w:gridSpan w:val="5"/>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0000EE"/>
            </w:tcBorders>
            <w:gridSpan w:val="3"/>
            <w:shd w:val="clear" w:color="auto" w:fill="CCEEFF"/>
          </w:tcPr>
          <w:p>
            <w:pPr>
              <w:spacing w:after="0"/>
              <w:rPr>
                <w:rFonts w:ascii="Arial" w:cs="Arial" w:eastAsia="Arial" w:hAnsi="Arial"/>
                <w:sz w:val="16"/>
                <w:szCs w:val="16"/>
                <w:color w:val="0000EE"/>
                <w:w w:val="94"/>
              </w:rPr>
            </w:pPr>
            <w:hyperlink w:anchor="page95">
              <w:r>
                <w:rPr>
                  <w:rFonts w:ascii="Arial" w:cs="Arial" w:eastAsia="Arial" w:hAnsi="Arial"/>
                  <w:sz w:val="16"/>
                  <w:szCs w:val="16"/>
                  <w:color w:val="0000EE"/>
                  <w:w w:val="94"/>
                </w:rPr>
                <w:t>A-10</w:t>
              </w:r>
            </w:hyperlink>
          </w:p>
        </w:tc>
        <w:tc>
          <w:tcPr>
            <w:tcW w:w="20" w:type="dxa"/>
            <w:vAlign w:val="bottom"/>
            <w:tcBorders>
              <w:bottom w:val="single" w:sz="8" w:color="0000EE"/>
            </w:tcBorders>
          </w:tcPr>
          <w:p>
            <w:pPr>
              <w:spacing w:after="0"/>
              <w:rPr>
                <w:sz w:val="22"/>
                <w:szCs w:val="22"/>
                <w:color w:val="auto"/>
              </w:rPr>
            </w:pPr>
          </w:p>
        </w:tc>
        <w:tc>
          <w:tcPr>
            <w:tcW w:w="660" w:type="dxa"/>
            <w:vAlign w:val="bottom"/>
          </w:tcPr>
          <w:p>
            <w:pPr>
              <w:spacing w:after="0"/>
              <w:rPr>
                <w:sz w:val="22"/>
                <w:szCs w:val="22"/>
                <w:color w:val="auto"/>
              </w:rPr>
            </w:pPr>
          </w:p>
        </w:tc>
      </w:tr>
      <w:tr>
        <w:trPr>
          <w:trHeight w:val="230"/>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gridSpan w:val="3"/>
          </w:tcPr>
          <w:p>
            <w:pPr>
              <w:spacing w:after="0"/>
              <w:rPr>
                <w:rFonts w:ascii="Arial" w:cs="Arial" w:eastAsia="Arial" w:hAnsi="Arial"/>
                <w:sz w:val="16"/>
                <w:szCs w:val="16"/>
                <w:color w:val="0000EE"/>
              </w:rPr>
            </w:pPr>
            <w:hyperlink w:anchor="page95">
              <w:r>
                <w:rPr>
                  <w:rFonts w:ascii="Arial" w:cs="Arial" w:eastAsia="Arial" w:hAnsi="Arial"/>
                  <w:sz w:val="16"/>
                  <w:szCs w:val="16"/>
                  <w:color w:val="0000EE"/>
                </w:rPr>
                <w:t>(f)</w:t>
              </w:r>
            </w:hyperlink>
          </w:p>
        </w:tc>
        <w:tc>
          <w:tcPr>
            <w:tcW w:w="240" w:type="dxa"/>
            <w:vAlign w:val="bottom"/>
          </w:tcPr>
          <w:p>
            <w:pPr>
              <w:spacing w:after="0"/>
              <w:rPr>
                <w:sz w:val="19"/>
                <w:szCs w:val="19"/>
                <w:color w:val="auto"/>
              </w:rPr>
            </w:pPr>
          </w:p>
        </w:tc>
        <w:tc>
          <w:tcPr>
            <w:tcW w:w="8400" w:type="dxa"/>
            <w:vAlign w:val="bottom"/>
            <w:gridSpan w:val="35"/>
          </w:tcPr>
          <w:p>
            <w:pPr>
              <w:spacing w:after="0"/>
              <w:rPr>
                <w:rFonts w:ascii="Arial" w:cs="Arial" w:eastAsia="Arial" w:hAnsi="Arial"/>
                <w:sz w:val="16"/>
                <w:szCs w:val="16"/>
                <w:color w:val="0000EE"/>
              </w:rPr>
            </w:pPr>
            <w:hyperlink w:anchor="page95">
              <w:r>
                <w:rPr>
                  <w:rFonts w:ascii="Arial" w:cs="Arial" w:eastAsia="Arial" w:hAnsi="Arial"/>
                  <w:sz w:val="16"/>
                  <w:szCs w:val="16"/>
                  <w:color w:val="0000EE"/>
                </w:rPr>
                <w:t>Death of Participant</w:t>
              </w:r>
            </w:hyperlink>
          </w:p>
        </w:tc>
        <w:tc>
          <w:tcPr>
            <w:tcW w:w="40" w:type="dxa"/>
            <w:vAlign w:val="bottom"/>
          </w:tcPr>
          <w:p>
            <w:pPr>
              <w:spacing w:after="0"/>
              <w:rPr>
                <w:sz w:val="19"/>
                <w:szCs w:val="19"/>
                <w:color w:val="auto"/>
              </w:rPr>
            </w:pPr>
          </w:p>
        </w:tc>
        <w:tc>
          <w:tcPr>
            <w:tcW w:w="1020" w:type="dxa"/>
            <w:vAlign w:val="bottom"/>
            <w:gridSpan w:val="5"/>
          </w:tcPr>
          <w:p>
            <w:pPr>
              <w:spacing w:after="0"/>
              <w:rPr>
                <w:rFonts w:ascii="Arial" w:cs="Arial" w:eastAsia="Arial" w:hAnsi="Arial"/>
                <w:sz w:val="16"/>
                <w:szCs w:val="16"/>
                <w:color w:val="0000EE"/>
              </w:rPr>
            </w:pPr>
            <w:hyperlink w:anchor="page95">
              <w:r>
                <w:rPr>
                  <w:rFonts w:ascii="Arial" w:cs="Arial" w:eastAsia="Arial" w:hAnsi="Arial"/>
                  <w:sz w:val="16"/>
                  <w:szCs w:val="16"/>
                  <w:color w:val="0000EE"/>
                </w:rPr>
                <w:t>A-10</w:t>
              </w:r>
            </w:hyperlink>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30"/>
        </w:trPr>
        <w:tc>
          <w:tcPr>
            <w:tcW w:w="66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gridSpan w:val="3"/>
            <w:shd w:val="clear" w:color="auto" w:fill="CCEEFF"/>
          </w:tcPr>
          <w:p>
            <w:pPr>
              <w:spacing w:after="0"/>
              <w:rPr>
                <w:rFonts w:ascii="Arial" w:cs="Arial" w:eastAsia="Arial" w:hAnsi="Arial"/>
                <w:sz w:val="16"/>
                <w:szCs w:val="16"/>
                <w:color w:val="0000EE"/>
                <w:w w:val="91"/>
              </w:rPr>
            </w:pPr>
            <w:hyperlink w:anchor="page96">
              <w:r>
                <w:rPr>
                  <w:rFonts w:ascii="Arial" w:cs="Arial" w:eastAsia="Arial" w:hAnsi="Arial"/>
                  <w:sz w:val="16"/>
                  <w:szCs w:val="16"/>
                  <w:color w:val="0000EE"/>
                  <w:w w:val="91"/>
                </w:rPr>
                <w:t>(g)</w:t>
              </w:r>
            </w:hyperlink>
          </w:p>
        </w:tc>
        <w:tc>
          <w:tcPr>
            <w:tcW w:w="240" w:type="dxa"/>
            <w:vAlign w:val="bottom"/>
            <w:shd w:val="clear" w:color="auto" w:fill="CCEEFF"/>
          </w:tcPr>
          <w:p>
            <w:pPr>
              <w:spacing w:after="0"/>
              <w:rPr>
                <w:sz w:val="19"/>
                <w:szCs w:val="19"/>
                <w:color w:val="auto"/>
              </w:rPr>
            </w:pPr>
          </w:p>
        </w:tc>
        <w:tc>
          <w:tcPr>
            <w:tcW w:w="8400" w:type="dxa"/>
            <w:vAlign w:val="bottom"/>
            <w:gridSpan w:val="35"/>
            <w:shd w:val="clear" w:color="auto" w:fill="CCEEFF"/>
          </w:tcPr>
          <w:p>
            <w:pPr>
              <w:spacing w:after="0"/>
              <w:rPr>
                <w:rFonts w:ascii="Arial" w:cs="Arial" w:eastAsia="Arial" w:hAnsi="Arial"/>
                <w:sz w:val="16"/>
                <w:szCs w:val="16"/>
                <w:color w:val="0000EE"/>
              </w:rPr>
            </w:pPr>
            <w:hyperlink w:anchor="page96">
              <w:r>
                <w:rPr>
                  <w:rFonts w:ascii="Arial" w:cs="Arial" w:eastAsia="Arial" w:hAnsi="Arial"/>
                  <w:sz w:val="16"/>
                  <w:szCs w:val="16"/>
                  <w:color w:val="0000EE"/>
                </w:rPr>
                <w:t>Creditors’ Rights</w:t>
              </w:r>
            </w:hyperlink>
          </w:p>
        </w:tc>
        <w:tc>
          <w:tcPr>
            <w:tcW w:w="40" w:type="dxa"/>
            <w:vAlign w:val="bottom"/>
            <w:shd w:val="clear" w:color="auto" w:fill="CCEEFF"/>
          </w:tcPr>
          <w:p>
            <w:pPr>
              <w:spacing w:after="0"/>
              <w:rPr>
                <w:sz w:val="19"/>
                <w:szCs w:val="19"/>
                <w:color w:val="auto"/>
              </w:rPr>
            </w:pPr>
          </w:p>
        </w:tc>
        <w:tc>
          <w:tcPr>
            <w:tcW w:w="340" w:type="dxa"/>
            <w:vAlign w:val="bottom"/>
            <w:gridSpan w:val="3"/>
            <w:shd w:val="clear" w:color="auto" w:fill="CCEEFF"/>
          </w:tcPr>
          <w:p>
            <w:pPr>
              <w:spacing w:after="0"/>
              <w:rPr>
                <w:rFonts w:ascii="Arial" w:cs="Arial" w:eastAsia="Arial" w:hAnsi="Arial"/>
                <w:sz w:val="16"/>
                <w:szCs w:val="16"/>
                <w:color w:val="0000EE"/>
                <w:w w:val="94"/>
              </w:rPr>
            </w:pPr>
            <w:hyperlink w:anchor="page96">
              <w:r>
                <w:rPr>
                  <w:rFonts w:ascii="Arial" w:cs="Arial" w:eastAsia="Arial" w:hAnsi="Arial"/>
                  <w:sz w:val="16"/>
                  <w:szCs w:val="16"/>
                  <w:color w:val="0000EE"/>
                  <w:w w:val="94"/>
                </w:rPr>
                <w:t>A-11</w:t>
              </w:r>
            </w:hyperlink>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29"/>
        </w:trPr>
        <w:tc>
          <w:tcPr>
            <w:tcW w:w="660" w:type="dxa"/>
            <w:vAlign w:val="bottom"/>
          </w:tcPr>
          <w:p>
            <w:pPr>
              <w:spacing w:after="0"/>
              <w:rPr>
                <w:sz w:val="19"/>
                <w:szCs w:val="19"/>
                <w:color w:val="auto"/>
              </w:rPr>
            </w:pPr>
          </w:p>
        </w:tc>
        <w:tc>
          <w:tcPr>
            <w:tcW w:w="9000" w:type="dxa"/>
            <w:vAlign w:val="bottom"/>
            <w:gridSpan w:val="40"/>
          </w:tcPr>
          <w:p>
            <w:pPr>
              <w:spacing w:after="0"/>
              <w:rPr>
                <w:rFonts w:ascii="Arial" w:cs="Arial" w:eastAsia="Arial" w:hAnsi="Arial"/>
                <w:sz w:val="16"/>
                <w:szCs w:val="16"/>
                <w:b w:val="1"/>
                <w:bCs w:val="1"/>
                <w:color w:val="0000EE"/>
              </w:rPr>
            </w:pPr>
            <w:hyperlink w:anchor="page96">
              <w:r>
                <w:rPr>
                  <w:rFonts w:ascii="Arial" w:cs="Arial" w:eastAsia="Arial" w:hAnsi="Arial"/>
                  <w:sz w:val="16"/>
                  <w:szCs w:val="16"/>
                  <w:b w:val="1"/>
                  <w:bCs w:val="1"/>
                  <w:color w:val="0000EE"/>
                </w:rPr>
                <w:t>SECTION 11.  CASH-BASED AWARDS</w:t>
              </w:r>
            </w:hyperlink>
          </w:p>
        </w:tc>
        <w:tc>
          <w:tcPr>
            <w:tcW w:w="40" w:type="dxa"/>
            <w:vAlign w:val="bottom"/>
          </w:tcPr>
          <w:p>
            <w:pPr>
              <w:spacing w:after="0"/>
              <w:rPr>
                <w:sz w:val="19"/>
                <w:szCs w:val="19"/>
                <w:color w:val="auto"/>
              </w:rPr>
            </w:pPr>
          </w:p>
        </w:tc>
        <w:tc>
          <w:tcPr>
            <w:tcW w:w="1020" w:type="dxa"/>
            <w:vAlign w:val="bottom"/>
            <w:gridSpan w:val="5"/>
          </w:tcPr>
          <w:p>
            <w:pPr>
              <w:spacing w:after="0"/>
              <w:rPr>
                <w:rFonts w:ascii="Arial" w:cs="Arial" w:eastAsia="Arial" w:hAnsi="Arial"/>
                <w:sz w:val="16"/>
                <w:szCs w:val="16"/>
                <w:b w:val="1"/>
                <w:bCs w:val="1"/>
                <w:color w:val="0000EE"/>
              </w:rPr>
            </w:pPr>
            <w:hyperlink w:anchor="page96">
              <w:r>
                <w:rPr>
                  <w:rFonts w:ascii="Arial" w:cs="Arial" w:eastAsia="Arial" w:hAnsi="Arial"/>
                  <w:sz w:val="16"/>
                  <w:szCs w:val="16"/>
                  <w:b w:val="1"/>
                  <w:bCs w:val="1"/>
                  <w:color w:val="0000EE"/>
                </w:rPr>
                <w:t>A-11</w:t>
              </w:r>
            </w:hyperlink>
          </w:p>
        </w:tc>
      </w:tr>
      <w:tr>
        <w:trPr>
          <w:trHeight w:val="34"/>
        </w:trPr>
        <w:tc>
          <w:tcPr>
            <w:tcW w:w="660" w:type="dxa"/>
            <w:vAlign w:val="bottom"/>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63"/>
        </w:trPr>
        <w:tc>
          <w:tcPr>
            <w:tcW w:w="660" w:type="dxa"/>
            <w:vAlign w:val="bottom"/>
          </w:tcPr>
          <w:p>
            <w:pPr>
              <w:spacing w:after="0"/>
              <w:rPr>
                <w:sz w:val="22"/>
                <w:szCs w:val="22"/>
                <w:color w:val="auto"/>
              </w:rPr>
            </w:pPr>
          </w:p>
        </w:tc>
        <w:tc>
          <w:tcPr>
            <w:tcW w:w="3300" w:type="dxa"/>
            <w:vAlign w:val="bottom"/>
            <w:tcBorders>
              <w:bottom w:val="single" w:sz="8" w:color="0000EE"/>
            </w:tcBorders>
            <w:gridSpan w:val="29"/>
            <w:shd w:val="clear" w:color="auto" w:fill="CCEEFF"/>
          </w:tcPr>
          <w:p>
            <w:pPr>
              <w:spacing w:after="0"/>
              <w:rPr>
                <w:rFonts w:ascii="Arial" w:cs="Arial" w:eastAsia="Arial" w:hAnsi="Arial"/>
                <w:sz w:val="16"/>
                <w:szCs w:val="16"/>
                <w:b w:val="1"/>
                <w:bCs w:val="1"/>
                <w:color w:val="0000EE"/>
              </w:rPr>
            </w:pPr>
            <w:hyperlink w:anchor="page96">
              <w:r>
                <w:rPr>
                  <w:rFonts w:ascii="Arial" w:cs="Arial" w:eastAsia="Arial" w:hAnsi="Arial"/>
                  <w:sz w:val="16"/>
                  <w:szCs w:val="16"/>
                  <w:b w:val="1"/>
                  <w:bCs w:val="1"/>
                  <w:color w:val="0000EE"/>
                </w:rPr>
                <w:t>SECTION 12.  STOCK PURCHASE RIGHTS</w:t>
              </w:r>
            </w:hyperlink>
          </w:p>
        </w:tc>
        <w:tc>
          <w:tcPr>
            <w:tcW w:w="5700" w:type="dxa"/>
            <w:vAlign w:val="bottom"/>
            <w:tcBorders>
              <w:bottom w:val="single" w:sz="8" w:color="CCEEFF"/>
            </w:tcBorders>
            <w:gridSpan w:val="11"/>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0000EE"/>
            </w:tcBorders>
            <w:gridSpan w:val="3"/>
            <w:shd w:val="clear" w:color="auto" w:fill="CCEEFF"/>
          </w:tcPr>
          <w:p>
            <w:pPr>
              <w:spacing w:after="0"/>
              <w:rPr>
                <w:rFonts w:ascii="Arial" w:cs="Arial" w:eastAsia="Arial" w:hAnsi="Arial"/>
                <w:sz w:val="16"/>
                <w:szCs w:val="16"/>
                <w:b w:val="1"/>
                <w:bCs w:val="1"/>
                <w:color w:val="0000EE"/>
                <w:w w:val="92"/>
              </w:rPr>
            </w:pPr>
            <w:hyperlink w:anchor="page96">
              <w:r>
                <w:rPr>
                  <w:rFonts w:ascii="Arial" w:cs="Arial" w:eastAsia="Arial" w:hAnsi="Arial"/>
                  <w:sz w:val="16"/>
                  <w:szCs w:val="16"/>
                  <w:b w:val="1"/>
                  <w:bCs w:val="1"/>
                  <w:color w:val="0000EE"/>
                  <w:w w:val="92"/>
                </w:rPr>
                <w:t>A-11</w:t>
              </w:r>
            </w:hyperlink>
          </w:p>
        </w:tc>
        <w:tc>
          <w:tcPr>
            <w:tcW w:w="20" w:type="dxa"/>
            <w:vAlign w:val="bottom"/>
            <w:tcBorders>
              <w:bottom w:val="single" w:sz="8" w:color="0000EE"/>
            </w:tcBorders>
          </w:tcPr>
          <w:p>
            <w:pPr>
              <w:spacing w:after="0"/>
              <w:rPr>
                <w:sz w:val="22"/>
                <w:szCs w:val="22"/>
                <w:color w:val="auto"/>
              </w:rPr>
            </w:pPr>
          </w:p>
        </w:tc>
        <w:tc>
          <w:tcPr>
            <w:tcW w:w="660" w:type="dxa"/>
            <w:vAlign w:val="bottom"/>
          </w:tcPr>
          <w:p>
            <w:pPr>
              <w:spacing w:after="0"/>
              <w:rPr>
                <w:sz w:val="22"/>
                <w:szCs w:val="22"/>
                <w:color w:val="auto"/>
              </w:rPr>
            </w:pPr>
          </w:p>
        </w:tc>
      </w:tr>
      <w:tr>
        <w:trPr>
          <w:trHeight w:val="230"/>
        </w:trPr>
        <w:tc>
          <w:tcPr>
            <w:tcW w:w="660" w:type="dxa"/>
            <w:vAlign w:val="bottom"/>
          </w:tcPr>
          <w:p>
            <w:pPr>
              <w:spacing w:after="0"/>
              <w:rPr>
                <w:sz w:val="19"/>
                <w:szCs w:val="19"/>
                <w:color w:val="auto"/>
              </w:rPr>
            </w:pPr>
          </w:p>
        </w:tc>
        <w:tc>
          <w:tcPr>
            <w:tcW w:w="9000" w:type="dxa"/>
            <w:vAlign w:val="bottom"/>
            <w:gridSpan w:val="40"/>
          </w:tcPr>
          <w:p>
            <w:pPr>
              <w:spacing w:after="0"/>
              <w:rPr>
                <w:rFonts w:ascii="Arial" w:cs="Arial" w:eastAsia="Arial" w:hAnsi="Arial"/>
                <w:sz w:val="16"/>
                <w:szCs w:val="16"/>
                <w:b w:val="1"/>
                <w:bCs w:val="1"/>
                <w:color w:val="0000EE"/>
              </w:rPr>
            </w:pPr>
            <w:hyperlink w:anchor="page96">
              <w:r>
                <w:rPr>
                  <w:rFonts w:ascii="Arial" w:cs="Arial" w:eastAsia="Arial" w:hAnsi="Arial"/>
                  <w:sz w:val="16"/>
                  <w:szCs w:val="16"/>
                  <w:b w:val="1"/>
                  <w:bCs w:val="1"/>
                  <w:color w:val="0000EE"/>
                </w:rPr>
                <w:t>SECTION 13.  ADJUSTMENT OF SHARES.</w:t>
              </w:r>
            </w:hyperlink>
          </w:p>
        </w:tc>
        <w:tc>
          <w:tcPr>
            <w:tcW w:w="40" w:type="dxa"/>
            <w:vAlign w:val="bottom"/>
          </w:tcPr>
          <w:p>
            <w:pPr>
              <w:spacing w:after="0"/>
              <w:rPr>
                <w:sz w:val="19"/>
                <w:szCs w:val="19"/>
                <w:color w:val="auto"/>
              </w:rPr>
            </w:pPr>
          </w:p>
        </w:tc>
        <w:tc>
          <w:tcPr>
            <w:tcW w:w="1020" w:type="dxa"/>
            <w:vAlign w:val="bottom"/>
            <w:gridSpan w:val="5"/>
          </w:tcPr>
          <w:p>
            <w:pPr>
              <w:spacing w:after="0"/>
              <w:rPr>
                <w:rFonts w:ascii="Arial" w:cs="Arial" w:eastAsia="Arial" w:hAnsi="Arial"/>
                <w:sz w:val="16"/>
                <w:szCs w:val="16"/>
                <w:b w:val="1"/>
                <w:bCs w:val="1"/>
                <w:color w:val="0000EE"/>
              </w:rPr>
            </w:pPr>
            <w:hyperlink w:anchor="page96">
              <w:r>
                <w:rPr>
                  <w:rFonts w:ascii="Arial" w:cs="Arial" w:eastAsia="Arial" w:hAnsi="Arial"/>
                  <w:sz w:val="16"/>
                  <w:szCs w:val="16"/>
                  <w:b w:val="1"/>
                  <w:bCs w:val="1"/>
                  <w:color w:val="0000EE"/>
                </w:rPr>
                <w:t>A-11</w:t>
              </w:r>
            </w:hyperlink>
          </w:p>
        </w:tc>
      </w:tr>
      <w:tr>
        <w:trPr>
          <w:trHeight w:val="34"/>
        </w:trPr>
        <w:tc>
          <w:tcPr>
            <w:tcW w:w="660" w:type="dxa"/>
            <w:vAlign w:val="bottom"/>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63"/>
        </w:trPr>
        <w:tc>
          <w:tcPr>
            <w:tcW w:w="660" w:type="dxa"/>
            <w:vAlign w:val="bottom"/>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0000EE"/>
            </w:tcBorders>
            <w:gridSpan w:val="3"/>
            <w:shd w:val="clear" w:color="auto" w:fill="CCEEFF"/>
          </w:tcPr>
          <w:p>
            <w:pPr>
              <w:spacing w:after="0"/>
              <w:rPr>
                <w:rFonts w:ascii="Arial" w:cs="Arial" w:eastAsia="Arial" w:hAnsi="Arial"/>
                <w:sz w:val="16"/>
                <w:szCs w:val="16"/>
                <w:color w:val="0000EE"/>
                <w:w w:val="91"/>
              </w:rPr>
            </w:pPr>
            <w:hyperlink w:anchor="page96">
              <w:r>
                <w:rPr>
                  <w:rFonts w:ascii="Arial" w:cs="Arial" w:eastAsia="Arial" w:hAnsi="Arial"/>
                  <w:sz w:val="16"/>
                  <w:szCs w:val="16"/>
                  <w:color w:val="0000EE"/>
                  <w:w w:val="91"/>
                </w:rPr>
                <w:t>(a)</w:t>
              </w:r>
            </w:hyperlink>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0000EE"/>
            </w:tcBorders>
            <w:shd w:val="clear" w:color="auto" w:fill="CCEEFF"/>
          </w:tcPr>
          <w:p>
            <w:pPr>
              <w:spacing w:after="0"/>
              <w:rPr>
                <w:rFonts w:ascii="Arial" w:cs="Arial" w:eastAsia="Arial" w:hAnsi="Arial"/>
                <w:sz w:val="16"/>
                <w:szCs w:val="16"/>
                <w:color w:val="0000EE"/>
                <w:w w:val="99"/>
              </w:rPr>
            </w:pPr>
            <w:hyperlink w:anchor="page96">
              <w:r>
                <w:rPr>
                  <w:rFonts w:ascii="Arial" w:cs="Arial" w:eastAsia="Arial" w:hAnsi="Arial"/>
                  <w:sz w:val="16"/>
                  <w:szCs w:val="16"/>
                  <w:color w:val="0000EE"/>
                  <w:w w:val="99"/>
                </w:rPr>
                <w:t>Adjustments</w:t>
              </w:r>
            </w:hyperlink>
          </w:p>
        </w:tc>
        <w:tc>
          <w:tcPr>
            <w:tcW w:w="7500" w:type="dxa"/>
            <w:vAlign w:val="bottom"/>
            <w:tcBorders>
              <w:bottom w:val="single" w:sz="8" w:color="CCEEFF"/>
            </w:tcBorders>
            <w:gridSpan w:val="34"/>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0000EE"/>
            </w:tcBorders>
            <w:gridSpan w:val="3"/>
            <w:shd w:val="clear" w:color="auto" w:fill="CCEEFF"/>
          </w:tcPr>
          <w:p>
            <w:pPr>
              <w:spacing w:after="0"/>
              <w:rPr>
                <w:rFonts w:ascii="Arial" w:cs="Arial" w:eastAsia="Arial" w:hAnsi="Arial"/>
                <w:sz w:val="16"/>
                <w:szCs w:val="16"/>
                <w:color w:val="0000EE"/>
                <w:w w:val="94"/>
              </w:rPr>
            </w:pPr>
            <w:hyperlink w:anchor="page96">
              <w:r>
                <w:rPr>
                  <w:rFonts w:ascii="Arial" w:cs="Arial" w:eastAsia="Arial" w:hAnsi="Arial"/>
                  <w:sz w:val="16"/>
                  <w:szCs w:val="16"/>
                  <w:color w:val="0000EE"/>
                  <w:w w:val="94"/>
                </w:rPr>
                <w:t>A-11</w:t>
              </w:r>
            </w:hyperlink>
          </w:p>
        </w:tc>
        <w:tc>
          <w:tcPr>
            <w:tcW w:w="20" w:type="dxa"/>
            <w:vAlign w:val="bottom"/>
            <w:tcBorders>
              <w:bottom w:val="single" w:sz="8" w:color="0000EE"/>
            </w:tcBorders>
          </w:tcPr>
          <w:p>
            <w:pPr>
              <w:spacing w:after="0"/>
              <w:rPr>
                <w:sz w:val="22"/>
                <w:szCs w:val="22"/>
                <w:color w:val="auto"/>
              </w:rPr>
            </w:pPr>
          </w:p>
        </w:tc>
        <w:tc>
          <w:tcPr>
            <w:tcW w:w="660" w:type="dxa"/>
            <w:vAlign w:val="bottom"/>
          </w:tcPr>
          <w:p>
            <w:pPr>
              <w:spacing w:after="0"/>
              <w:rPr>
                <w:sz w:val="22"/>
                <w:szCs w:val="22"/>
                <w:color w:val="auto"/>
              </w:rPr>
            </w:pPr>
          </w:p>
        </w:tc>
      </w:tr>
      <w:tr>
        <w:trPr>
          <w:trHeight w:val="230"/>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gridSpan w:val="3"/>
          </w:tcPr>
          <w:p>
            <w:pPr>
              <w:spacing w:after="0"/>
              <w:rPr>
                <w:rFonts w:ascii="Arial" w:cs="Arial" w:eastAsia="Arial" w:hAnsi="Arial"/>
                <w:sz w:val="16"/>
                <w:szCs w:val="16"/>
                <w:color w:val="0000EE"/>
                <w:w w:val="91"/>
              </w:rPr>
            </w:pPr>
            <w:hyperlink w:anchor="page96">
              <w:r>
                <w:rPr>
                  <w:rFonts w:ascii="Arial" w:cs="Arial" w:eastAsia="Arial" w:hAnsi="Arial"/>
                  <w:sz w:val="16"/>
                  <w:szCs w:val="16"/>
                  <w:color w:val="0000EE"/>
                  <w:w w:val="91"/>
                </w:rPr>
                <w:t>(b)</w:t>
              </w:r>
            </w:hyperlink>
          </w:p>
        </w:tc>
        <w:tc>
          <w:tcPr>
            <w:tcW w:w="240" w:type="dxa"/>
            <w:vAlign w:val="bottom"/>
          </w:tcPr>
          <w:p>
            <w:pPr>
              <w:spacing w:after="0"/>
              <w:rPr>
                <w:sz w:val="19"/>
                <w:szCs w:val="19"/>
                <w:color w:val="auto"/>
              </w:rPr>
            </w:pPr>
          </w:p>
        </w:tc>
        <w:tc>
          <w:tcPr>
            <w:tcW w:w="8400" w:type="dxa"/>
            <w:vAlign w:val="bottom"/>
            <w:gridSpan w:val="35"/>
          </w:tcPr>
          <w:p>
            <w:pPr>
              <w:spacing w:after="0"/>
              <w:rPr>
                <w:rFonts w:ascii="Arial" w:cs="Arial" w:eastAsia="Arial" w:hAnsi="Arial"/>
                <w:sz w:val="16"/>
                <w:szCs w:val="16"/>
                <w:color w:val="0000EE"/>
              </w:rPr>
            </w:pPr>
            <w:hyperlink w:anchor="page96">
              <w:r>
                <w:rPr>
                  <w:rFonts w:ascii="Arial" w:cs="Arial" w:eastAsia="Arial" w:hAnsi="Arial"/>
                  <w:sz w:val="16"/>
                  <w:szCs w:val="16"/>
                  <w:color w:val="0000EE"/>
                </w:rPr>
                <w:t>Dissolution or Liquidation</w:t>
              </w:r>
            </w:hyperlink>
          </w:p>
        </w:tc>
        <w:tc>
          <w:tcPr>
            <w:tcW w:w="40" w:type="dxa"/>
            <w:vAlign w:val="bottom"/>
          </w:tcPr>
          <w:p>
            <w:pPr>
              <w:spacing w:after="0"/>
              <w:rPr>
                <w:sz w:val="19"/>
                <w:szCs w:val="19"/>
                <w:color w:val="auto"/>
              </w:rPr>
            </w:pPr>
          </w:p>
        </w:tc>
        <w:tc>
          <w:tcPr>
            <w:tcW w:w="1020" w:type="dxa"/>
            <w:vAlign w:val="bottom"/>
            <w:gridSpan w:val="5"/>
          </w:tcPr>
          <w:p>
            <w:pPr>
              <w:spacing w:after="0"/>
              <w:rPr>
                <w:rFonts w:ascii="Arial" w:cs="Arial" w:eastAsia="Arial" w:hAnsi="Arial"/>
                <w:sz w:val="16"/>
                <w:szCs w:val="16"/>
                <w:color w:val="0000EE"/>
              </w:rPr>
            </w:pPr>
            <w:hyperlink w:anchor="page96">
              <w:r>
                <w:rPr>
                  <w:rFonts w:ascii="Arial" w:cs="Arial" w:eastAsia="Arial" w:hAnsi="Arial"/>
                  <w:sz w:val="16"/>
                  <w:szCs w:val="16"/>
                  <w:color w:val="0000EE"/>
                </w:rPr>
                <w:t>A-11</w:t>
              </w:r>
            </w:hyperlink>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30"/>
        </w:trPr>
        <w:tc>
          <w:tcPr>
            <w:tcW w:w="66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gridSpan w:val="3"/>
            <w:shd w:val="clear" w:color="auto" w:fill="CCEEFF"/>
          </w:tcPr>
          <w:p>
            <w:pPr>
              <w:spacing w:after="0"/>
              <w:rPr>
                <w:rFonts w:ascii="Arial" w:cs="Arial" w:eastAsia="Arial" w:hAnsi="Arial"/>
                <w:sz w:val="16"/>
                <w:szCs w:val="16"/>
                <w:color w:val="0000EE"/>
                <w:w w:val="96"/>
              </w:rPr>
            </w:pPr>
            <w:hyperlink w:anchor="page96">
              <w:r>
                <w:rPr>
                  <w:rFonts w:ascii="Arial" w:cs="Arial" w:eastAsia="Arial" w:hAnsi="Arial"/>
                  <w:sz w:val="16"/>
                  <w:szCs w:val="16"/>
                  <w:color w:val="0000EE"/>
                  <w:w w:val="96"/>
                </w:rPr>
                <w:t>(c)</w:t>
              </w:r>
            </w:hyperlink>
          </w:p>
        </w:tc>
        <w:tc>
          <w:tcPr>
            <w:tcW w:w="240" w:type="dxa"/>
            <w:vAlign w:val="bottom"/>
            <w:shd w:val="clear" w:color="auto" w:fill="CCEEFF"/>
          </w:tcPr>
          <w:p>
            <w:pPr>
              <w:spacing w:after="0"/>
              <w:rPr>
                <w:sz w:val="19"/>
                <w:szCs w:val="19"/>
                <w:color w:val="auto"/>
              </w:rPr>
            </w:pPr>
          </w:p>
        </w:tc>
        <w:tc>
          <w:tcPr>
            <w:tcW w:w="8400" w:type="dxa"/>
            <w:vAlign w:val="bottom"/>
            <w:gridSpan w:val="35"/>
            <w:shd w:val="clear" w:color="auto" w:fill="CCEEFF"/>
          </w:tcPr>
          <w:p>
            <w:pPr>
              <w:spacing w:after="0"/>
              <w:rPr>
                <w:rFonts w:ascii="Arial" w:cs="Arial" w:eastAsia="Arial" w:hAnsi="Arial"/>
                <w:sz w:val="16"/>
                <w:szCs w:val="16"/>
                <w:color w:val="0000EE"/>
              </w:rPr>
            </w:pPr>
            <w:hyperlink w:anchor="page96">
              <w:r>
                <w:rPr>
                  <w:rFonts w:ascii="Arial" w:cs="Arial" w:eastAsia="Arial" w:hAnsi="Arial"/>
                  <w:sz w:val="16"/>
                  <w:szCs w:val="16"/>
                  <w:color w:val="0000EE"/>
                </w:rPr>
                <w:t>Merger or Reorganization</w:t>
              </w:r>
            </w:hyperlink>
          </w:p>
        </w:tc>
        <w:tc>
          <w:tcPr>
            <w:tcW w:w="40" w:type="dxa"/>
            <w:vAlign w:val="bottom"/>
            <w:shd w:val="clear" w:color="auto" w:fill="CCEEFF"/>
          </w:tcPr>
          <w:p>
            <w:pPr>
              <w:spacing w:after="0"/>
              <w:rPr>
                <w:sz w:val="19"/>
                <w:szCs w:val="19"/>
                <w:color w:val="auto"/>
              </w:rPr>
            </w:pPr>
          </w:p>
        </w:tc>
        <w:tc>
          <w:tcPr>
            <w:tcW w:w="340" w:type="dxa"/>
            <w:vAlign w:val="bottom"/>
            <w:gridSpan w:val="3"/>
            <w:shd w:val="clear" w:color="auto" w:fill="CCEEFF"/>
          </w:tcPr>
          <w:p>
            <w:pPr>
              <w:spacing w:after="0"/>
              <w:rPr>
                <w:rFonts w:ascii="Arial" w:cs="Arial" w:eastAsia="Arial" w:hAnsi="Arial"/>
                <w:sz w:val="16"/>
                <w:szCs w:val="16"/>
                <w:color w:val="0000EE"/>
                <w:w w:val="94"/>
              </w:rPr>
            </w:pPr>
            <w:hyperlink w:anchor="page96">
              <w:r>
                <w:rPr>
                  <w:rFonts w:ascii="Arial" w:cs="Arial" w:eastAsia="Arial" w:hAnsi="Arial"/>
                  <w:sz w:val="16"/>
                  <w:szCs w:val="16"/>
                  <w:color w:val="0000EE"/>
                  <w:w w:val="94"/>
                </w:rPr>
                <w:t>A-11</w:t>
              </w:r>
            </w:hyperlink>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29"/>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gridSpan w:val="3"/>
          </w:tcPr>
          <w:p>
            <w:pPr>
              <w:spacing w:after="0"/>
              <w:rPr>
                <w:rFonts w:ascii="Arial" w:cs="Arial" w:eastAsia="Arial" w:hAnsi="Arial"/>
                <w:sz w:val="16"/>
                <w:szCs w:val="16"/>
                <w:color w:val="0000EE"/>
                <w:w w:val="91"/>
              </w:rPr>
            </w:pPr>
            <w:hyperlink w:anchor="page97">
              <w:r>
                <w:rPr>
                  <w:rFonts w:ascii="Arial" w:cs="Arial" w:eastAsia="Arial" w:hAnsi="Arial"/>
                  <w:sz w:val="16"/>
                  <w:szCs w:val="16"/>
                  <w:color w:val="0000EE"/>
                  <w:w w:val="91"/>
                </w:rPr>
                <w:t>(d)</w:t>
              </w:r>
            </w:hyperlink>
          </w:p>
        </w:tc>
        <w:tc>
          <w:tcPr>
            <w:tcW w:w="240" w:type="dxa"/>
            <w:vAlign w:val="bottom"/>
          </w:tcPr>
          <w:p>
            <w:pPr>
              <w:spacing w:after="0"/>
              <w:rPr>
                <w:sz w:val="19"/>
                <w:szCs w:val="19"/>
                <w:color w:val="auto"/>
              </w:rPr>
            </w:pPr>
          </w:p>
        </w:tc>
        <w:tc>
          <w:tcPr>
            <w:tcW w:w="8400" w:type="dxa"/>
            <w:vAlign w:val="bottom"/>
            <w:gridSpan w:val="35"/>
          </w:tcPr>
          <w:p>
            <w:pPr>
              <w:spacing w:after="0"/>
              <w:rPr>
                <w:rFonts w:ascii="Arial" w:cs="Arial" w:eastAsia="Arial" w:hAnsi="Arial"/>
                <w:sz w:val="16"/>
                <w:szCs w:val="16"/>
                <w:color w:val="0000EE"/>
              </w:rPr>
            </w:pPr>
            <w:hyperlink w:anchor="page97">
              <w:r>
                <w:rPr>
                  <w:rFonts w:ascii="Arial" w:cs="Arial" w:eastAsia="Arial" w:hAnsi="Arial"/>
                  <w:sz w:val="16"/>
                  <w:szCs w:val="16"/>
                  <w:color w:val="0000EE"/>
                </w:rPr>
                <w:t>Change in Control</w:t>
              </w:r>
            </w:hyperlink>
          </w:p>
        </w:tc>
        <w:tc>
          <w:tcPr>
            <w:tcW w:w="40" w:type="dxa"/>
            <w:vAlign w:val="bottom"/>
          </w:tcPr>
          <w:p>
            <w:pPr>
              <w:spacing w:after="0"/>
              <w:rPr>
                <w:sz w:val="19"/>
                <w:szCs w:val="19"/>
                <w:color w:val="auto"/>
              </w:rPr>
            </w:pPr>
          </w:p>
        </w:tc>
        <w:tc>
          <w:tcPr>
            <w:tcW w:w="1020" w:type="dxa"/>
            <w:vAlign w:val="bottom"/>
            <w:gridSpan w:val="5"/>
          </w:tcPr>
          <w:p>
            <w:pPr>
              <w:spacing w:after="0"/>
              <w:rPr>
                <w:rFonts w:ascii="Arial" w:cs="Arial" w:eastAsia="Arial" w:hAnsi="Arial"/>
                <w:sz w:val="16"/>
                <w:szCs w:val="16"/>
                <w:color w:val="0000EE"/>
              </w:rPr>
            </w:pPr>
            <w:hyperlink w:anchor="page97">
              <w:r>
                <w:rPr>
                  <w:rFonts w:ascii="Arial" w:cs="Arial" w:eastAsia="Arial" w:hAnsi="Arial"/>
                  <w:sz w:val="16"/>
                  <w:szCs w:val="16"/>
                  <w:color w:val="0000EE"/>
                </w:rPr>
                <w:t>A-12</w:t>
              </w:r>
            </w:hyperlink>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63"/>
        </w:trPr>
        <w:tc>
          <w:tcPr>
            <w:tcW w:w="660" w:type="dxa"/>
            <w:vAlign w:val="bottom"/>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0000EE"/>
            </w:tcBorders>
            <w:gridSpan w:val="3"/>
            <w:shd w:val="clear" w:color="auto" w:fill="CCEEFF"/>
          </w:tcPr>
          <w:p>
            <w:pPr>
              <w:spacing w:after="0"/>
              <w:rPr>
                <w:rFonts w:ascii="Arial" w:cs="Arial" w:eastAsia="Arial" w:hAnsi="Arial"/>
                <w:sz w:val="16"/>
                <w:szCs w:val="16"/>
                <w:color w:val="0000EE"/>
                <w:w w:val="91"/>
              </w:rPr>
            </w:pPr>
            <w:hyperlink w:anchor="page97">
              <w:r>
                <w:rPr>
                  <w:rFonts w:ascii="Arial" w:cs="Arial" w:eastAsia="Arial" w:hAnsi="Arial"/>
                  <w:sz w:val="16"/>
                  <w:szCs w:val="16"/>
                  <w:color w:val="0000EE"/>
                  <w:w w:val="91"/>
                </w:rPr>
                <w:t>(e)</w:t>
              </w:r>
            </w:hyperlink>
          </w:p>
        </w:tc>
        <w:tc>
          <w:tcPr>
            <w:tcW w:w="2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0000EE"/>
            </w:tcBorders>
            <w:gridSpan w:val="14"/>
            <w:shd w:val="clear" w:color="auto" w:fill="CCEEFF"/>
          </w:tcPr>
          <w:p>
            <w:pPr>
              <w:spacing w:after="0"/>
              <w:rPr>
                <w:rFonts w:ascii="Arial" w:cs="Arial" w:eastAsia="Arial" w:hAnsi="Arial"/>
                <w:sz w:val="16"/>
                <w:szCs w:val="16"/>
                <w:color w:val="0000EE"/>
              </w:rPr>
            </w:pPr>
            <w:hyperlink w:anchor="page97">
              <w:r>
                <w:rPr>
                  <w:rFonts w:ascii="Arial" w:cs="Arial" w:eastAsia="Arial" w:hAnsi="Arial"/>
                  <w:sz w:val="16"/>
                  <w:szCs w:val="16"/>
                  <w:color w:val="0000EE"/>
                </w:rPr>
                <w:t>Reservation of Rights</w:t>
              </w:r>
            </w:hyperlink>
          </w:p>
        </w:tc>
        <w:tc>
          <w:tcPr>
            <w:tcW w:w="6840" w:type="dxa"/>
            <w:vAlign w:val="bottom"/>
            <w:tcBorders>
              <w:bottom w:val="single" w:sz="8" w:color="CCEEFF"/>
            </w:tcBorders>
            <w:gridSpan w:val="21"/>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0000EE"/>
            </w:tcBorders>
            <w:gridSpan w:val="3"/>
            <w:shd w:val="clear" w:color="auto" w:fill="CCEEFF"/>
          </w:tcPr>
          <w:p>
            <w:pPr>
              <w:spacing w:after="0"/>
              <w:rPr>
                <w:rFonts w:ascii="Arial" w:cs="Arial" w:eastAsia="Arial" w:hAnsi="Arial"/>
                <w:sz w:val="16"/>
                <w:szCs w:val="16"/>
                <w:color w:val="0000EE"/>
                <w:w w:val="94"/>
              </w:rPr>
            </w:pPr>
            <w:hyperlink w:anchor="page97">
              <w:r>
                <w:rPr>
                  <w:rFonts w:ascii="Arial" w:cs="Arial" w:eastAsia="Arial" w:hAnsi="Arial"/>
                  <w:sz w:val="16"/>
                  <w:szCs w:val="16"/>
                  <w:color w:val="0000EE"/>
                  <w:w w:val="94"/>
                </w:rPr>
                <w:t>A-12</w:t>
              </w:r>
            </w:hyperlink>
          </w:p>
        </w:tc>
        <w:tc>
          <w:tcPr>
            <w:tcW w:w="20" w:type="dxa"/>
            <w:vAlign w:val="bottom"/>
            <w:tcBorders>
              <w:bottom w:val="single" w:sz="8" w:color="0000EE"/>
            </w:tcBorders>
          </w:tcPr>
          <w:p>
            <w:pPr>
              <w:spacing w:after="0"/>
              <w:rPr>
                <w:sz w:val="22"/>
                <w:szCs w:val="22"/>
                <w:color w:val="auto"/>
              </w:rPr>
            </w:pPr>
          </w:p>
        </w:tc>
        <w:tc>
          <w:tcPr>
            <w:tcW w:w="660" w:type="dxa"/>
            <w:vAlign w:val="bottom"/>
          </w:tcPr>
          <w:p>
            <w:pPr>
              <w:spacing w:after="0"/>
              <w:rPr>
                <w:sz w:val="22"/>
                <w:szCs w:val="22"/>
                <w:color w:val="auto"/>
              </w:rPr>
            </w:pPr>
          </w:p>
        </w:tc>
      </w:tr>
      <w:tr>
        <w:trPr>
          <w:trHeight w:val="230"/>
        </w:trPr>
        <w:tc>
          <w:tcPr>
            <w:tcW w:w="660" w:type="dxa"/>
            <w:vAlign w:val="bottom"/>
          </w:tcPr>
          <w:p>
            <w:pPr>
              <w:spacing w:after="0"/>
              <w:rPr>
                <w:sz w:val="19"/>
                <w:szCs w:val="19"/>
                <w:color w:val="auto"/>
              </w:rPr>
            </w:pPr>
          </w:p>
        </w:tc>
        <w:tc>
          <w:tcPr>
            <w:tcW w:w="9000" w:type="dxa"/>
            <w:vAlign w:val="bottom"/>
            <w:gridSpan w:val="40"/>
          </w:tcPr>
          <w:p>
            <w:pPr>
              <w:spacing w:after="0"/>
              <w:rPr>
                <w:rFonts w:ascii="Arial" w:cs="Arial" w:eastAsia="Arial" w:hAnsi="Arial"/>
                <w:sz w:val="16"/>
                <w:szCs w:val="16"/>
                <w:b w:val="1"/>
                <w:bCs w:val="1"/>
                <w:color w:val="0000EE"/>
              </w:rPr>
            </w:pPr>
            <w:hyperlink w:anchor="page98">
              <w:r>
                <w:rPr>
                  <w:rFonts w:ascii="Arial" w:cs="Arial" w:eastAsia="Arial" w:hAnsi="Arial"/>
                  <w:sz w:val="16"/>
                  <w:szCs w:val="16"/>
                  <w:b w:val="1"/>
                  <w:bCs w:val="1"/>
                  <w:color w:val="0000EE"/>
                </w:rPr>
                <w:t>SECTION 14.  DEFERRAL OF AWARDS.</w:t>
              </w:r>
            </w:hyperlink>
          </w:p>
        </w:tc>
        <w:tc>
          <w:tcPr>
            <w:tcW w:w="40" w:type="dxa"/>
            <w:vAlign w:val="bottom"/>
          </w:tcPr>
          <w:p>
            <w:pPr>
              <w:spacing w:after="0"/>
              <w:rPr>
                <w:sz w:val="19"/>
                <w:szCs w:val="19"/>
                <w:color w:val="auto"/>
              </w:rPr>
            </w:pPr>
          </w:p>
        </w:tc>
        <w:tc>
          <w:tcPr>
            <w:tcW w:w="1020" w:type="dxa"/>
            <w:vAlign w:val="bottom"/>
            <w:gridSpan w:val="5"/>
          </w:tcPr>
          <w:p>
            <w:pPr>
              <w:spacing w:after="0"/>
              <w:rPr>
                <w:rFonts w:ascii="Arial" w:cs="Arial" w:eastAsia="Arial" w:hAnsi="Arial"/>
                <w:sz w:val="16"/>
                <w:szCs w:val="16"/>
                <w:b w:val="1"/>
                <w:bCs w:val="1"/>
                <w:color w:val="0000EE"/>
              </w:rPr>
            </w:pPr>
            <w:hyperlink w:anchor="page98">
              <w:r>
                <w:rPr>
                  <w:rFonts w:ascii="Arial" w:cs="Arial" w:eastAsia="Arial" w:hAnsi="Arial"/>
                  <w:sz w:val="16"/>
                  <w:szCs w:val="16"/>
                  <w:b w:val="1"/>
                  <w:bCs w:val="1"/>
                  <w:color w:val="0000EE"/>
                </w:rPr>
                <w:t>A-13</w:t>
              </w:r>
            </w:hyperlink>
          </w:p>
        </w:tc>
      </w:tr>
      <w:tr>
        <w:trPr>
          <w:trHeight w:val="34"/>
        </w:trPr>
        <w:tc>
          <w:tcPr>
            <w:tcW w:w="660" w:type="dxa"/>
            <w:vAlign w:val="bottom"/>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63"/>
        </w:trPr>
        <w:tc>
          <w:tcPr>
            <w:tcW w:w="660" w:type="dxa"/>
            <w:vAlign w:val="bottom"/>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0000EE"/>
            </w:tcBorders>
            <w:gridSpan w:val="3"/>
            <w:shd w:val="clear" w:color="auto" w:fill="CCEEFF"/>
          </w:tcPr>
          <w:p>
            <w:pPr>
              <w:spacing w:after="0"/>
              <w:rPr>
                <w:rFonts w:ascii="Arial" w:cs="Arial" w:eastAsia="Arial" w:hAnsi="Arial"/>
                <w:sz w:val="16"/>
                <w:szCs w:val="16"/>
                <w:color w:val="0000EE"/>
                <w:w w:val="91"/>
              </w:rPr>
            </w:pPr>
            <w:hyperlink w:anchor="page98">
              <w:r>
                <w:rPr>
                  <w:rFonts w:ascii="Arial" w:cs="Arial" w:eastAsia="Arial" w:hAnsi="Arial"/>
                  <w:sz w:val="16"/>
                  <w:szCs w:val="16"/>
                  <w:color w:val="0000EE"/>
                  <w:w w:val="91"/>
                </w:rPr>
                <w:t>(a)</w:t>
              </w:r>
            </w:hyperlink>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0000EE"/>
            </w:tcBorders>
            <w:gridSpan w:val="11"/>
            <w:shd w:val="clear" w:color="auto" w:fill="CCEEFF"/>
          </w:tcPr>
          <w:p>
            <w:pPr>
              <w:spacing w:after="0"/>
              <w:rPr>
                <w:rFonts w:ascii="Arial" w:cs="Arial" w:eastAsia="Arial" w:hAnsi="Arial"/>
                <w:sz w:val="16"/>
                <w:szCs w:val="16"/>
                <w:color w:val="0000EE"/>
              </w:rPr>
            </w:pPr>
            <w:hyperlink w:anchor="page98">
              <w:r>
                <w:rPr>
                  <w:rFonts w:ascii="Arial" w:cs="Arial" w:eastAsia="Arial" w:hAnsi="Arial"/>
                  <w:sz w:val="16"/>
                  <w:szCs w:val="16"/>
                  <w:color w:val="0000EE"/>
                </w:rPr>
                <w:t>Committee Powers</w:t>
              </w:r>
            </w:hyperlink>
          </w:p>
        </w:tc>
        <w:tc>
          <w:tcPr>
            <w:tcW w:w="7020" w:type="dxa"/>
            <w:vAlign w:val="bottom"/>
            <w:tcBorders>
              <w:bottom w:val="single" w:sz="8" w:color="CCEEFF"/>
            </w:tcBorders>
            <w:gridSpan w:val="24"/>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0000EE"/>
            </w:tcBorders>
            <w:gridSpan w:val="3"/>
            <w:shd w:val="clear" w:color="auto" w:fill="CCEEFF"/>
          </w:tcPr>
          <w:p>
            <w:pPr>
              <w:spacing w:after="0"/>
              <w:rPr>
                <w:rFonts w:ascii="Arial" w:cs="Arial" w:eastAsia="Arial" w:hAnsi="Arial"/>
                <w:sz w:val="16"/>
                <w:szCs w:val="16"/>
                <w:color w:val="0000EE"/>
                <w:w w:val="94"/>
              </w:rPr>
            </w:pPr>
            <w:hyperlink w:anchor="page98">
              <w:r>
                <w:rPr>
                  <w:rFonts w:ascii="Arial" w:cs="Arial" w:eastAsia="Arial" w:hAnsi="Arial"/>
                  <w:sz w:val="16"/>
                  <w:szCs w:val="16"/>
                  <w:color w:val="0000EE"/>
                  <w:w w:val="94"/>
                </w:rPr>
                <w:t>A-13</w:t>
              </w:r>
            </w:hyperlink>
          </w:p>
        </w:tc>
        <w:tc>
          <w:tcPr>
            <w:tcW w:w="20" w:type="dxa"/>
            <w:vAlign w:val="bottom"/>
            <w:tcBorders>
              <w:bottom w:val="single" w:sz="8" w:color="0000EE"/>
            </w:tcBorders>
          </w:tcPr>
          <w:p>
            <w:pPr>
              <w:spacing w:after="0"/>
              <w:rPr>
                <w:sz w:val="22"/>
                <w:szCs w:val="22"/>
                <w:color w:val="auto"/>
              </w:rPr>
            </w:pPr>
          </w:p>
        </w:tc>
        <w:tc>
          <w:tcPr>
            <w:tcW w:w="660" w:type="dxa"/>
            <w:vAlign w:val="bottom"/>
          </w:tcPr>
          <w:p>
            <w:pPr>
              <w:spacing w:after="0"/>
              <w:rPr>
                <w:sz w:val="22"/>
                <w:szCs w:val="22"/>
                <w:color w:val="auto"/>
              </w:rPr>
            </w:pPr>
          </w:p>
        </w:tc>
      </w:tr>
      <w:tr>
        <w:trPr>
          <w:trHeight w:val="243"/>
        </w:trPr>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gridSpan w:val="3"/>
          </w:tcPr>
          <w:p>
            <w:pPr>
              <w:spacing w:after="0"/>
              <w:rPr>
                <w:rFonts w:ascii="Arial" w:cs="Arial" w:eastAsia="Arial" w:hAnsi="Arial"/>
                <w:sz w:val="16"/>
                <w:szCs w:val="16"/>
                <w:color w:val="0000EE"/>
                <w:w w:val="91"/>
              </w:rPr>
            </w:pPr>
            <w:hyperlink w:anchor="page98">
              <w:r>
                <w:rPr>
                  <w:rFonts w:ascii="Arial" w:cs="Arial" w:eastAsia="Arial" w:hAnsi="Arial"/>
                  <w:sz w:val="16"/>
                  <w:szCs w:val="16"/>
                  <w:color w:val="0000EE"/>
                  <w:w w:val="91"/>
                </w:rPr>
                <w:t>(b)</w:t>
              </w:r>
            </w:hyperlink>
          </w:p>
        </w:tc>
        <w:tc>
          <w:tcPr>
            <w:tcW w:w="240" w:type="dxa"/>
            <w:vAlign w:val="bottom"/>
          </w:tcPr>
          <w:p>
            <w:pPr>
              <w:spacing w:after="0"/>
              <w:rPr>
                <w:sz w:val="21"/>
                <w:szCs w:val="21"/>
                <w:color w:val="auto"/>
              </w:rPr>
            </w:pPr>
          </w:p>
        </w:tc>
        <w:tc>
          <w:tcPr>
            <w:tcW w:w="8400" w:type="dxa"/>
            <w:vAlign w:val="bottom"/>
            <w:gridSpan w:val="35"/>
          </w:tcPr>
          <w:p>
            <w:pPr>
              <w:spacing w:after="0"/>
              <w:rPr>
                <w:rFonts w:ascii="Arial" w:cs="Arial" w:eastAsia="Arial" w:hAnsi="Arial"/>
                <w:sz w:val="16"/>
                <w:szCs w:val="16"/>
                <w:color w:val="0000EE"/>
              </w:rPr>
            </w:pPr>
            <w:hyperlink w:anchor="page98">
              <w:r>
                <w:rPr>
                  <w:rFonts w:ascii="Arial" w:cs="Arial" w:eastAsia="Arial" w:hAnsi="Arial"/>
                  <w:sz w:val="16"/>
                  <w:szCs w:val="16"/>
                  <w:color w:val="0000EE"/>
                </w:rPr>
                <w:t>General Rules</w:t>
              </w:r>
            </w:hyperlink>
          </w:p>
        </w:tc>
        <w:tc>
          <w:tcPr>
            <w:tcW w:w="40" w:type="dxa"/>
            <w:vAlign w:val="bottom"/>
          </w:tcPr>
          <w:p>
            <w:pPr>
              <w:spacing w:after="0"/>
              <w:rPr>
                <w:sz w:val="21"/>
                <w:szCs w:val="21"/>
                <w:color w:val="auto"/>
              </w:rPr>
            </w:pPr>
          </w:p>
        </w:tc>
        <w:tc>
          <w:tcPr>
            <w:tcW w:w="1020" w:type="dxa"/>
            <w:vAlign w:val="bottom"/>
            <w:gridSpan w:val="5"/>
          </w:tcPr>
          <w:p>
            <w:pPr>
              <w:spacing w:after="0"/>
              <w:rPr>
                <w:rFonts w:ascii="Arial" w:cs="Arial" w:eastAsia="Arial" w:hAnsi="Arial"/>
                <w:sz w:val="16"/>
                <w:szCs w:val="16"/>
                <w:color w:val="0000EE"/>
              </w:rPr>
            </w:pPr>
            <w:hyperlink w:anchor="page98">
              <w:r>
                <w:rPr>
                  <w:rFonts w:ascii="Arial" w:cs="Arial" w:eastAsia="Arial" w:hAnsi="Arial"/>
                  <w:sz w:val="16"/>
                  <w:szCs w:val="16"/>
                  <w:color w:val="0000EE"/>
                </w:rPr>
                <w:t>A-13</w:t>
              </w:r>
            </w:hyperlink>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660" w:type="dxa"/>
            <w:vAlign w:val="bottom"/>
          </w:tcPr>
          <w:p>
            <w:pPr>
              <w:spacing w:after="0"/>
              <w:rPr>
                <w:sz w:val="21"/>
                <w:szCs w:val="21"/>
                <w:color w:val="auto"/>
              </w:rPr>
            </w:pPr>
          </w:p>
        </w:tc>
        <w:tc>
          <w:tcPr>
            <w:tcW w:w="9000" w:type="dxa"/>
            <w:vAlign w:val="bottom"/>
            <w:gridSpan w:val="40"/>
            <w:shd w:val="clear" w:color="auto" w:fill="CCEEFF"/>
          </w:tcPr>
          <w:p>
            <w:pPr>
              <w:spacing w:after="0"/>
              <w:rPr>
                <w:rFonts w:ascii="Arial" w:cs="Arial" w:eastAsia="Arial" w:hAnsi="Arial"/>
                <w:sz w:val="16"/>
                <w:szCs w:val="16"/>
                <w:b w:val="1"/>
                <w:bCs w:val="1"/>
                <w:color w:val="0000EE"/>
              </w:rPr>
            </w:pPr>
            <w:hyperlink w:anchor="page98">
              <w:r>
                <w:rPr>
                  <w:rFonts w:ascii="Arial" w:cs="Arial" w:eastAsia="Arial" w:hAnsi="Arial"/>
                  <w:sz w:val="16"/>
                  <w:szCs w:val="16"/>
                  <w:b w:val="1"/>
                  <w:bCs w:val="1"/>
                  <w:color w:val="0000EE"/>
                </w:rPr>
                <w:t>SECTION 15.  AWARDS UNDER OTHER PLANS.</w:t>
              </w:r>
            </w:hyperlink>
          </w:p>
        </w:tc>
        <w:tc>
          <w:tcPr>
            <w:tcW w:w="40" w:type="dxa"/>
            <w:vAlign w:val="bottom"/>
            <w:shd w:val="clear" w:color="auto" w:fill="CCEEFF"/>
          </w:tcPr>
          <w:p>
            <w:pPr>
              <w:spacing w:after="0"/>
              <w:rPr>
                <w:sz w:val="21"/>
                <w:szCs w:val="21"/>
                <w:color w:val="auto"/>
              </w:rPr>
            </w:pPr>
          </w:p>
        </w:tc>
        <w:tc>
          <w:tcPr>
            <w:tcW w:w="340" w:type="dxa"/>
            <w:vAlign w:val="bottom"/>
            <w:gridSpan w:val="3"/>
            <w:shd w:val="clear" w:color="auto" w:fill="CCEEFF"/>
          </w:tcPr>
          <w:p>
            <w:pPr>
              <w:spacing w:after="0"/>
              <w:rPr>
                <w:rFonts w:ascii="Arial" w:cs="Arial" w:eastAsia="Arial" w:hAnsi="Arial"/>
                <w:sz w:val="16"/>
                <w:szCs w:val="16"/>
                <w:b w:val="1"/>
                <w:bCs w:val="1"/>
                <w:color w:val="0000EE"/>
                <w:w w:val="92"/>
              </w:rPr>
            </w:pPr>
            <w:hyperlink w:anchor="page98">
              <w:r>
                <w:rPr>
                  <w:rFonts w:ascii="Arial" w:cs="Arial" w:eastAsia="Arial" w:hAnsi="Arial"/>
                  <w:sz w:val="16"/>
                  <w:szCs w:val="16"/>
                  <w:b w:val="1"/>
                  <w:bCs w:val="1"/>
                  <w:color w:val="0000EE"/>
                  <w:w w:val="92"/>
                </w:rPr>
                <w:t>A-13</w:t>
              </w:r>
            </w:hyperlink>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34"/>
        </w:trPr>
        <w:tc>
          <w:tcPr>
            <w:tcW w:w="660" w:type="dxa"/>
            <w:vAlign w:val="bottom"/>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9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660" w:type="dxa"/>
            <w:vAlign w:val="bottom"/>
          </w:tcPr>
          <w:p>
            <w:pPr>
              <w:spacing w:after="0"/>
              <w:rPr>
                <w:sz w:val="21"/>
                <w:szCs w:val="21"/>
                <w:color w:val="auto"/>
              </w:rPr>
            </w:pPr>
          </w:p>
        </w:tc>
        <w:tc>
          <w:tcPr>
            <w:tcW w:w="9000" w:type="dxa"/>
            <w:vAlign w:val="bottom"/>
            <w:gridSpan w:val="40"/>
          </w:tcPr>
          <w:p>
            <w:pPr>
              <w:spacing w:after="0"/>
              <w:rPr>
                <w:rFonts w:ascii="Arial" w:cs="Arial" w:eastAsia="Arial" w:hAnsi="Arial"/>
                <w:sz w:val="16"/>
                <w:szCs w:val="16"/>
                <w:b w:val="1"/>
                <w:bCs w:val="1"/>
                <w:color w:val="0000EE"/>
              </w:rPr>
            </w:pPr>
            <w:hyperlink w:anchor="page98">
              <w:r>
                <w:rPr>
                  <w:rFonts w:ascii="Arial" w:cs="Arial" w:eastAsia="Arial" w:hAnsi="Arial"/>
                  <w:sz w:val="16"/>
                  <w:szCs w:val="16"/>
                  <w:b w:val="1"/>
                  <w:bCs w:val="1"/>
                  <w:color w:val="0000EE"/>
                </w:rPr>
                <w:t>SECTION 16.  PAYMENT OF DIRECTOR’S FEES IN SECURITIES.</w:t>
              </w:r>
            </w:hyperlink>
          </w:p>
        </w:tc>
        <w:tc>
          <w:tcPr>
            <w:tcW w:w="40" w:type="dxa"/>
            <w:vAlign w:val="bottom"/>
          </w:tcPr>
          <w:p>
            <w:pPr>
              <w:spacing w:after="0"/>
              <w:rPr>
                <w:sz w:val="21"/>
                <w:szCs w:val="21"/>
                <w:color w:val="auto"/>
              </w:rPr>
            </w:pPr>
          </w:p>
        </w:tc>
        <w:tc>
          <w:tcPr>
            <w:tcW w:w="1020" w:type="dxa"/>
            <w:vAlign w:val="bottom"/>
            <w:gridSpan w:val="5"/>
          </w:tcPr>
          <w:p>
            <w:pPr>
              <w:spacing w:after="0"/>
              <w:rPr>
                <w:rFonts w:ascii="Arial" w:cs="Arial" w:eastAsia="Arial" w:hAnsi="Arial"/>
                <w:sz w:val="16"/>
                <w:szCs w:val="16"/>
                <w:b w:val="1"/>
                <w:bCs w:val="1"/>
                <w:color w:val="0000EE"/>
              </w:rPr>
            </w:pPr>
            <w:hyperlink w:anchor="page98">
              <w:r>
                <w:rPr>
                  <w:rFonts w:ascii="Arial" w:cs="Arial" w:eastAsia="Arial" w:hAnsi="Arial"/>
                  <w:sz w:val="16"/>
                  <w:szCs w:val="16"/>
                  <w:b w:val="1"/>
                  <w:bCs w:val="1"/>
                  <w:color w:val="0000EE"/>
                </w:rPr>
                <w:t>A-13</w:t>
              </w:r>
            </w:hyperlink>
          </w:p>
        </w:tc>
      </w:tr>
      <w:tr>
        <w:trPr>
          <w:trHeight w:val="34"/>
        </w:trPr>
        <w:tc>
          <w:tcPr>
            <w:tcW w:w="660" w:type="dxa"/>
            <w:vAlign w:val="bottom"/>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77"/>
        </w:trPr>
        <w:tc>
          <w:tcPr>
            <w:tcW w:w="660" w:type="dxa"/>
            <w:vAlign w:val="bottom"/>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0000EE"/>
            </w:tcBorders>
            <w:gridSpan w:val="3"/>
            <w:shd w:val="clear" w:color="auto" w:fill="CCEEFF"/>
          </w:tcPr>
          <w:p>
            <w:pPr>
              <w:spacing w:after="0"/>
              <w:rPr>
                <w:rFonts w:ascii="Arial" w:cs="Arial" w:eastAsia="Arial" w:hAnsi="Arial"/>
                <w:sz w:val="16"/>
                <w:szCs w:val="16"/>
                <w:color w:val="0000EE"/>
                <w:w w:val="91"/>
              </w:rPr>
            </w:pPr>
            <w:hyperlink w:anchor="page98">
              <w:r>
                <w:rPr>
                  <w:rFonts w:ascii="Arial" w:cs="Arial" w:eastAsia="Arial" w:hAnsi="Arial"/>
                  <w:sz w:val="16"/>
                  <w:szCs w:val="16"/>
                  <w:color w:val="0000EE"/>
                  <w:w w:val="91"/>
                </w:rPr>
                <w:t>(a)</w:t>
              </w:r>
            </w:hyperlink>
          </w:p>
        </w:tc>
        <w:tc>
          <w:tcPr>
            <w:tcW w:w="2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0000EE"/>
            </w:tcBorders>
            <w:gridSpan w:val="3"/>
            <w:shd w:val="clear" w:color="auto" w:fill="CCEEFF"/>
          </w:tcPr>
          <w:p>
            <w:pPr>
              <w:spacing w:after="0"/>
              <w:rPr>
                <w:rFonts w:ascii="Arial" w:cs="Arial" w:eastAsia="Arial" w:hAnsi="Arial"/>
                <w:sz w:val="16"/>
                <w:szCs w:val="16"/>
                <w:color w:val="0000EE"/>
              </w:rPr>
            </w:pPr>
            <w:hyperlink w:anchor="page98">
              <w:r>
                <w:rPr>
                  <w:rFonts w:ascii="Arial" w:cs="Arial" w:eastAsia="Arial" w:hAnsi="Arial"/>
                  <w:sz w:val="16"/>
                  <w:szCs w:val="16"/>
                  <w:color w:val="0000EE"/>
                </w:rPr>
                <w:t>Effective Date</w:t>
              </w:r>
            </w:hyperlink>
          </w:p>
        </w:tc>
        <w:tc>
          <w:tcPr>
            <w:tcW w:w="7380" w:type="dxa"/>
            <w:vAlign w:val="bottom"/>
            <w:tcBorders>
              <w:bottom w:val="single" w:sz="8" w:color="CCEEFF"/>
            </w:tcBorders>
            <w:gridSpan w:val="32"/>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0000EE"/>
            </w:tcBorders>
            <w:gridSpan w:val="3"/>
            <w:shd w:val="clear" w:color="auto" w:fill="CCEEFF"/>
          </w:tcPr>
          <w:p>
            <w:pPr>
              <w:spacing w:after="0"/>
              <w:rPr>
                <w:rFonts w:ascii="Arial" w:cs="Arial" w:eastAsia="Arial" w:hAnsi="Arial"/>
                <w:sz w:val="16"/>
                <w:szCs w:val="16"/>
                <w:color w:val="0000EE"/>
                <w:w w:val="94"/>
              </w:rPr>
            </w:pPr>
            <w:hyperlink w:anchor="page98">
              <w:r>
                <w:rPr>
                  <w:rFonts w:ascii="Arial" w:cs="Arial" w:eastAsia="Arial" w:hAnsi="Arial"/>
                  <w:sz w:val="16"/>
                  <w:szCs w:val="16"/>
                  <w:color w:val="0000EE"/>
                  <w:w w:val="94"/>
                </w:rPr>
                <w:t>A-13</w:t>
              </w:r>
            </w:hyperlink>
          </w:p>
        </w:tc>
        <w:tc>
          <w:tcPr>
            <w:tcW w:w="20" w:type="dxa"/>
            <w:vAlign w:val="bottom"/>
            <w:tcBorders>
              <w:bottom w:val="single" w:sz="8" w:color="0000EE"/>
            </w:tcBorders>
          </w:tcPr>
          <w:p>
            <w:pPr>
              <w:spacing w:after="0"/>
              <w:rPr>
                <w:sz w:val="24"/>
                <w:szCs w:val="24"/>
                <w:color w:val="auto"/>
              </w:rPr>
            </w:pPr>
          </w:p>
        </w:tc>
        <w:tc>
          <w:tcPr>
            <w:tcW w:w="660" w:type="dxa"/>
            <w:vAlign w:val="bottom"/>
          </w:tcPr>
          <w:p>
            <w:pPr>
              <w:spacing w:after="0"/>
              <w:rPr>
                <w:sz w:val="24"/>
                <w:szCs w:val="24"/>
                <w:color w:val="auto"/>
              </w:rPr>
            </w:pPr>
          </w:p>
        </w:tc>
      </w:tr>
      <w:tr>
        <w:trPr>
          <w:trHeight w:val="243"/>
        </w:trPr>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gridSpan w:val="3"/>
          </w:tcPr>
          <w:p>
            <w:pPr>
              <w:spacing w:after="0"/>
              <w:rPr>
                <w:rFonts w:ascii="Arial" w:cs="Arial" w:eastAsia="Arial" w:hAnsi="Arial"/>
                <w:sz w:val="16"/>
                <w:szCs w:val="16"/>
                <w:color w:val="0000EE"/>
                <w:w w:val="91"/>
              </w:rPr>
            </w:pPr>
            <w:hyperlink w:anchor="page98">
              <w:r>
                <w:rPr>
                  <w:rFonts w:ascii="Arial" w:cs="Arial" w:eastAsia="Arial" w:hAnsi="Arial"/>
                  <w:sz w:val="16"/>
                  <w:szCs w:val="16"/>
                  <w:color w:val="0000EE"/>
                  <w:w w:val="91"/>
                </w:rPr>
                <w:t>(b)</w:t>
              </w:r>
            </w:hyperlink>
          </w:p>
        </w:tc>
        <w:tc>
          <w:tcPr>
            <w:tcW w:w="240" w:type="dxa"/>
            <w:vAlign w:val="bottom"/>
          </w:tcPr>
          <w:p>
            <w:pPr>
              <w:spacing w:after="0"/>
              <w:rPr>
                <w:sz w:val="21"/>
                <w:szCs w:val="21"/>
                <w:color w:val="auto"/>
              </w:rPr>
            </w:pPr>
          </w:p>
        </w:tc>
        <w:tc>
          <w:tcPr>
            <w:tcW w:w="8400" w:type="dxa"/>
            <w:vAlign w:val="bottom"/>
            <w:gridSpan w:val="35"/>
          </w:tcPr>
          <w:p>
            <w:pPr>
              <w:spacing w:after="0"/>
              <w:rPr>
                <w:rFonts w:ascii="Arial" w:cs="Arial" w:eastAsia="Arial" w:hAnsi="Arial"/>
                <w:sz w:val="16"/>
                <w:szCs w:val="16"/>
                <w:color w:val="0000EE"/>
              </w:rPr>
            </w:pPr>
            <w:hyperlink w:anchor="page98">
              <w:r>
                <w:rPr>
                  <w:rFonts w:ascii="Arial" w:cs="Arial" w:eastAsia="Arial" w:hAnsi="Arial"/>
                  <w:sz w:val="16"/>
                  <w:szCs w:val="16"/>
                  <w:color w:val="0000EE"/>
                </w:rPr>
                <w:t>Elections to Receive NSOs, SARs, Restricted Shares, or Restricted Stock Units</w:t>
              </w:r>
            </w:hyperlink>
          </w:p>
        </w:tc>
        <w:tc>
          <w:tcPr>
            <w:tcW w:w="40" w:type="dxa"/>
            <w:vAlign w:val="bottom"/>
          </w:tcPr>
          <w:p>
            <w:pPr>
              <w:spacing w:after="0"/>
              <w:rPr>
                <w:sz w:val="21"/>
                <w:szCs w:val="21"/>
                <w:color w:val="auto"/>
              </w:rPr>
            </w:pPr>
          </w:p>
        </w:tc>
        <w:tc>
          <w:tcPr>
            <w:tcW w:w="1020" w:type="dxa"/>
            <w:vAlign w:val="bottom"/>
            <w:gridSpan w:val="5"/>
          </w:tcPr>
          <w:p>
            <w:pPr>
              <w:spacing w:after="0"/>
              <w:rPr>
                <w:rFonts w:ascii="Arial" w:cs="Arial" w:eastAsia="Arial" w:hAnsi="Arial"/>
                <w:sz w:val="16"/>
                <w:szCs w:val="16"/>
                <w:color w:val="0000EE"/>
              </w:rPr>
            </w:pPr>
            <w:hyperlink w:anchor="page98">
              <w:r>
                <w:rPr>
                  <w:rFonts w:ascii="Arial" w:cs="Arial" w:eastAsia="Arial" w:hAnsi="Arial"/>
                  <w:sz w:val="16"/>
                  <w:szCs w:val="16"/>
                  <w:color w:val="0000EE"/>
                </w:rPr>
                <w:t>A-13</w:t>
              </w:r>
            </w:hyperlink>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3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660" w:type="dxa"/>
            <w:vAlign w:val="bottom"/>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gridSpan w:val="3"/>
            <w:shd w:val="clear" w:color="auto" w:fill="CCEEFF"/>
          </w:tcPr>
          <w:p>
            <w:pPr>
              <w:spacing w:after="0"/>
              <w:rPr>
                <w:rFonts w:ascii="Arial" w:cs="Arial" w:eastAsia="Arial" w:hAnsi="Arial"/>
                <w:sz w:val="16"/>
                <w:szCs w:val="16"/>
                <w:color w:val="0000EE"/>
                <w:w w:val="96"/>
              </w:rPr>
            </w:pPr>
            <w:hyperlink w:anchor="page98">
              <w:r>
                <w:rPr>
                  <w:rFonts w:ascii="Arial" w:cs="Arial" w:eastAsia="Arial" w:hAnsi="Arial"/>
                  <w:sz w:val="16"/>
                  <w:szCs w:val="16"/>
                  <w:color w:val="0000EE"/>
                  <w:w w:val="96"/>
                </w:rPr>
                <w:t>(c)</w:t>
              </w:r>
            </w:hyperlink>
          </w:p>
        </w:tc>
        <w:tc>
          <w:tcPr>
            <w:tcW w:w="240" w:type="dxa"/>
            <w:vAlign w:val="bottom"/>
            <w:shd w:val="clear" w:color="auto" w:fill="CCEEFF"/>
          </w:tcPr>
          <w:p>
            <w:pPr>
              <w:spacing w:after="0"/>
              <w:rPr>
                <w:sz w:val="21"/>
                <w:szCs w:val="21"/>
                <w:color w:val="auto"/>
              </w:rPr>
            </w:pPr>
          </w:p>
        </w:tc>
        <w:tc>
          <w:tcPr>
            <w:tcW w:w="8400" w:type="dxa"/>
            <w:vAlign w:val="bottom"/>
            <w:gridSpan w:val="35"/>
            <w:shd w:val="clear" w:color="auto" w:fill="CCEEFF"/>
          </w:tcPr>
          <w:p>
            <w:pPr>
              <w:spacing w:after="0"/>
              <w:rPr>
                <w:rFonts w:ascii="Arial" w:cs="Arial" w:eastAsia="Arial" w:hAnsi="Arial"/>
                <w:sz w:val="16"/>
                <w:szCs w:val="16"/>
                <w:color w:val="0000EE"/>
              </w:rPr>
            </w:pPr>
            <w:hyperlink w:anchor="page98">
              <w:r>
                <w:rPr>
                  <w:rFonts w:ascii="Arial" w:cs="Arial" w:eastAsia="Arial" w:hAnsi="Arial"/>
                  <w:sz w:val="16"/>
                  <w:szCs w:val="16"/>
                  <w:color w:val="0000EE"/>
                </w:rPr>
                <w:t>Number and Terms of NSOs, SARs, Restricted Shares or Restricted Stock Units</w:t>
              </w:r>
            </w:hyperlink>
          </w:p>
        </w:tc>
        <w:tc>
          <w:tcPr>
            <w:tcW w:w="40" w:type="dxa"/>
            <w:vAlign w:val="bottom"/>
            <w:shd w:val="clear" w:color="auto" w:fill="CCEEFF"/>
          </w:tcPr>
          <w:p>
            <w:pPr>
              <w:spacing w:after="0"/>
              <w:rPr>
                <w:sz w:val="21"/>
                <w:szCs w:val="21"/>
                <w:color w:val="auto"/>
              </w:rPr>
            </w:pPr>
          </w:p>
        </w:tc>
        <w:tc>
          <w:tcPr>
            <w:tcW w:w="340" w:type="dxa"/>
            <w:vAlign w:val="bottom"/>
            <w:gridSpan w:val="3"/>
            <w:shd w:val="clear" w:color="auto" w:fill="CCEEFF"/>
          </w:tcPr>
          <w:p>
            <w:pPr>
              <w:spacing w:after="0"/>
              <w:rPr>
                <w:rFonts w:ascii="Arial" w:cs="Arial" w:eastAsia="Arial" w:hAnsi="Arial"/>
                <w:sz w:val="16"/>
                <w:szCs w:val="16"/>
                <w:color w:val="0000EE"/>
                <w:w w:val="94"/>
              </w:rPr>
            </w:pPr>
            <w:hyperlink w:anchor="page98">
              <w:r>
                <w:rPr>
                  <w:rFonts w:ascii="Arial" w:cs="Arial" w:eastAsia="Arial" w:hAnsi="Arial"/>
                  <w:sz w:val="16"/>
                  <w:szCs w:val="16"/>
                  <w:color w:val="0000EE"/>
                  <w:w w:val="94"/>
                </w:rPr>
                <w:t>A-13</w:t>
              </w:r>
            </w:hyperlink>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34"/>
        </w:trPr>
        <w:tc>
          <w:tcPr>
            <w:tcW w:w="66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660" w:type="dxa"/>
            <w:vAlign w:val="bottom"/>
          </w:tcPr>
          <w:p>
            <w:pPr>
              <w:spacing w:after="0"/>
              <w:rPr>
                <w:sz w:val="21"/>
                <w:szCs w:val="21"/>
                <w:color w:val="auto"/>
              </w:rPr>
            </w:pPr>
          </w:p>
        </w:tc>
        <w:tc>
          <w:tcPr>
            <w:tcW w:w="9000" w:type="dxa"/>
            <w:vAlign w:val="bottom"/>
            <w:gridSpan w:val="40"/>
          </w:tcPr>
          <w:p>
            <w:pPr>
              <w:spacing w:after="0"/>
              <w:rPr>
                <w:rFonts w:ascii="Arial" w:cs="Arial" w:eastAsia="Arial" w:hAnsi="Arial"/>
                <w:sz w:val="16"/>
                <w:szCs w:val="16"/>
                <w:b w:val="1"/>
                <w:bCs w:val="1"/>
                <w:color w:val="0000EE"/>
              </w:rPr>
            </w:pPr>
            <w:hyperlink w:anchor="page98">
              <w:r>
                <w:rPr>
                  <w:rFonts w:ascii="Arial" w:cs="Arial" w:eastAsia="Arial" w:hAnsi="Arial"/>
                  <w:sz w:val="16"/>
                  <w:szCs w:val="16"/>
                  <w:b w:val="1"/>
                  <w:bCs w:val="1"/>
                  <w:color w:val="0000EE"/>
                </w:rPr>
                <w:t>SECTION 17.  LEGAL AND REGULATORY REQUIREMENTS.</w:t>
              </w:r>
            </w:hyperlink>
          </w:p>
        </w:tc>
        <w:tc>
          <w:tcPr>
            <w:tcW w:w="40" w:type="dxa"/>
            <w:vAlign w:val="bottom"/>
          </w:tcPr>
          <w:p>
            <w:pPr>
              <w:spacing w:after="0"/>
              <w:rPr>
                <w:sz w:val="21"/>
                <w:szCs w:val="21"/>
                <w:color w:val="auto"/>
              </w:rPr>
            </w:pPr>
          </w:p>
        </w:tc>
        <w:tc>
          <w:tcPr>
            <w:tcW w:w="1020" w:type="dxa"/>
            <w:vAlign w:val="bottom"/>
            <w:gridSpan w:val="5"/>
          </w:tcPr>
          <w:p>
            <w:pPr>
              <w:spacing w:after="0"/>
              <w:rPr>
                <w:rFonts w:ascii="Arial" w:cs="Arial" w:eastAsia="Arial" w:hAnsi="Arial"/>
                <w:sz w:val="16"/>
                <w:szCs w:val="16"/>
                <w:b w:val="1"/>
                <w:bCs w:val="1"/>
                <w:color w:val="0000EE"/>
              </w:rPr>
            </w:pPr>
            <w:hyperlink w:anchor="page98">
              <w:r>
                <w:rPr>
                  <w:rFonts w:ascii="Arial" w:cs="Arial" w:eastAsia="Arial" w:hAnsi="Arial"/>
                  <w:sz w:val="16"/>
                  <w:szCs w:val="16"/>
                  <w:b w:val="1"/>
                  <w:bCs w:val="1"/>
                  <w:color w:val="0000EE"/>
                </w:rPr>
                <w:t>A-13</w:t>
              </w:r>
            </w:hyperlink>
          </w:p>
        </w:tc>
      </w:tr>
      <w:tr>
        <w:trPr>
          <w:trHeight w:val="34"/>
        </w:trPr>
        <w:tc>
          <w:tcPr>
            <w:tcW w:w="660" w:type="dxa"/>
            <w:vAlign w:val="bottom"/>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r>
      <w:tr>
        <w:trPr>
          <w:trHeight w:val="277"/>
        </w:trPr>
        <w:tc>
          <w:tcPr>
            <w:tcW w:w="660" w:type="dxa"/>
            <w:vAlign w:val="bottom"/>
          </w:tcPr>
          <w:p>
            <w:pPr>
              <w:spacing w:after="0"/>
              <w:rPr>
                <w:sz w:val="24"/>
                <w:szCs w:val="24"/>
                <w:color w:val="auto"/>
              </w:rPr>
            </w:pPr>
          </w:p>
        </w:tc>
        <w:tc>
          <w:tcPr>
            <w:tcW w:w="1700" w:type="dxa"/>
            <w:vAlign w:val="bottom"/>
            <w:tcBorders>
              <w:bottom w:val="single" w:sz="8" w:color="0000EE"/>
            </w:tcBorders>
            <w:gridSpan w:val="10"/>
            <w:shd w:val="clear" w:color="auto" w:fill="CCEEFF"/>
          </w:tcPr>
          <w:p>
            <w:pPr>
              <w:spacing w:after="0"/>
              <w:rPr>
                <w:rFonts w:ascii="Arial" w:cs="Arial" w:eastAsia="Arial" w:hAnsi="Arial"/>
                <w:sz w:val="16"/>
                <w:szCs w:val="16"/>
                <w:b w:val="1"/>
                <w:bCs w:val="1"/>
                <w:color w:val="0000EE"/>
              </w:rPr>
            </w:pPr>
            <w:hyperlink w:anchor="page99">
              <w:r>
                <w:rPr>
                  <w:rFonts w:ascii="Arial" w:cs="Arial" w:eastAsia="Arial" w:hAnsi="Arial"/>
                  <w:sz w:val="16"/>
                  <w:szCs w:val="16"/>
                  <w:b w:val="1"/>
                  <w:bCs w:val="1"/>
                  <w:color w:val="0000EE"/>
                </w:rPr>
                <w:t>SECTION 18.  TAXES.</w:t>
              </w:r>
            </w:hyperlink>
          </w:p>
        </w:tc>
        <w:tc>
          <w:tcPr>
            <w:tcW w:w="7300" w:type="dxa"/>
            <w:vAlign w:val="bottom"/>
            <w:tcBorders>
              <w:bottom w:val="single" w:sz="8" w:color="CCEEFF"/>
            </w:tcBorders>
            <w:gridSpan w:val="30"/>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0000EE"/>
            </w:tcBorders>
            <w:gridSpan w:val="3"/>
            <w:shd w:val="clear" w:color="auto" w:fill="CCEEFF"/>
          </w:tcPr>
          <w:p>
            <w:pPr>
              <w:spacing w:after="0"/>
              <w:rPr>
                <w:rFonts w:ascii="Arial" w:cs="Arial" w:eastAsia="Arial" w:hAnsi="Arial"/>
                <w:sz w:val="16"/>
                <w:szCs w:val="16"/>
                <w:b w:val="1"/>
                <w:bCs w:val="1"/>
                <w:color w:val="0000EE"/>
                <w:w w:val="92"/>
              </w:rPr>
            </w:pPr>
            <w:hyperlink w:anchor="page99">
              <w:r>
                <w:rPr>
                  <w:rFonts w:ascii="Arial" w:cs="Arial" w:eastAsia="Arial" w:hAnsi="Arial"/>
                  <w:sz w:val="16"/>
                  <w:szCs w:val="16"/>
                  <w:b w:val="1"/>
                  <w:bCs w:val="1"/>
                  <w:color w:val="0000EE"/>
                  <w:w w:val="92"/>
                </w:rPr>
                <w:t>A-14</w:t>
              </w:r>
            </w:hyperlink>
          </w:p>
        </w:tc>
        <w:tc>
          <w:tcPr>
            <w:tcW w:w="20" w:type="dxa"/>
            <w:vAlign w:val="bottom"/>
            <w:tcBorders>
              <w:bottom w:val="single" w:sz="8" w:color="0000EE"/>
            </w:tcBorders>
          </w:tcPr>
          <w:p>
            <w:pPr>
              <w:spacing w:after="0"/>
              <w:rPr>
                <w:sz w:val="24"/>
                <w:szCs w:val="24"/>
                <w:color w:val="auto"/>
              </w:rPr>
            </w:pPr>
          </w:p>
        </w:tc>
        <w:tc>
          <w:tcPr>
            <w:tcW w:w="660" w:type="dxa"/>
            <w:vAlign w:val="bottom"/>
          </w:tcPr>
          <w:p>
            <w:pPr>
              <w:spacing w:after="0"/>
              <w:rPr>
                <w:sz w:val="24"/>
                <w:szCs w:val="24"/>
                <w:color w:val="auto"/>
              </w:rPr>
            </w:pPr>
          </w:p>
        </w:tc>
      </w:tr>
      <w:tr>
        <w:trPr>
          <w:trHeight w:val="243"/>
        </w:trPr>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gridSpan w:val="3"/>
          </w:tcPr>
          <w:p>
            <w:pPr>
              <w:spacing w:after="0"/>
              <w:rPr>
                <w:rFonts w:ascii="Arial" w:cs="Arial" w:eastAsia="Arial" w:hAnsi="Arial"/>
                <w:sz w:val="16"/>
                <w:szCs w:val="16"/>
                <w:color w:val="0000EE"/>
                <w:w w:val="91"/>
              </w:rPr>
            </w:pPr>
            <w:hyperlink w:anchor="page99">
              <w:r>
                <w:rPr>
                  <w:rFonts w:ascii="Arial" w:cs="Arial" w:eastAsia="Arial" w:hAnsi="Arial"/>
                  <w:sz w:val="16"/>
                  <w:szCs w:val="16"/>
                  <w:color w:val="0000EE"/>
                  <w:w w:val="91"/>
                </w:rPr>
                <w:t>(a)</w:t>
              </w:r>
            </w:hyperlink>
          </w:p>
        </w:tc>
        <w:tc>
          <w:tcPr>
            <w:tcW w:w="240" w:type="dxa"/>
            <w:vAlign w:val="bottom"/>
          </w:tcPr>
          <w:p>
            <w:pPr>
              <w:spacing w:after="0"/>
              <w:rPr>
                <w:sz w:val="21"/>
                <w:szCs w:val="21"/>
                <w:color w:val="auto"/>
              </w:rPr>
            </w:pPr>
          </w:p>
        </w:tc>
        <w:tc>
          <w:tcPr>
            <w:tcW w:w="8400" w:type="dxa"/>
            <w:vAlign w:val="bottom"/>
            <w:gridSpan w:val="35"/>
          </w:tcPr>
          <w:p>
            <w:pPr>
              <w:spacing w:after="0"/>
              <w:rPr>
                <w:rFonts w:ascii="Arial" w:cs="Arial" w:eastAsia="Arial" w:hAnsi="Arial"/>
                <w:sz w:val="16"/>
                <w:szCs w:val="16"/>
                <w:color w:val="0000EE"/>
              </w:rPr>
            </w:pPr>
            <w:hyperlink w:anchor="page99">
              <w:r>
                <w:rPr>
                  <w:rFonts w:ascii="Arial" w:cs="Arial" w:eastAsia="Arial" w:hAnsi="Arial"/>
                  <w:sz w:val="16"/>
                  <w:szCs w:val="16"/>
                  <w:color w:val="0000EE"/>
                </w:rPr>
                <w:t>Withholding Taxes</w:t>
              </w:r>
            </w:hyperlink>
          </w:p>
        </w:tc>
        <w:tc>
          <w:tcPr>
            <w:tcW w:w="40" w:type="dxa"/>
            <w:vAlign w:val="bottom"/>
          </w:tcPr>
          <w:p>
            <w:pPr>
              <w:spacing w:after="0"/>
              <w:rPr>
                <w:sz w:val="21"/>
                <w:szCs w:val="21"/>
                <w:color w:val="auto"/>
              </w:rPr>
            </w:pPr>
          </w:p>
        </w:tc>
        <w:tc>
          <w:tcPr>
            <w:tcW w:w="1020" w:type="dxa"/>
            <w:vAlign w:val="bottom"/>
            <w:gridSpan w:val="5"/>
          </w:tcPr>
          <w:p>
            <w:pPr>
              <w:spacing w:after="0"/>
              <w:rPr>
                <w:rFonts w:ascii="Arial" w:cs="Arial" w:eastAsia="Arial" w:hAnsi="Arial"/>
                <w:sz w:val="16"/>
                <w:szCs w:val="16"/>
                <w:color w:val="0000EE"/>
              </w:rPr>
            </w:pPr>
            <w:hyperlink w:anchor="page99">
              <w:r>
                <w:rPr>
                  <w:rFonts w:ascii="Arial" w:cs="Arial" w:eastAsia="Arial" w:hAnsi="Arial"/>
                  <w:sz w:val="16"/>
                  <w:szCs w:val="16"/>
                  <w:color w:val="0000EE"/>
                </w:rPr>
                <w:t>A-14</w:t>
              </w:r>
            </w:hyperlink>
          </w:p>
        </w:tc>
      </w:tr>
      <w:tr>
        <w:trPr>
          <w:trHeight w:val="20"/>
        </w:trPr>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518"/>
        </w:trPr>
        <w:tc>
          <w:tcPr>
            <w:tcW w:w="660" w:type="dxa"/>
            <w:vAlign w:val="bottom"/>
          </w:tcPr>
          <w:p>
            <w:pPr>
              <w:spacing w:after="0"/>
              <w:rPr>
                <w:sz w:val="24"/>
                <w:szCs w:val="24"/>
                <w:color w:val="auto"/>
              </w:rPr>
            </w:pPr>
          </w:p>
        </w:tc>
        <w:tc>
          <w:tcPr>
            <w:tcW w:w="9000" w:type="dxa"/>
            <w:vAlign w:val="bottom"/>
            <w:gridSpan w:val="40"/>
          </w:tcPr>
          <w:p>
            <w:pPr>
              <w:spacing w:after="0"/>
              <w:rPr>
                <w:sz w:val="20"/>
                <w:szCs w:val="20"/>
                <w:color w:val="auto"/>
              </w:rPr>
            </w:pPr>
            <w:r>
              <w:rPr>
                <w:rFonts w:ascii="Arial" w:cs="Arial" w:eastAsia="Arial" w:hAnsi="Arial"/>
                <w:sz w:val="13"/>
                <w:szCs w:val="13"/>
                <w:color w:val="auto"/>
              </w:rPr>
              <w:t>2022 Proxy Statement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3"/>
                <w:szCs w:val="13"/>
                <w:b w:val="1"/>
                <w:bCs w:val="1"/>
                <w:color w:val="auto"/>
              </w:rPr>
              <w:t>A-iii</w:t>
            </w:r>
          </w:p>
        </w:tc>
      </w:tr>
      <w:tr>
        <w:trPr>
          <w:trHeight w:val="171"/>
        </w:trPr>
        <w:tc>
          <w:tcPr>
            <w:tcW w:w="6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6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-7714615</wp:posOffset>
            </wp:positionV>
            <wp:extent cx="571754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717540" cy="1714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85" w:name="page86"/>
    <w:bookmarkEnd w:id="85"/>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660" w:type="dxa"/>
        <w:tblCellMar>
          <w:top w:w="0" w:type="dxa"/>
          <w:left w:w="0" w:type="dxa"/>
          <w:bottom w:w="0" w:type="dxa"/>
          <w:right w:w="0" w:type="dxa"/>
        </w:tblCellMar>
      </w:tblPr>
      <w:tr>
        <w:trPr>
          <w:trHeight w:val="168"/>
        </w:trPr>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3"/>
                <w:szCs w:val="13"/>
                <w:b w:val="1"/>
                <w:bCs w:val="1"/>
                <w:color w:val="auto"/>
              </w:rPr>
              <w:t>Page</w:t>
            </w:r>
          </w:p>
        </w:tc>
      </w:tr>
      <w:tr>
        <w:trPr>
          <w:trHeight w:val="63"/>
        </w:trPr>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gridSpan w:val="2"/>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920" w:type="dxa"/>
            <w:vAlign w:val="bottom"/>
          </w:tcPr>
          <w:p>
            <w:pPr>
              <w:spacing w:after="0"/>
              <w:rPr>
                <w:sz w:val="5"/>
                <w:szCs w:val="5"/>
                <w:color w:val="auto"/>
              </w:rPr>
            </w:pPr>
          </w:p>
        </w:tc>
        <w:tc>
          <w:tcPr>
            <w:tcW w:w="2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gridSpan w:val="2"/>
          </w:tcPr>
          <w:p>
            <w:pPr>
              <w:spacing w:after="0"/>
              <w:rPr>
                <w:sz w:val="5"/>
                <w:szCs w:val="5"/>
                <w:color w:val="auto"/>
              </w:rPr>
            </w:pPr>
          </w:p>
        </w:tc>
      </w:tr>
      <w:tr>
        <w:trPr>
          <w:trHeight w:val="250"/>
        </w:trPr>
        <w:tc>
          <w:tcPr>
            <w:tcW w:w="16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gridSpan w:val="2"/>
            <w:shd w:val="clear" w:color="auto" w:fill="CCEEFF"/>
          </w:tcPr>
          <w:p>
            <w:pPr>
              <w:spacing w:after="0"/>
              <w:rPr>
                <w:rFonts w:ascii="Arial" w:cs="Arial" w:eastAsia="Arial" w:hAnsi="Arial"/>
                <w:sz w:val="16"/>
                <w:szCs w:val="16"/>
                <w:color w:val="0000EE"/>
                <w:w w:val="91"/>
              </w:rPr>
            </w:pPr>
            <w:hyperlink w:anchor="page99">
              <w:r>
                <w:rPr>
                  <w:rFonts w:ascii="Arial" w:cs="Arial" w:eastAsia="Arial" w:hAnsi="Arial"/>
                  <w:sz w:val="16"/>
                  <w:szCs w:val="16"/>
                  <w:color w:val="0000EE"/>
                  <w:w w:val="91"/>
                </w:rPr>
                <w:t>(b)</w:t>
              </w:r>
            </w:hyperlink>
          </w:p>
        </w:tc>
        <w:tc>
          <w:tcPr>
            <w:tcW w:w="240" w:type="dxa"/>
            <w:vAlign w:val="bottom"/>
            <w:tcBorders>
              <w:top w:val="single" w:sz="8" w:color="CCEEFF"/>
            </w:tcBorders>
            <w:shd w:val="clear" w:color="auto" w:fill="CCEEFF"/>
          </w:tcPr>
          <w:p>
            <w:pPr>
              <w:spacing w:after="0"/>
              <w:rPr>
                <w:sz w:val="21"/>
                <w:szCs w:val="21"/>
                <w:color w:val="auto"/>
              </w:rPr>
            </w:pPr>
          </w:p>
        </w:tc>
        <w:tc>
          <w:tcPr>
            <w:tcW w:w="8400" w:type="dxa"/>
            <w:vAlign w:val="bottom"/>
            <w:tcBorders>
              <w:top w:val="single" w:sz="8" w:color="CCEEFF"/>
            </w:tcBorders>
            <w:gridSpan w:val="15"/>
            <w:shd w:val="clear" w:color="auto" w:fill="CCEEFF"/>
          </w:tcPr>
          <w:p>
            <w:pPr>
              <w:spacing w:after="0"/>
              <w:rPr>
                <w:rFonts w:ascii="Arial" w:cs="Arial" w:eastAsia="Arial" w:hAnsi="Arial"/>
                <w:sz w:val="16"/>
                <w:szCs w:val="16"/>
                <w:color w:val="0000EE"/>
              </w:rPr>
            </w:pPr>
            <w:hyperlink w:anchor="page99">
              <w:r>
                <w:rPr>
                  <w:rFonts w:ascii="Arial" w:cs="Arial" w:eastAsia="Arial" w:hAnsi="Arial"/>
                  <w:sz w:val="16"/>
                  <w:szCs w:val="16"/>
                  <w:color w:val="0000EE"/>
                </w:rPr>
                <w:t>Share Withholding</w:t>
              </w:r>
            </w:hyperlink>
          </w:p>
        </w:tc>
        <w:tc>
          <w:tcPr>
            <w:tcW w:w="40" w:type="dxa"/>
            <w:vAlign w:val="bottom"/>
            <w:tcBorders>
              <w:top w:val="single" w:sz="8" w:color="auto"/>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rFonts w:ascii="Arial" w:cs="Arial" w:eastAsia="Arial" w:hAnsi="Arial"/>
                <w:sz w:val="16"/>
                <w:szCs w:val="16"/>
                <w:color w:val="0000EE"/>
                <w:w w:val="94"/>
              </w:rPr>
            </w:pPr>
            <w:hyperlink w:anchor="page99">
              <w:r>
                <w:rPr>
                  <w:rFonts w:ascii="Arial" w:cs="Arial" w:eastAsia="Arial" w:hAnsi="Arial"/>
                  <w:sz w:val="16"/>
                  <w:szCs w:val="16"/>
                  <w:color w:val="0000EE"/>
                  <w:w w:val="94"/>
                </w:rPr>
                <w:t>A-14</w:t>
              </w:r>
            </w:hyperlink>
          </w:p>
        </w:tc>
        <w:tc>
          <w:tcPr>
            <w:tcW w:w="20" w:type="dxa"/>
            <w:vAlign w:val="bottom"/>
          </w:tcPr>
          <w:p>
            <w:pPr>
              <w:spacing w:after="0"/>
              <w:rPr>
                <w:sz w:val="21"/>
                <w:szCs w:val="21"/>
                <w:color w:val="auto"/>
              </w:rPr>
            </w:pPr>
          </w:p>
        </w:tc>
      </w:tr>
      <w:tr>
        <w:trPr>
          <w:trHeight w:val="230"/>
        </w:trPr>
        <w:tc>
          <w:tcPr>
            <w:tcW w:w="160" w:type="dxa"/>
            <w:vAlign w:val="bottom"/>
            <w:tcBorders>
              <w:top w:val="single" w:sz="8" w:color="CCEEFF"/>
            </w:tcBorders>
          </w:tcPr>
          <w:p>
            <w:pPr>
              <w:spacing w:after="0"/>
              <w:rPr>
                <w:sz w:val="19"/>
                <w:szCs w:val="19"/>
                <w:color w:val="auto"/>
              </w:rPr>
            </w:pPr>
          </w:p>
        </w:tc>
        <w:tc>
          <w:tcPr>
            <w:tcW w:w="200" w:type="dxa"/>
            <w:vAlign w:val="bottom"/>
            <w:tcBorders>
              <w:top w:val="single" w:sz="8" w:color="0000EE"/>
            </w:tcBorders>
            <w:gridSpan w:val="2"/>
          </w:tcPr>
          <w:p>
            <w:pPr>
              <w:spacing w:after="0"/>
              <w:rPr>
                <w:rFonts w:ascii="Arial" w:cs="Arial" w:eastAsia="Arial" w:hAnsi="Arial"/>
                <w:sz w:val="16"/>
                <w:szCs w:val="16"/>
                <w:color w:val="0000EE"/>
                <w:w w:val="96"/>
              </w:rPr>
            </w:pPr>
            <w:hyperlink w:anchor="page99">
              <w:r>
                <w:rPr>
                  <w:rFonts w:ascii="Arial" w:cs="Arial" w:eastAsia="Arial" w:hAnsi="Arial"/>
                  <w:sz w:val="16"/>
                  <w:szCs w:val="16"/>
                  <w:color w:val="0000EE"/>
                  <w:w w:val="96"/>
                </w:rPr>
                <w:t>(c)</w:t>
              </w:r>
            </w:hyperlink>
          </w:p>
        </w:tc>
        <w:tc>
          <w:tcPr>
            <w:tcW w:w="240" w:type="dxa"/>
            <w:vAlign w:val="bottom"/>
            <w:tcBorders>
              <w:top w:val="single" w:sz="8" w:color="CCEEFF"/>
            </w:tcBorders>
          </w:tcPr>
          <w:p>
            <w:pPr>
              <w:spacing w:after="0"/>
              <w:rPr>
                <w:sz w:val="19"/>
                <w:szCs w:val="19"/>
                <w:color w:val="auto"/>
              </w:rPr>
            </w:pPr>
          </w:p>
        </w:tc>
        <w:tc>
          <w:tcPr>
            <w:tcW w:w="1320" w:type="dxa"/>
            <w:vAlign w:val="bottom"/>
            <w:tcBorders>
              <w:top w:val="single" w:sz="8" w:color="0000EE"/>
            </w:tcBorders>
            <w:gridSpan w:val="4"/>
          </w:tcPr>
          <w:p>
            <w:pPr>
              <w:spacing w:after="0"/>
              <w:rPr>
                <w:rFonts w:ascii="Arial" w:cs="Arial" w:eastAsia="Arial" w:hAnsi="Arial"/>
                <w:sz w:val="16"/>
                <w:szCs w:val="16"/>
                <w:color w:val="0000EE"/>
              </w:rPr>
            </w:pPr>
            <w:hyperlink w:anchor="page99">
              <w:r>
                <w:rPr>
                  <w:rFonts w:ascii="Arial" w:cs="Arial" w:eastAsia="Arial" w:hAnsi="Arial"/>
                  <w:sz w:val="16"/>
                  <w:szCs w:val="16"/>
                  <w:color w:val="0000EE"/>
                </w:rPr>
                <w:t>Section 409A</w:t>
              </w:r>
            </w:hyperlink>
          </w:p>
        </w:tc>
        <w:tc>
          <w:tcPr>
            <w:tcW w:w="7080" w:type="dxa"/>
            <w:vAlign w:val="bottom"/>
            <w:tcBorders>
              <w:top w:val="single" w:sz="8" w:color="CCEEFF"/>
            </w:tcBorders>
            <w:gridSpan w:val="11"/>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0000EE"/>
            </w:tcBorders>
            <w:gridSpan w:val="2"/>
          </w:tcPr>
          <w:p>
            <w:pPr>
              <w:spacing w:after="0"/>
              <w:rPr>
                <w:rFonts w:ascii="Arial" w:cs="Arial" w:eastAsia="Arial" w:hAnsi="Arial"/>
                <w:sz w:val="16"/>
                <w:szCs w:val="16"/>
                <w:color w:val="0000EE"/>
              </w:rPr>
            </w:pPr>
            <w:hyperlink w:anchor="page99">
              <w:r>
                <w:rPr>
                  <w:rFonts w:ascii="Arial" w:cs="Arial" w:eastAsia="Arial" w:hAnsi="Arial"/>
                  <w:sz w:val="16"/>
                  <w:szCs w:val="16"/>
                  <w:color w:val="0000EE"/>
                </w:rPr>
                <w:t>A-14</w:t>
              </w:r>
            </w:hyperlink>
          </w:p>
        </w:tc>
      </w:tr>
      <w:tr>
        <w:trPr>
          <w:trHeight w:val="34"/>
        </w:trPr>
        <w:tc>
          <w:tcPr>
            <w:tcW w:w="1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r>
      <w:tr>
        <w:trPr>
          <w:trHeight w:val="263"/>
        </w:trPr>
        <w:tc>
          <w:tcPr>
            <w:tcW w:w="1060" w:type="dxa"/>
            <w:vAlign w:val="bottom"/>
            <w:tcBorders>
              <w:bottom w:val="single" w:sz="8" w:color="0000EE"/>
            </w:tcBorders>
            <w:gridSpan w:val="5"/>
            <w:shd w:val="clear" w:color="auto" w:fill="CCEEFF"/>
          </w:tcPr>
          <w:p>
            <w:pPr>
              <w:spacing w:after="0"/>
              <w:rPr>
                <w:rFonts w:ascii="Arial" w:cs="Arial" w:eastAsia="Arial" w:hAnsi="Arial"/>
                <w:sz w:val="16"/>
                <w:szCs w:val="16"/>
                <w:b w:val="1"/>
                <w:bCs w:val="1"/>
                <w:color w:val="0000EE"/>
              </w:rPr>
            </w:pPr>
            <w:hyperlink w:anchor="page99">
              <w:r>
                <w:rPr>
                  <w:rFonts w:ascii="Arial" w:cs="Arial" w:eastAsia="Arial" w:hAnsi="Arial"/>
                  <w:sz w:val="16"/>
                  <w:szCs w:val="16"/>
                  <w:b w:val="1"/>
                  <w:bCs w:val="1"/>
                  <w:color w:val="0000EE"/>
                </w:rPr>
                <w:t>SECTION 19.</w:t>
              </w:r>
            </w:hyperlink>
          </w:p>
        </w:tc>
        <w:tc>
          <w:tcPr>
            <w:tcW w:w="1600" w:type="dxa"/>
            <w:vAlign w:val="bottom"/>
            <w:tcBorders>
              <w:bottom w:val="single" w:sz="8" w:color="0000EE"/>
            </w:tcBorders>
            <w:gridSpan w:val="7"/>
            <w:shd w:val="clear" w:color="auto" w:fill="CCEEFF"/>
          </w:tcPr>
          <w:p>
            <w:pPr>
              <w:ind w:left="60"/>
              <w:spacing w:after="0"/>
              <w:rPr>
                <w:rFonts w:ascii="Arial" w:cs="Arial" w:eastAsia="Arial" w:hAnsi="Arial"/>
                <w:sz w:val="16"/>
                <w:szCs w:val="16"/>
                <w:b w:val="1"/>
                <w:bCs w:val="1"/>
                <w:color w:val="0000EE"/>
                <w:w w:val="98"/>
              </w:rPr>
            </w:pPr>
            <w:hyperlink w:anchor="page99">
              <w:r>
                <w:rPr>
                  <w:rFonts w:ascii="Arial" w:cs="Arial" w:eastAsia="Arial" w:hAnsi="Arial"/>
                  <w:sz w:val="16"/>
                  <w:szCs w:val="16"/>
                  <w:b w:val="1"/>
                  <w:bCs w:val="1"/>
                  <w:color w:val="0000EE"/>
                  <w:w w:val="98"/>
                </w:rPr>
                <w:t>TRANSFERABILITY.</w:t>
              </w:r>
            </w:hyperlink>
          </w:p>
        </w:tc>
        <w:tc>
          <w:tcPr>
            <w:tcW w:w="6340" w:type="dxa"/>
            <w:vAlign w:val="bottom"/>
            <w:tcBorders>
              <w:bottom w:val="single" w:sz="8" w:color="CCEEFF"/>
            </w:tcBorders>
            <w:gridSpan w:val="7"/>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0000EE"/>
            </w:tcBorders>
            <w:shd w:val="clear" w:color="auto" w:fill="CCEEFF"/>
          </w:tcPr>
          <w:p>
            <w:pPr>
              <w:spacing w:after="0"/>
              <w:rPr>
                <w:rFonts w:ascii="Arial" w:cs="Arial" w:eastAsia="Arial" w:hAnsi="Arial"/>
                <w:sz w:val="16"/>
                <w:szCs w:val="16"/>
                <w:b w:val="1"/>
                <w:bCs w:val="1"/>
                <w:color w:val="0000EE"/>
                <w:w w:val="92"/>
              </w:rPr>
            </w:pPr>
            <w:hyperlink w:anchor="page99">
              <w:r>
                <w:rPr>
                  <w:rFonts w:ascii="Arial" w:cs="Arial" w:eastAsia="Arial" w:hAnsi="Arial"/>
                  <w:sz w:val="16"/>
                  <w:szCs w:val="16"/>
                  <w:b w:val="1"/>
                  <w:bCs w:val="1"/>
                  <w:color w:val="0000EE"/>
                  <w:w w:val="92"/>
                </w:rPr>
                <w:t>A-14</w:t>
              </w:r>
            </w:hyperlink>
          </w:p>
        </w:tc>
        <w:tc>
          <w:tcPr>
            <w:tcW w:w="20" w:type="dxa"/>
            <w:vAlign w:val="bottom"/>
            <w:tcBorders>
              <w:bottom w:val="single" w:sz="8" w:color="0000EE"/>
            </w:tcBorders>
          </w:tcPr>
          <w:p>
            <w:pPr>
              <w:spacing w:after="0"/>
              <w:rPr>
                <w:sz w:val="22"/>
                <w:szCs w:val="22"/>
                <w:color w:val="auto"/>
              </w:rPr>
            </w:pPr>
          </w:p>
        </w:tc>
      </w:tr>
      <w:tr>
        <w:trPr>
          <w:trHeight w:val="229"/>
        </w:trPr>
        <w:tc>
          <w:tcPr>
            <w:tcW w:w="9000" w:type="dxa"/>
            <w:vAlign w:val="bottom"/>
            <w:gridSpan w:val="19"/>
          </w:tcPr>
          <w:p>
            <w:pPr>
              <w:spacing w:after="0"/>
              <w:rPr>
                <w:rFonts w:ascii="Arial" w:cs="Arial" w:eastAsia="Arial" w:hAnsi="Arial"/>
                <w:sz w:val="16"/>
                <w:szCs w:val="16"/>
                <w:b w:val="1"/>
                <w:bCs w:val="1"/>
                <w:color w:val="0000EE"/>
              </w:rPr>
            </w:pPr>
            <w:hyperlink w:anchor="page99">
              <w:r>
                <w:rPr>
                  <w:rFonts w:ascii="Arial" w:cs="Arial" w:eastAsia="Arial" w:hAnsi="Arial"/>
                  <w:sz w:val="16"/>
                  <w:szCs w:val="16"/>
                  <w:b w:val="1"/>
                  <w:bCs w:val="1"/>
                  <w:color w:val="0000EE"/>
                </w:rPr>
                <w:t>SECTION 20.  PERFORMANCE BASED AWARDS.</w:t>
              </w:r>
            </w:hyperlink>
          </w:p>
        </w:tc>
        <w:tc>
          <w:tcPr>
            <w:tcW w:w="40" w:type="dxa"/>
            <w:vAlign w:val="bottom"/>
          </w:tcPr>
          <w:p>
            <w:pPr>
              <w:spacing w:after="0"/>
              <w:rPr>
                <w:sz w:val="19"/>
                <w:szCs w:val="19"/>
                <w:color w:val="auto"/>
              </w:rPr>
            </w:pPr>
          </w:p>
        </w:tc>
        <w:tc>
          <w:tcPr>
            <w:tcW w:w="360" w:type="dxa"/>
            <w:vAlign w:val="bottom"/>
            <w:gridSpan w:val="2"/>
          </w:tcPr>
          <w:p>
            <w:pPr>
              <w:spacing w:after="0"/>
              <w:rPr>
                <w:rFonts w:ascii="Arial" w:cs="Arial" w:eastAsia="Arial" w:hAnsi="Arial"/>
                <w:sz w:val="16"/>
                <w:szCs w:val="16"/>
                <w:b w:val="1"/>
                <w:bCs w:val="1"/>
                <w:color w:val="0000EE"/>
                <w:w w:val="97"/>
              </w:rPr>
            </w:pPr>
            <w:hyperlink w:anchor="page99">
              <w:r>
                <w:rPr>
                  <w:rFonts w:ascii="Arial" w:cs="Arial" w:eastAsia="Arial" w:hAnsi="Arial"/>
                  <w:sz w:val="16"/>
                  <w:szCs w:val="16"/>
                  <w:b w:val="1"/>
                  <w:bCs w:val="1"/>
                  <w:color w:val="0000EE"/>
                  <w:w w:val="97"/>
                </w:rPr>
                <w:t>A-14</w:t>
              </w:r>
            </w:hyperlink>
          </w:p>
        </w:tc>
      </w:tr>
      <w:tr>
        <w:trPr>
          <w:trHeight w:val="34"/>
        </w:trPr>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r>
      <w:tr>
        <w:trPr>
          <w:trHeight w:val="263"/>
        </w:trPr>
        <w:tc>
          <w:tcPr>
            <w:tcW w:w="9000" w:type="dxa"/>
            <w:vAlign w:val="bottom"/>
            <w:gridSpan w:val="19"/>
            <w:shd w:val="clear" w:color="auto" w:fill="CCEEFF"/>
          </w:tcPr>
          <w:p>
            <w:pPr>
              <w:spacing w:after="0"/>
              <w:rPr>
                <w:rFonts w:ascii="Arial" w:cs="Arial" w:eastAsia="Arial" w:hAnsi="Arial"/>
                <w:sz w:val="16"/>
                <w:szCs w:val="16"/>
                <w:b w:val="1"/>
                <w:bCs w:val="1"/>
                <w:color w:val="0000EE"/>
              </w:rPr>
            </w:pPr>
            <w:hyperlink w:anchor="page99">
              <w:r>
                <w:rPr>
                  <w:rFonts w:ascii="Arial" w:cs="Arial" w:eastAsia="Arial" w:hAnsi="Arial"/>
                  <w:sz w:val="16"/>
                  <w:szCs w:val="16"/>
                  <w:b w:val="1"/>
                  <w:bCs w:val="1"/>
                  <w:color w:val="0000EE"/>
                </w:rPr>
                <w:t>SECTION 21.  FORFEITURE, CANCELLATION OR RECOUPMENT OF AWARDS.</w:t>
              </w:r>
            </w:hyperlink>
          </w:p>
        </w:tc>
        <w:tc>
          <w:tcPr>
            <w:tcW w:w="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rFonts w:ascii="Arial" w:cs="Arial" w:eastAsia="Arial" w:hAnsi="Arial"/>
                <w:sz w:val="16"/>
                <w:szCs w:val="16"/>
                <w:b w:val="1"/>
                <w:bCs w:val="1"/>
                <w:color w:val="0000EE"/>
                <w:w w:val="92"/>
              </w:rPr>
            </w:pPr>
            <w:hyperlink w:anchor="page99">
              <w:r>
                <w:rPr>
                  <w:rFonts w:ascii="Arial" w:cs="Arial" w:eastAsia="Arial" w:hAnsi="Arial"/>
                  <w:sz w:val="16"/>
                  <w:szCs w:val="16"/>
                  <w:b w:val="1"/>
                  <w:bCs w:val="1"/>
                  <w:color w:val="0000EE"/>
                  <w:w w:val="92"/>
                </w:rPr>
                <w:t>A-14</w:t>
              </w:r>
            </w:hyperlink>
          </w:p>
        </w:tc>
        <w:tc>
          <w:tcPr>
            <w:tcW w:w="20" w:type="dxa"/>
            <w:vAlign w:val="bottom"/>
          </w:tcPr>
          <w:p>
            <w:pPr>
              <w:spacing w:after="0"/>
              <w:rPr>
                <w:sz w:val="22"/>
                <w:szCs w:val="22"/>
                <w:color w:val="auto"/>
              </w:rPr>
            </w:pPr>
          </w:p>
        </w:tc>
      </w:tr>
      <w:tr>
        <w:trPr>
          <w:trHeight w:val="229"/>
        </w:trPr>
        <w:tc>
          <w:tcPr>
            <w:tcW w:w="6060" w:type="dxa"/>
            <w:vAlign w:val="bottom"/>
            <w:tcBorders>
              <w:top w:val="single" w:sz="8" w:color="0000EE"/>
            </w:tcBorders>
            <w:gridSpan w:val="18"/>
          </w:tcPr>
          <w:p>
            <w:pPr>
              <w:spacing w:after="0"/>
              <w:rPr>
                <w:rFonts w:ascii="Arial" w:cs="Arial" w:eastAsia="Arial" w:hAnsi="Arial"/>
                <w:sz w:val="16"/>
                <w:szCs w:val="16"/>
                <w:b w:val="1"/>
                <w:bCs w:val="1"/>
                <w:color w:val="0000EE"/>
              </w:rPr>
            </w:pPr>
            <w:hyperlink w:anchor="page100">
              <w:r>
                <w:rPr>
                  <w:rFonts w:ascii="Arial" w:cs="Arial" w:eastAsia="Arial" w:hAnsi="Arial"/>
                  <w:sz w:val="16"/>
                  <w:szCs w:val="16"/>
                  <w:b w:val="1"/>
                  <w:bCs w:val="1"/>
                  <w:color w:val="0000EE"/>
                </w:rPr>
                <w:t>SECTION 22.  NO EMPLOYMENT RIGHTS.</w:t>
              </w:r>
            </w:hyperlink>
          </w:p>
        </w:tc>
        <w:tc>
          <w:tcPr>
            <w:tcW w:w="29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0000EE"/>
            </w:tcBorders>
            <w:gridSpan w:val="2"/>
          </w:tcPr>
          <w:p>
            <w:pPr>
              <w:spacing w:after="0"/>
              <w:rPr>
                <w:rFonts w:ascii="Arial" w:cs="Arial" w:eastAsia="Arial" w:hAnsi="Arial"/>
                <w:sz w:val="16"/>
                <w:szCs w:val="16"/>
                <w:b w:val="1"/>
                <w:bCs w:val="1"/>
                <w:color w:val="0000EE"/>
                <w:w w:val="97"/>
              </w:rPr>
            </w:pPr>
            <w:hyperlink w:anchor="page100">
              <w:r>
                <w:rPr>
                  <w:rFonts w:ascii="Arial" w:cs="Arial" w:eastAsia="Arial" w:hAnsi="Arial"/>
                  <w:sz w:val="16"/>
                  <w:szCs w:val="16"/>
                  <w:b w:val="1"/>
                  <w:bCs w:val="1"/>
                  <w:color w:val="0000EE"/>
                  <w:w w:val="97"/>
                </w:rPr>
                <w:t>A-15</w:t>
              </w:r>
            </w:hyperlink>
          </w:p>
        </w:tc>
      </w:tr>
      <w:tr>
        <w:trPr>
          <w:trHeight w:val="34"/>
        </w:trPr>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r>
      <w:tr>
        <w:trPr>
          <w:trHeight w:val="263"/>
        </w:trPr>
        <w:tc>
          <w:tcPr>
            <w:tcW w:w="9000" w:type="dxa"/>
            <w:vAlign w:val="bottom"/>
            <w:gridSpan w:val="19"/>
            <w:shd w:val="clear" w:color="auto" w:fill="CCEEFF"/>
          </w:tcPr>
          <w:p>
            <w:pPr>
              <w:spacing w:after="0"/>
              <w:rPr>
                <w:rFonts w:ascii="Arial" w:cs="Arial" w:eastAsia="Arial" w:hAnsi="Arial"/>
                <w:sz w:val="16"/>
                <w:szCs w:val="16"/>
                <w:b w:val="1"/>
                <w:bCs w:val="1"/>
                <w:color w:val="0000EE"/>
              </w:rPr>
            </w:pPr>
            <w:hyperlink w:anchor="page100">
              <w:r>
                <w:rPr>
                  <w:rFonts w:ascii="Arial" w:cs="Arial" w:eastAsia="Arial" w:hAnsi="Arial"/>
                  <w:sz w:val="16"/>
                  <w:szCs w:val="16"/>
                  <w:b w:val="1"/>
                  <w:bCs w:val="1"/>
                  <w:color w:val="0000EE"/>
                </w:rPr>
                <w:t>SECTION 23.  DURATION AND AMENDMENTS.</w:t>
              </w:r>
            </w:hyperlink>
          </w:p>
        </w:tc>
        <w:tc>
          <w:tcPr>
            <w:tcW w:w="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rFonts w:ascii="Arial" w:cs="Arial" w:eastAsia="Arial" w:hAnsi="Arial"/>
                <w:sz w:val="16"/>
                <w:szCs w:val="16"/>
                <w:b w:val="1"/>
                <w:bCs w:val="1"/>
                <w:color w:val="0000EE"/>
                <w:w w:val="92"/>
              </w:rPr>
            </w:pPr>
            <w:hyperlink w:anchor="page100">
              <w:r>
                <w:rPr>
                  <w:rFonts w:ascii="Arial" w:cs="Arial" w:eastAsia="Arial" w:hAnsi="Arial"/>
                  <w:sz w:val="16"/>
                  <w:szCs w:val="16"/>
                  <w:b w:val="1"/>
                  <w:bCs w:val="1"/>
                  <w:color w:val="0000EE"/>
                  <w:w w:val="92"/>
                </w:rPr>
                <w:t>A-15</w:t>
              </w:r>
            </w:hyperlink>
          </w:p>
        </w:tc>
        <w:tc>
          <w:tcPr>
            <w:tcW w:w="20" w:type="dxa"/>
            <w:vAlign w:val="bottom"/>
          </w:tcPr>
          <w:p>
            <w:pPr>
              <w:spacing w:after="0"/>
              <w:rPr>
                <w:sz w:val="22"/>
                <w:szCs w:val="22"/>
                <w:color w:val="auto"/>
              </w:rPr>
            </w:pPr>
          </w:p>
        </w:tc>
      </w:tr>
      <w:tr>
        <w:trPr>
          <w:trHeight w:val="230"/>
        </w:trPr>
        <w:tc>
          <w:tcPr>
            <w:tcW w:w="160" w:type="dxa"/>
            <w:vAlign w:val="bottom"/>
            <w:tcBorders>
              <w:top w:val="single" w:sz="8" w:color="0000EE"/>
            </w:tcBorders>
          </w:tcPr>
          <w:p>
            <w:pPr>
              <w:spacing w:after="0"/>
              <w:rPr>
                <w:sz w:val="19"/>
                <w:szCs w:val="19"/>
                <w:color w:val="auto"/>
              </w:rPr>
            </w:pPr>
          </w:p>
        </w:tc>
        <w:tc>
          <w:tcPr>
            <w:tcW w:w="3440" w:type="dxa"/>
            <w:vAlign w:val="bottom"/>
            <w:tcBorders>
              <w:top w:val="single" w:sz="8" w:color="0000EE"/>
            </w:tcBorders>
            <w:gridSpan w:val="14"/>
          </w:tcPr>
          <w:p>
            <w:pPr>
              <w:spacing w:after="0"/>
              <w:rPr>
                <w:rFonts w:ascii="Arial" w:cs="Arial" w:eastAsia="Arial" w:hAnsi="Arial"/>
                <w:sz w:val="16"/>
                <w:szCs w:val="16"/>
                <w:color w:val="0000EE"/>
              </w:rPr>
            </w:pPr>
            <w:hyperlink w:anchor="page100">
              <w:r>
                <w:rPr>
                  <w:rFonts w:ascii="Arial" w:cs="Arial" w:eastAsia="Arial" w:hAnsi="Arial"/>
                  <w:sz w:val="16"/>
                  <w:szCs w:val="16"/>
                  <w:color w:val="0000EE"/>
                </w:rPr>
                <w:t>(a)   Term of the Plan</w:t>
              </w:r>
            </w:hyperlink>
          </w:p>
        </w:tc>
        <w:tc>
          <w:tcPr>
            <w:tcW w:w="5400" w:type="dxa"/>
            <w:vAlign w:val="bottom"/>
            <w:tcBorders>
              <w:top w:val="single" w:sz="8" w:color="CCEEFF"/>
            </w:tcBorders>
            <w:gridSpan w:val="4"/>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0000EE"/>
            </w:tcBorders>
            <w:gridSpan w:val="2"/>
          </w:tcPr>
          <w:p>
            <w:pPr>
              <w:spacing w:after="0"/>
              <w:rPr>
                <w:rFonts w:ascii="Arial" w:cs="Arial" w:eastAsia="Arial" w:hAnsi="Arial"/>
                <w:sz w:val="16"/>
                <w:szCs w:val="16"/>
                <w:color w:val="0000EE"/>
              </w:rPr>
            </w:pPr>
            <w:hyperlink w:anchor="page100">
              <w:r>
                <w:rPr>
                  <w:rFonts w:ascii="Arial" w:cs="Arial" w:eastAsia="Arial" w:hAnsi="Arial"/>
                  <w:sz w:val="16"/>
                  <w:szCs w:val="16"/>
                  <w:color w:val="0000EE"/>
                </w:rPr>
                <w:t>A-15</w:t>
              </w:r>
            </w:hyperlink>
          </w:p>
        </w:tc>
      </w:tr>
      <w:tr>
        <w:trPr>
          <w:trHeight w:val="34"/>
        </w:trPr>
        <w:tc>
          <w:tcPr>
            <w:tcW w:w="1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r>
      <w:tr>
        <w:trPr>
          <w:trHeight w:val="263"/>
        </w:trPr>
        <w:tc>
          <w:tcPr>
            <w:tcW w:w="160" w:type="dxa"/>
            <w:vAlign w:val="bottom"/>
            <w:shd w:val="clear" w:color="auto" w:fill="CCEEFF"/>
          </w:tcPr>
          <w:p>
            <w:pPr>
              <w:spacing w:after="0"/>
              <w:rPr>
                <w:sz w:val="22"/>
                <w:szCs w:val="22"/>
                <w:color w:val="auto"/>
              </w:rPr>
            </w:pPr>
          </w:p>
        </w:tc>
        <w:tc>
          <w:tcPr>
            <w:tcW w:w="8840" w:type="dxa"/>
            <w:vAlign w:val="bottom"/>
            <w:gridSpan w:val="18"/>
            <w:shd w:val="clear" w:color="auto" w:fill="CCEEFF"/>
          </w:tcPr>
          <w:p>
            <w:pPr>
              <w:spacing w:after="0"/>
              <w:rPr>
                <w:rFonts w:ascii="Arial" w:cs="Arial" w:eastAsia="Arial" w:hAnsi="Arial"/>
                <w:sz w:val="16"/>
                <w:szCs w:val="16"/>
                <w:color w:val="0000EE"/>
              </w:rPr>
            </w:pPr>
            <w:hyperlink w:anchor="page100">
              <w:r>
                <w:rPr>
                  <w:rFonts w:ascii="Arial" w:cs="Arial" w:eastAsia="Arial" w:hAnsi="Arial"/>
                  <w:sz w:val="16"/>
                  <w:szCs w:val="16"/>
                  <w:color w:val="0000EE"/>
                </w:rPr>
                <w:t>(b)   Right to Amend the Plan</w:t>
              </w:r>
            </w:hyperlink>
          </w:p>
        </w:tc>
        <w:tc>
          <w:tcPr>
            <w:tcW w:w="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rFonts w:ascii="Arial" w:cs="Arial" w:eastAsia="Arial" w:hAnsi="Arial"/>
                <w:sz w:val="16"/>
                <w:szCs w:val="16"/>
                <w:color w:val="0000EE"/>
                <w:w w:val="94"/>
              </w:rPr>
            </w:pPr>
            <w:hyperlink w:anchor="page100">
              <w:r>
                <w:rPr>
                  <w:rFonts w:ascii="Arial" w:cs="Arial" w:eastAsia="Arial" w:hAnsi="Arial"/>
                  <w:sz w:val="16"/>
                  <w:szCs w:val="16"/>
                  <w:color w:val="0000EE"/>
                  <w:w w:val="94"/>
                </w:rPr>
                <w:t>A-15</w:t>
              </w:r>
            </w:hyperlink>
          </w:p>
        </w:tc>
        <w:tc>
          <w:tcPr>
            <w:tcW w:w="20" w:type="dxa"/>
            <w:vAlign w:val="bottom"/>
          </w:tcPr>
          <w:p>
            <w:pPr>
              <w:spacing w:after="0"/>
              <w:rPr>
                <w:sz w:val="22"/>
                <w:szCs w:val="22"/>
                <w:color w:val="auto"/>
              </w:rPr>
            </w:pPr>
          </w:p>
        </w:tc>
      </w:tr>
      <w:tr>
        <w:trPr>
          <w:trHeight w:val="229"/>
        </w:trPr>
        <w:tc>
          <w:tcPr>
            <w:tcW w:w="160" w:type="dxa"/>
            <w:vAlign w:val="bottom"/>
            <w:tcBorders>
              <w:top w:val="single" w:sz="8" w:color="CCEEFF"/>
            </w:tcBorders>
          </w:tcPr>
          <w:p>
            <w:pPr>
              <w:spacing w:after="0"/>
              <w:rPr>
                <w:sz w:val="19"/>
                <w:szCs w:val="19"/>
                <w:color w:val="auto"/>
              </w:rPr>
            </w:pPr>
          </w:p>
        </w:tc>
        <w:tc>
          <w:tcPr>
            <w:tcW w:w="200" w:type="dxa"/>
            <w:vAlign w:val="bottom"/>
            <w:tcBorders>
              <w:top w:val="single" w:sz="8" w:color="0000EE"/>
            </w:tcBorders>
            <w:gridSpan w:val="2"/>
          </w:tcPr>
          <w:p>
            <w:pPr>
              <w:spacing w:after="0"/>
              <w:rPr>
                <w:rFonts w:ascii="Arial" w:cs="Arial" w:eastAsia="Arial" w:hAnsi="Arial"/>
                <w:sz w:val="16"/>
                <w:szCs w:val="16"/>
                <w:color w:val="0000EE"/>
                <w:w w:val="96"/>
              </w:rPr>
            </w:pPr>
            <w:hyperlink w:anchor="page100">
              <w:r>
                <w:rPr>
                  <w:rFonts w:ascii="Arial" w:cs="Arial" w:eastAsia="Arial" w:hAnsi="Arial"/>
                  <w:sz w:val="16"/>
                  <w:szCs w:val="16"/>
                  <w:color w:val="0000EE"/>
                  <w:w w:val="96"/>
                </w:rPr>
                <w:t>(c)</w:t>
              </w:r>
            </w:hyperlink>
          </w:p>
        </w:tc>
        <w:tc>
          <w:tcPr>
            <w:tcW w:w="240" w:type="dxa"/>
            <w:vAlign w:val="bottom"/>
            <w:tcBorders>
              <w:top w:val="single" w:sz="8" w:color="CCEEFF"/>
            </w:tcBorders>
          </w:tcPr>
          <w:p>
            <w:pPr>
              <w:spacing w:after="0"/>
              <w:rPr>
                <w:sz w:val="19"/>
                <w:szCs w:val="19"/>
                <w:color w:val="auto"/>
              </w:rPr>
            </w:pPr>
          </w:p>
        </w:tc>
        <w:tc>
          <w:tcPr>
            <w:tcW w:w="1760" w:type="dxa"/>
            <w:vAlign w:val="bottom"/>
            <w:tcBorders>
              <w:top w:val="single" w:sz="8" w:color="0000EE"/>
            </w:tcBorders>
            <w:gridSpan w:val="6"/>
          </w:tcPr>
          <w:p>
            <w:pPr>
              <w:spacing w:after="0"/>
              <w:rPr>
                <w:rFonts w:ascii="Arial" w:cs="Arial" w:eastAsia="Arial" w:hAnsi="Arial"/>
                <w:sz w:val="16"/>
                <w:szCs w:val="16"/>
                <w:color w:val="0000EE"/>
              </w:rPr>
            </w:pPr>
            <w:hyperlink w:anchor="page100">
              <w:r>
                <w:rPr>
                  <w:rFonts w:ascii="Arial" w:cs="Arial" w:eastAsia="Arial" w:hAnsi="Arial"/>
                  <w:sz w:val="16"/>
                  <w:szCs w:val="16"/>
                  <w:color w:val="0000EE"/>
                </w:rPr>
                <w:t>Effect of Termination</w:t>
              </w:r>
            </w:hyperlink>
          </w:p>
        </w:tc>
        <w:tc>
          <w:tcPr>
            <w:tcW w:w="6640" w:type="dxa"/>
            <w:vAlign w:val="bottom"/>
            <w:tcBorders>
              <w:top w:val="single" w:sz="8" w:color="CCEEFF"/>
            </w:tcBorders>
            <w:gridSpan w:val="9"/>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0000EE"/>
            </w:tcBorders>
            <w:gridSpan w:val="2"/>
          </w:tcPr>
          <w:p>
            <w:pPr>
              <w:spacing w:after="0"/>
              <w:rPr>
                <w:rFonts w:ascii="Arial" w:cs="Arial" w:eastAsia="Arial" w:hAnsi="Arial"/>
                <w:sz w:val="16"/>
                <w:szCs w:val="16"/>
                <w:color w:val="0000EE"/>
              </w:rPr>
            </w:pPr>
            <w:hyperlink w:anchor="page100">
              <w:r>
                <w:rPr>
                  <w:rFonts w:ascii="Arial" w:cs="Arial" w:eastAsia="Arial" w:hAnsi="Arial"/>
                  <w:sz w:val="16"/>
                  <w:szCs w:val="16"/>
                  <w:color w:val="0000EE"/>
                </w:rPr>
                <w:t>A-15</w:t>
              </w:r>
            </w:hyperlink>
          </w:p>
        </w:tc>
      </w:tr>
      <w:tr>
        <w:trPr>
          <w:trHeight w:val="34"/>
        </w:trPr>
        <w:tc>
          <w:tcPr>
            <w:tcW w:w="1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r>
      <w:tr>
        <w:trPr>
          <w:trHeight w:val="263"/>
        </w:trPr>
        <w:tc>
          <w:tcPr>
            <w:tcW w:w="4140" w:type="dxa"/>
            <w:vAlign w:val="bottom"/>
            <w:tcBorders>
              <w:bottom w:val="single" w:sz="8" w:color="0000EE"/>
            </w:tcBorders>
            <w:gridSpan w:val="17"/>
            <w:shd w:val="clear" w:color="auto" w:fill="CCEEFF"/>
          </w:tcPr>
          <w:p>
            <w:pPr>
              <w:spacing w:after="0"/>
              <w:rPr>
                <w:rFonts w:ascii="Arial" w:cs="Arial" w:eastAsia="Arial" w:hAnsi="Arial"/>
                <w:sz w:val="16"/>
                <w:szCs w:val="16"/>
                <w:b w:val="1"/>
                <w:bCs w:val="1"/>
                <w:color w:val="0000EE"/>
              </w:rPr>
            </w:pPr>
            <w:hyperlink w:anchor="page100">
              <w:r>
                <w:rPr>
                  <w:rFonts w:ascii="Arial" w:cs="Arial" w:eastAsia="Arial" w:hAnsi="Arial"/>
                  <w:sz w:val="16"/>
                  <w:szCs w:val="16"/>
                  <w:b w:val="1"/>
                  <w:bCs w:val="1"/>
                  <w:color w:val="0000EE"/>
                </w:rPr>
                <w:t>SECTION 24.  AWARDS TO NON-U.S. PARTICIPANTS.</w:t>
              </w:r>
            </w:hyperlink>
          </w:p>
        </w:tc>
        <w:tc>
          <w:tcPr>
            <w:tcW w:w="4860" w:type="dxa"/>
            <w:vAlign w:val="bottom"/>
            <w:tcBorders>
              <w:bottom w:val="single" w:sz="8" w:color="CCEEFF"/>
            </w:tcBorders>
            <w:gridSpan w:val="2"/>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0000EE"/>
            </w:tcBorders>
            <w:shd w:val="clear" w:color="auto" w:fill="CCEEFF"/>
          </w:tcPr>
          <w:p>
            <w:pPr>
              <w:spacing w:after="0"/>
              <w:rPr>
                <w:rFonts w:ascii="Arial" w:cs="Arial" w:eastAsia="Arial" w:hAnsi="Arial"/>
                <w:sz w:val="16"/>
                <w:szCs w:val="16"/>
                <w:b w:val="1"/>
                <w:bCs w:val="1"/>
                <w:color w:val="0000EE"/>
                <w:w w:val="92"/>
              </w:rPr>
            </w:pPr>
            <w:hyperlink w:anchor="page100">
              <w:r>
                <w:rPr>
                  <w:rFonts w:ascii="Arial" w:cs="Arial" w:eastAsia="Arial" w:hAnsi="Arial"/>
                  <w:sz w:val="16"/>
                  <w:szCs w:val="16"/>
                  <w:b w:val="1"/>
                  <w:bCs w:val="1"/>
                  <w:color w:val="0000EE"/>
                  <w:w w:val="92"/>
                </w:rPr>
                <w:t>A-15</w:t>
              </w:r>
            </w:hyperlink>
          </w:p>
        </w:tc>
        <w:tc>
          <w:tcPr>
            <w:tcW w:w="20" w:type="dxa"/>
            <w:vAlign w:val="bottom"/>
            <w:tcBorders>
              <w:bottom w:val="single" w:sz="8" w:color="0000EE"/>
            </w:tcBorders>
          </w:tcPr>
          <w:p>
            <w:pPr>
              <w:spacing w:after="0"/>
              <w:rPr>
                <w:sz w:val="22"/>
                <w:szCs w:val="22"/>
                <w:color w:val="auto"/>
              </w:rPr>
            </w:pPr>
          </w:p>
        </w:tc>
      </w:tr>
      <w:tr>
        <w:trPr>
          <w:trHeight w:val="229"/>
        </w:trPr>
        <w:tc>
          <w:tcPr>
            <w:tcW w:w="1060" w:type="dxa"/>
            <w:vAlign w:val="bottom"/>
            <w:gridSpan w:val="5"/>
          </w:tcPr>
          <w:p>
            <w:pPr>
              <w:spacing w:after="0"/>
              <w:rPr>
                <w:rFonts w:ascii="Arial" w:cs="Arial" w:eastAsia="Arial" w:hAnsi="Arial"/>
                <w:sz w:val="16"/>
                <w:szCs w:val="16"/>
                <w:b w:val="1"/>
                <w:bCs w:val="1"/>
                <w:color w:val="0000EE"/>
              </w:rPr>
            </w:pPr>
            <w:hyperlink w:anchor="page100">
              <w:r>
                <w:rPr>
                  <w:rFonts w:ascii="Arial" w:cs="Arial" w:eastAsia="Arial" w:hAnsi="Arial"/>
                  <w:sz w:val="16"/>
                  <w:szCs w:val="16"/>
                  <w:b w:val="1"/>
                  <w:bCs w:val="1"/>
                  <w:color w:val="0000EE"/>
                </w:rPr>
                <w:t>SECTION 25.</w:t>
              </w:r>
            </w:hyperlink>
          </w:p>
        </w:tc>
        <w:tc>
          <w:tcPr>
            <w:tcW w:w="7940" w:type="dxa"/>
            <w:vAlign w:val="bottom"/>
            <w:gridSpan w:val="14"/>
          </w:tcPr>
          <w:p>
            <w:pPr>
              <w:ind w:left="60"/>
              <w:spacing w:after="0"/>
              <w:rPr>
                <w:rFonts w:ascii="Arial" w:cs="Arial" w:eastAsia="Arial" w:hAnsi="Arial"/>
                <w:sz w:val="16"/>
                <w:szCs w:val="16"/>
                <w:b w:val="1"/>
                <w:bCs w:val="1"/>
                <w:color w:val="0000EE"/>
              </w:rPr>
            </w:pPr>
            <w:hyperlink w:anchor="page100">
              <w:r>
                <w:rPr>
                  <w:rFonts w:ascii="Arial" w:cs="Arial" w:eastAsia="Arial" w:hAnsi="Arial"/>
                  <w:sz w:val="16"/>
                  <w:szCs w:val="16"/>
                  <w:b w:val="1"/>
                  <w:bCs w:val="1"/>
                  <w:color w:val="0000EE"/>
                </w:rPr>
                <w:t>GOVERNING LAW.</w:t>
              </w:r>
            </w:hyperlink>
          </w:p>
        </w:tc>
        <w:tc>
          <w:tcPr>
            <w:tcW w:w="40" w:type="dxa"/>
            <w:vAlign w:val="bottom"/>
          </w:tcPr>
          <w:p>
            <w:pPr>
              <w:spacing w:after="0"/>
              <w:rPr>
                <w:sz w:val="19"/>
                <w:szCs w:val="19"/>
                <w:color w:val="auto"/>
              </w:rPr>
            </w:pPr>
          </w:p>
        </w:tc>
        <w:tc>
          <w:tcPr>
            <w:tcW w:w="360" w:type="dxa"/>
            <w:vAlign w:val="bottom"/>
            <w:gridSpan w:val="2"/>
          </w:tcPr>
          <w:p>
            <w:pPr>
              <w:spacing w:after="0"/>
              <w:rPr>
                <w:rFonts w:ascii="Arial" w:cs="Arial" w:eastAsia="Arial" w:hAnsi="Arial"/>
                <w:sz w:val="16"/>
                <w:szCs w:val="16"/>
                <w:b w:val="1"/>
                <w:bCs w:val="1"/>
                <w:color w:val="0000EE"/>
                <w:w w:val="97"/>
              </w:rPr>
            </w:pPr>
            <w:hyperlink w:anchor="page100">
              <w:r>
                <w:rPr>
                  <w:rFonts w:ascii="Arial" w:cs="Arial" w:eastAsia="Arial" w:hAnsi="Arial"/>
                  <w:sz w:val="16"/>
                  <w:szCs w:val="16"/>
                  <w:b w:val="1"/>
                  <w:bCs w:val="1"/>
                  <w:color w:val="0000EE"/>
                  <w:w w:val="97"/>
                </w:rPr>
                <w:t>A-15</w:t>
              </w:r>
            </w:hyperlink>
          </w:p>
        </w:tc>
      </w:tr>
      <w:tr>
        <w:trPr>
          <w:trHeight w:val="34"/>
        </w:trPr>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r>
      <w:tr>
        <w:trPr>
          <w:trHeight w:val="263"/>
        </w:trPr>
        <w:tc>
          <w:tcPr>
            <w:tcW w:w="1060" w:type="dxa"/>
            <w:vAlign w:val="bottom"/>
            <w:gridSpan w:val="5"/>
            <w:shd w:val="clear" w:color="auto" w:fill="CCEEFF"/>
          </w:tcPr>
          <w:p>
            <w:pPr>
              <w:spacing w:after="0"/>
              <w:rPr>
                <w:rFonts w:ascii="Arial" w:cs="Arial" w:eastAsia="Arial" w:hAnsi="Arial"/>
                <w:sz w:val="16"/>
                <w:szCs w:val="16"/>
                <w:b w:val="1"/>
                <w:bCs w:val="1"/>
                <w:color w:val="0000EE"/>
              </w:rPr>
            </w:pPr>
            <w:hyperlink w:anchor="page100">
              <w:r>
                <w:rPr>
                  <w:rFonts w:ascii="Arial" w:cs="Arial" w:eastAsia="Arial" w:hAnsi="Arial"/>
                  <w:sz w:val="16"/>
                  <w:szCs w:val="16"/>
                  <w:b w:val="1"/>
                  <w:bCs w:val="1"/>
                  <w:color w:val="0000EE"/>
                </w:rPr>
                <w:t>SECTION 26.</w:t>
              </w:r>
            </w:hyperlink>
          </w:p>
        </w:tc>
        <w:tc>
          <w:tcPr>
            <w:tcW w:w="7940" w:type="dxa"/>
            <w:vAlign w:val="bottom"/>
            <w:gridSpan w:val="14"/>
            <w:shd w:val="clear" w:color="auto" w:fill="CCEEFF"/>
          </w:tcPr>
          <w:p>
            <w:pPr>
              <w:ind w:left="60"/>
              <w:spacing w:after="0"/>
              <w:rPr>
                <w:rFonts w:ascii="Arial" w:cs="Arial" w:eastAsia="Arial" w:hAnsi="Arial"/>
                <w:sz w:val="16"/>
                <w:szCs w:val="16"/>
                <w:b w:val="1"/>
                <w:bCs w:val="1"/>
                <w:color w:val="0000EE"/>
              </w:rPr>
            </w:pPr>
            <w:hyperlink w:anchor="page100">
              <w:r>
                <w:rPr>
                  <w:rFonts w:ascii="Arial" w:cs="Arial" w:eastAsia="Arial" w:hAnsi="Arial"/>
                  <w:sz w:val="16"/>
                  <w:szCs w:val="16"/>
                  <w:b w:val="1"/>
                  <w:bCs w:val="1"/>
                  <w:color w:val="0000EE"/>
                </w:rPr>
                <w:t>SUCCESSORS AND ASSIGNS.</w:t>
              </w:r>
            </w:hyperlink>
          </w:p>
        </w:tc>
        <w:tc>
          <w:tcPr>
            <w:tcW w:w="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rFonts w:ascii="Arial" w:cs="Arial" w:eastAsia="Arial" w:hAnsi="Arial"/>
                <w:sz w:val="16"/>
                <w:szCs w:val="16"/>
                <w:b w:val="1"/>
                <w:bCs w:val="1"/>
                <w:color w:val="0000EE"/>
                <w:w w:val="92"/>
              </w:rPr>
            </w:pPr>
            <w:hyperlink w:anchor="page100">
              <w:r>
                <w:rPr>
                  <w:rFonts w:ascii="Arial" w:cs="Arial" w:eastAsia="Arial" w:hAnsi="Arial"/>
                  <w:sz w:val="16"/>
                  <w:szCs w:val="16"/>
                  <w:b w:val="1"/>
                  <w:bCs w:val="1"/>
                  <w:color w:val="0000EE"/>
                  <w:w w:val="92"/>
                </w:rPr>
                <w:t>A-15</w:t>
              </w:r>
            </w:hyperlink>
          </w:p>
        </w:tc>
        <w:tc>
          <w:tcPr>
            <w:tcW w:w="20" w:type="dxa"/>
            <w:vAlign w:val="bottom"/>
          </w:tcPr>
          <w:p>
            <w:pPr>
              <w:spacing w:after="0"/>
              <w:rPr>
                <w:sz w:val="22"/>
                <w:szCs w:val="22"/>
                <w:color w:val="auto"/>
              </w:rPr>
            </w:pPr>
          </w:p>
        </w:tc>
      </w:tr>
      <w:tr>
        <w:trPr>
          <w:trHeight w:val="230"/>
        </w:trPr>
        <w:tc>
          <w:tcPr>
            <w:tcW w:w="1060" w:type="dxa"/>
            <w:vAlign w:val="bottom"/>
            <w:tcBorders>
              <w:top w:val="single" w:sz="8" w:color="0000EE"/>
            </w:tcBorders>
            <w:gridSpan w:val="5"/>
          </w:tcPr>
          <w:p>
            <w:pPr>
              <w:spacing w:after="0"/>
              <w:rPr>
                <w:rFonts w:ascii="Arial" w:cs="Arial" w:eastAsia="Arial" w:hAnsi="Arial"/>
                <w:sz w:val="16"/>
                <w:szCs w:val="16"/>
                <w:b w:val="1"/>
                <w:bCs w:val="1"/>
                <w:color w:val="0000EE"/>
              </w:rPr>
            </w:pPr>
            <w:hyperlink w:anchor="page100">
              <w:r>
                <w:rPr>
                  <w:rFonts w:ascii="Arial" w:cs="Arial" w:eastAsia="Arial" w:hAnsi="Arial"/>
                  <w:sz w:val="16"/>
                  <w:szCs w:val="16"/>
                  <w:b w:val="1"/>
                  <w:bCs w:val="1"/>
                  <w:color w:val="0000EE"/>
                </w:rPr>
                <w:t>SECTION 27.</w:t>
              </w:r>
            </w:hyperlink>
          </w:p>
        </w:tc>
        <w:tc>
          <w:tcPr>
            <w:tcW w:w="2400" w:type="dxa"/>
            <w:vAlign w:val="bottom"/>
            <w:tcBorders>
              <w:top w:val="single" w:sz="8" w:color="0000EE"/>
            </w:tcBorders>
            <w:gridSpan w:val="9"/>
          </w:tcPr>
          <w:p>
            <w:pPr>
              <w:ind w:left="60"/>
              <w:spacing w:after="0"/>
              <w:rPr>
                <w:rFonts w:ascii="Arial" w:cs="Arial" w:eastAsia="Arial" w:hAnsi="Arial"/>
                <w:sz w:val="16"/>
                <w:szCs w:val="16"/>
                <w:b w:val="1"/>
                <w:bCs w:val="1"/>
                <w:color w:val="0000EE"/>
              </w:rPr>
            </w:pPr>
            <w:hyperlink w:anchor="page100">
              <w:r>
                <w:rPr>
                  <w:rFonts w:ascii="Arial" w:cs="Arial" w:eastAsia="Arial" w:hAnsi="Arial"/>
                  <w:sz w:val="16"/>
                  <w:szCs w:val="16"/>
                  <w:b w:val="1"/>
                  <w:bCs w:val="1"/>
                  <w:color w:val="0000EE"/>
                </w:rPr>
                <w:t>EXECUTION.</w:t>
              </w:r>
            </w:hyperlink>
          </w:p>
        </w:tc>
        <w:tc>
          <w:tcPr>
            <w:tcW w:w="5540" w:type="dxa"/>
            <w:vAlign w:val="bottom"/>
            <w:tcBorders>
              <w:top w:val="single" w:sz="8" w:color="CCEEFF"/>
            </w:tcBorders>
            <w:gridSpan w:val="5"/>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0000EE"/>
            </w:tcBorders>
            <w:gridSpan w:val="2"/>
          </w:tcPr>
          <w:p>
            <w:pPr>
              <w:spacing w:after="0"/>
              <w:rPr>
                <w:rFonts w:ascii="Arial" w:cs="Arial" w:eastAsia="Arial" w:hAnsi="Arial"/>
                <w:sz w:val="16"/>
                <w:szCs w:val="16"/>
                <w:b w:val="1"/>
                <w:bCs w:val="1"/>
                <w:color w:val="0000EE"/>
                <w:w w:val="97"/>
              </w:rPr>
            </w:pPr>
            <w:hyperlink w:anchor="page100">
              <w:r>
                <w:rPr>
                  <w:rFonts w:ascii="Arial" w:cs="Arial" w:eastAsia="Arial" w:hAnsi="Arial"/>
                  <w:sz w:val="16"/>
                  <w:szCs w:val="16"/>
                  <w:b w:val="1"/>
                  <w:bCs w:val="1"/>
                  <w:color w:val="0000EE"/>
                  <w:w w:val="97"/>
                </w:rPr>
                <w:t>A-15</w:t>
              </w:r>
            </w:hyperlink>
          </w:p>
        </w:tc>
      </w:tr>
      <w:tr>
        <w:trPr>
          <w:trHeight w:val="20"/>
        </w:trPr>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-2502535</wp:posOffset>
            </wp:positionV>
            <wp:extent cx="571754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717540" cy="17145"/>
                    </a:xfrm>
                    <a:prstGeom prst="rect">
                      <a:avLst/>
                    </a:prstGeom>
                    <a:noFill/>
                  </pic:spPr>
                </pic:pic>
              </a:graphicData>
            </a:graphic>
          </wp:anchor>
        </w:drawing>
      </w:r>
    </w:p>
    <w:p>
      <w:pPr>
        <w:sectPr>
          <w:pgSz w:w="11900" w:h="16838" w:orient="portrait"/>
          <w:cols w:equalWidth="0" w:num="1">
            <w:col w:w="10060"/>
          </w:cols>
          <w:pgMar w:left="580" w:top="131"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3"/>
          <w:szCs w:val="13"/>
          <w:b w:val="1"/>
          <w:bCs w:val="1"/>
          <w:color w:val="auto"/>
        </w:rPr>
        <w:t>A-iv</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131" w:right="1259" w:bottom="1440" w:gutter="0" w:footer="0" w:header="0"/>
          <w:type w:val="continuous"/>
        </w:sectPr>
      </w:pPr>
    </w:p>
    <w:bookmarkStart w:id="86" w:name="page87"/>
    <w:bookmarkEnd w:id="86"/>
    <w:p>
      <w:pPr>
        <w:spacing w:after="0"/>
        <w:rPr>
          <w:rFonts w:ascii="Arial" w:cs="Arial" w:eastAsia="Arial" w:hAnsi="Arial"/>
          <w:sz w:val="14"/>
          <w:szCs w:val="14"/>
          <w:color w:val="003366"/>
        </w:rPr>
      </w:pPr>
      <w:hyperlink w:anchor="page8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36"/>
          <w:szCs w:val="36"/>
          <w:b w:val="1"/>
          <w:bCs w:val="1"/>
          <w:color w:val="auto"/>
        </w:rPr>
        <w:t>Lucid Group, Inc.</w:t>
      </w:r>
    </w:p>
    <w:p>
      <w:pPr>
        <w:spacing w:after="0" w:line="6" w:lineRule="exact"/>
        <w:rPr>
          <w:sz w:val="20"/>
          <w:szCs w:val="20"/>
          <w:color w:val="auto"/>
        </w:rPr>
      </w:pPr>
    </w:p>
    <w:p>
      <w:pPr>
        <w:ind w:left="660"/>
        <w:spacing w:after="0"/>
        <w:rPr>
          <w:sz w:val="20"/>
          <w:szCs w:val="20"/>
          <w:color w:val="auto"/>
        </w:rPr>
      </w:pPr>
      <w:r>
        <w:rPr>
          <w:rFonts w:ascii="Arial" w:cs="Arial" w:eastAsia="Arial" w:hAnsi="Arial"/>
          <w:sz w:val="36"/>
          <w:szCs w:val="36"/>
          <w:b w:val="1"/>
          <w:bCs w:val="1"/>
          <w:color w:val="auto"/>
        </w:rPr>
        <w:t>Amended and Restated 2021 Stock Incentive Plan</w:t>
      </w:r>
    </w:p>
    <w:p>
      <w:pPr>
        <w:spacing w:after="0" w:line="32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1.  ESTABLISHMENT AND PURPOSE.</w:t>
      </w:r>
    </w:p>
    <w:p>
      <w:pPr>
        <w:spacing w:after="0" w:line="192" w:lineRule="exact"/>
        <w:rPr>
          <w:sz w:val="20"/>
          <w:szCs w:val="20"/>
          <w:color w:val="auto"/>
        </w:rPr>
      </w:pPr>
    </w:p>
    <w:p>
      <w:pPr>
        <w:jc w:val="both"/>
        <w:ind w:left="660" w:right="860"/>
        <w:spacing w:after="0" w:line="267" w:lineRule="auto"/>
        <w:rPr>
          <w:sz w:val="20"/>
          <w:szCs w:val="20"/>
          <w:color w:val="auto"/>
        </w:rPr>
      </w:pPr>
      <w:r>
        <w:rPr>
          <w:rFonts w:ascii="Arial" w:cs="Arial" w:eastAsia="Arial" w:hAnsi="Arial"/>
          <w:sz w:val="16"/>
          <w:szCs w:val="16"/>
          <w:color w:val="auto"/>
        </w:rPr>
        <w:t>The Plan was initially adopted by the Board on February 22, 2021. The Plan was amended on June 21, 2021 and amended and restated on April 27, 2022. Unless otherwise specifically provided in the Plan, the Plan shall be effective as of the Effective Date. The Plan’s purpose is to enhance the Company’s ability to attract, retain, incent, reward, and motivate persons who make (or are expected to make) important contributions to the Company and its Subsidiaries and Affiliates by providing these individuals with equity ownership and other incentive opportunities.</w:t>
      </w:r>
    </w:p>
    <w:p>
      <w:pPr>
        <w:spacing w:after="0" w:line="205" w:lineRule="exact"/>
        <w:rPr>
          <w:sz w:val="20"/>
          <w:szCs w:val="20"/>
          <w:color w:val="auto"/>
        </w:rPr>
      </w:pPr>
    </w:p>
    <w:p>
      <w:pPr>
        <w:ind w:left="660" w:right="680"/>
        <w:spacing w:after="0" w:line="265" w:lineRule="auto"/>
        <w:rPr>
          <w:sz w:val="20"/>
          <w:szCs w:val="20"/>
          <w:color w:val="auto"/>
        </w:rPr>
      </w:pPr>
      <w:r>
        <w:rPr>
          <w:rFonts w:ascii="Arial" w:cs="Arial" w:eastAsia="Arial" w:hAnsi="Arial"/>
          <w:sz w:val="16"/>
          <w:szCs w:val="16"/>
          <w:color w:val="auto"/>
        </w:rPr>
        <w:t xml:space="preserve">The Plan is intended as the successor to and continuation of the 2021 Plan. Following the Effective Date, no additional stock awards may be granted under the 2021 Plan, 2014 Plan or 2009 Plan. From and after the Effective Date, all outstanding stock awards granted under the 2021 Plan, 2014 Plan and 2009 Plan will remain subject to the terms of the 2021 Plan, 2014 Plan or 2009 Plan, as applicable;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Shares subject to stock awards granted under the 2021 Plan, 2014 Plan or 2009 Plan outstanding as of the Effective Date that (i) expire or terminate for any reason prior to exercise or settlement; (ii) are forfeited, cancelled or otherwise returned to the Company because of the failure to meet a contingency or condition required to vest such shares; or (iii) are reacquired, withheld (or not issued) to satisfy a tax withholding obligation in connection with an award or to satisfy the purchase price or exercise price of a stock award (the “</w:t>
      </w:r>
      <w:r>
        <w:rPr>
          <w:rFonts w:ascii="Arial" w:cs="Arial" w:eastAsia="Arial" w:hAnsi="Arial"/>
          <w:sz w:val="16"/>
          <w:szCs w:val="16"/>
          <w:b w:val="1"/>
          <w:bCs w:val="1"/>
          <w:color w:val="auto"/>
        </w:rPr>
        <w:t>Returning Shares</w:t>
      </w:r>
      <w:r>
        <w:rPr>
          <w:rFonts w:ascii="Arial" w:cs="Arial" w:eastAsia="Arial" w:hAnsi="Arial"/>
          <w:sz w:val="16"/>
          <w:szCs w:val="16"/>
          <w:color w:val="auto"/>
        </w:rPr>
        <w:t>”) will immediately be added to the Shares available for issuance under this Plan (as further described in Section 5(a) below) as and when such shares become Returning Shares, and become available for issuance pursuant to Awards granted hereunder. All Awards granted on or after the Effective Date will be subject to the terms of this Plan.</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2.  DEFINITIONS.</w:t>
      </w:r>
    </w:p>
    <w:p>
      <w:pPr>
        <w:spacing w:after="0" w:line="205" w:lineRule="exact"/>
        <w:rPr>
          <w:sz w:val="20"/>
          <w:szCs w:val="20"/>
          <w:color w:val="auto"/>
        </w:rPr>
      </w:pPr>
    </w:p>
    <w:p>
      <w:pPr>
        <w:ind w:left="980" w:hanging="326"/>
        <w:spacing w:after="0"/>
        <w:tabs>
          <w:tab w:leader="none" w:pos="9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“2009 Plan” means the 2009 Share Plan of Atieva, Inc., as amended.</w:t>
      </w:r>
    </w:p>
    <w:p>
      <w:pPr>
        <w:spacing w:after="0" w:line="248" w:lineRule="exact"/>
        <w:rPr>
          <w:rFonts w:ascii="Arial" w:cs="Arial" w:eastAsia="Arial" w:hAnsi="Arial"/>
          <w:sz w:val="16"/>
          <w:szCs w:val="16"/>
          <w:color w:val="auto"/>
        </w:rPr>
      </w:pPr>
    </w:p>
    <w:p>
      <w:pPr>
        <w:ind w:left="980" w:hanging="326"/>
        <w:spacing w:after="0"/>
        <w:tabs>
          <w:tab w:leader="none" w:pos="9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“2014 Plan” means the 2014 Share Plan of Atieva, Inc., as amended.</w:t>
      </w:r>
    </w:p>
    <w:p>
      <w:pPr>
        <w:spacing w:after="0" w:line="248" w:lineRule="exact"/>
        <w:rPr>
          <w:rFonts w:ascii="Arial" w:cs="Arial" w:eastAsia="Arial" w:hAnsi="Arial"/>
          <w:sz w:val="16"/>
          <w:szCs w:val="16"/>
          <w:color w:val="auto"/>
        </w:rPr>
      </w:pPr>
    </w:p>
    <w:p>
      <w:pPr>
        <w:ind w:left="980" w:hanging="326"/>
        <w:spacing w:after="0"/>
        <w:tabs>
          <w:tab w:leader="none" w:pos="9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“2021 Plan” means the Atieva, Inc. 2021 Stock Incentive Plan, as amended.</w:t>
      </w:r>
    </w:p>
    <w:p>
      <w:pPr>
        <w:spacing w:after="0" w:line="234" w:lineRule="exact"/>
        <w:rPr>
          <w:rFonts w:ascii="Arial" w:cs="Arial" w:eastAsia="Arial" w:hAnsi="Arial"/>
          <w:sz w:val="16"/>
          <w:szCs w:val="16"/>
          <w:color w:val="auto"/>
        </w:rPr>
      </w:pPr>
    </w:p>
    <w:p>
      <w:pPr>
        <w:ind w:left="660" w:right="740" w:hanging="6"/>
        <w:spacing w:after="0" w:line="278" w:lineRule="auto"/>
        <w:tabs>
          <w:tab w:leader="none" w:pos="993" w:val="left"/>
        </w:tabs>
        <w:numPr>
          <w:ilvl w:val="0"/>
          <w:numId w:val="53"/>
        </w:numPr>
        <w:rPr>
          <w:rFonts w:ascii="Arial" w:cs="Arial" w:eastAsia="Arial" w:hAnsi="Arial"/>
          <w:sz w:val="16"/>
          <w:szCs w:val="16"/>
          <w:color w:val="auto"/>
        </w:rPr>
      </w:pPr>
      <w:r>
        <w:rPr>
          <w:rFonts w:ascii="Arial" w:cs="Arial" w:eastAsia="Arial" w:hAnsi="Arial"/>
          <w:sz w:val="16"/>
          <w:szCs w:val="16"/>
          <w:color w:val="auto"/>
        </w:rPr>
        <w:t>“Affiliate” means any entity other than a Subsidiary, if the Company and/or one or more Subsidiaries own not less than 50% of such entity.</w:t>
      </w:r>
    </w:p>
    <w:p>
      <w:pPr>
        <w:spacing w:after="0" w:line="194" w:lineRule="exact"/>
        <w:rPr>
          <w:rFonts w:ascii="Arial" w:cs="Arial" w:eastAsia="Arial" w:hAnsi="Arial"/>
          <w:sz w:val="16"/>
          <w:szCs w:val="16"/>
          <w:color w:val="auto"/>
        </w:rPr>
      </w:pPr>
    </w:p>
    <w:p>
      <w:pPr>
        <w:ind w:left="660" w:right="800" w:hanging="6"/>
        <w:spacing w:after="0" w:line="278" w:lineRule="auto"/>
        <w:tabs>
          <w:tab w:leader="none" w:pos="993" w:val="left"/>
        </w:tabs>
        <w:numPr>
          <w:ilvl w:val="0"/>
          <w:numId w:val="53"/>
        </w:numPr>
        <w:rPr>
          <w:rFonts w:ascii="Arial" w:cs="Arial" w:eastAsia="Arial" w:hAnsi="Arial"/>
          <w:sz w:val="16"/>
          <w:szCs w:val="16"/>
          <w:color w:val="auto"/>
        </w:rPr>
      </w:pPr>
      <w:r>
        <w:rPr>
          <w:rFonts w:ascii="Arial" w:cs="Arial" w:eastAsia="Arial" w:hAnsi="Arial"/>
          <w:sz w:val="16"/>
          <w:szCs w:val="16"/>
          <w:color w:val="auto"/>
        </w:rPr>
        <w:t>“Award” means any award of an Option, a SAR, a Restricted Share, a Restricted Stock Unit, a Cash-Based Award or a Stock Purchase Right under the Plan.</w:t>
      </w:r>
    </w:p>
    <w:p>
      <w:pPr>
        <w:spacing w:after="0" w:line="194" w:lineRule="exact"/>
        <w:rPr>
          <w:rFonts w:ascii="Arial" w:cs="Arial" w:eastAsia="Arial" w:hAnsi="Arial"/>
          <w:sz w:val="16"/>
          <w:szCs w:val="16"/>
          <w:color w:val="auto"/>
        </w:rPr>
      </w:pPr>
    </w:p>
    <w:p>
      <w:pPr>
        <w:ind w:left="660" w:right="1060" w:hanging="6"/>
        <w:spacing w:after="0" w:line="278" w:lineRule="auto"/>
        <w:tabs>
          <w:tab w:leader="none" w:pos="948" w:val="left"/>
        </w:tabs>
        <w:numPr>
          <w:ilvl w:val="0"/>
          <w:numId w:val="53"/>
        </w:numPr>
        <w:rPr>
          <w:rFonts w:ascii="Arial" w:cs="Arial" w:eastAsia="Arial" w:hAnsi="Arial"/>
          <w:sz w:val="16"/>
          <w:szCs w:val="16"/>
          <w:color w:val="auto"/>
        </w:rPr>
      </w:pPr>
      <w:r>
        <w:rPr>
          <w:rFonts w:ascii="Arial" w:cs="Arial" w:eastAsia="Arial" w:hAnsi="Arial"/>
          <w:sz w:val="16"/>
          <w:szCs w:val="16"/>
          <w:color w:val="auto"/>
        </w:rPr>
        <w:t>“Award Agreement” means the agreement between the Company and the recipient of an Award which contains the terms, conditions and restrictions pertaining to such Award.</w:t>
      </w:r>
    </w:p>
    <w:p>
      <w:pPr>
        <w:spacing w:after="0" w:line="208" w:lineRule="exact"/>
        <w:rPr>
          <w:rFonts w:ascii="Arial" w:cs="Arial" w:eastAsia="Arial" w:hAnsi="Arial"/>
          <w:sz w:val="16"/>
          <w:szCs w:val="16"/>
          <w:color w:val="auto"/>
        </w:rPr>
      </w:pPr>
    </w:p>
    <w:p>
      <w:pPr>
        <w:ind w:left="980" w:hanging="326"/>
        <w:spacing w:after="0"/>
        <w:tabs>
          <w:tab w:leader="none" w:pos="9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“Board of Directors” or “Board” means the Board of Directors of the Company, as constituted from time to time.</w:t>
      </w:r>
    </w:p>
    <w:p>
      <w:pPr>
        <w:spacing w:after="0" w:line="248" w:lineRule="exact"/>
        <w:rPr>
          <w:rFonts w:ascii="Arial" w:cs="Arial" w:eastAsia="Arial" w:hAnsi="Arial"/>
          <w:sz w:val="16"/>
          <w:szCs w:val="16"/>
          <w:color w:val="auto"/>
        </w:rPr>
      </w:pPr>
    </w:p>
    <w:p>
      <w:pPr>
        <w:ind w:left="980" w:hanging="326"/>
        <w:spacing w:after="0"/>
        <w:tabs>
          <w:tab w:leader="none" w:pos="9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“Cash-Based Award” means an Award that entitles the Participant to receive a cash-denominated payment.</w:t>
      </w:r>
    </w:p>
    <w:p>
      <w:pPr>
        <w:spacing w:after="0" w:line="234" w:lineRule="exact"/>
        <w:rPr>
          <w:rFonts w:ascii="Arial" w:cs="Arial" w:eastAsia="Arial" w:hAnsi="Arial"/>
          <w:sz w:val="16"/>
          <w:szCs w:val="16"/>
          <w:color w:val="auto"/>
        </w:rPr>
      </w:pPr>
    </w:p>
    <w:p>
      <w:pPr>
        <w:jc w:val="both"/>
        <w:ind w:left="660" w:right="960" w:hanging="6"/>
        <w:spacing w:after="0" w:line="264" w:lineRule="auto"/>
        <w:tabs>
          <w:tab w:leader="none" w:pos="939" w:val="left"/>
        </w:tabs>
        <w:numPr>
          <w:ilvl w:val="0"/>
          <w:numId w:val="53"/>
        </w:numPr>
        <w:rPr>
          <w:rFonts w:ascii="Arial" w:cs="Arial" w:eastAsia="Arial" w:hAnsi="Arial"/>
          <w:sz w:val="16"/>
          <w:szCs w:val="16"/>
          <w:color w:val="auto"/>
        </w:rPr>
      </w:pPr>
      <w:r>
        <w:rPr>
          <w:rFonts w:ascii="Arial" w:cs="Arial" w:eastAsia="Arial" w:hAnsi="Arial"/>
          <w:sz w:val="16"/>
          <w:szCs w:val="16"/>
          <w:color w:val="auto"/>
        </w:rPr>
        <w:t>“Cause” means, unless such term or an equivalent term is otherwise defined by the applicable Award Agreement or other written agreement between a Participant and the Company applicable to an Award, any of the following: (i) Participant’s willful failure substantially to perform his or her duties and responsibilities to the Company or deliberate violation of a Company policy;</w:t>
      </w:r>
    </w:p>
    <w:p>
      <w:pPr>
        <w:ind w:left="660" w:right="780" w:hanging="6"/>
        <w:spacing w:after="0" w:line="266" w:lineRule="auto"/>
        <w:tabs>
          <w:tab w:leader="none" w:pos="885" w:val="left"/>
        </w:tabs>
        <w:numPr>
          <w:ilvl w:val="0"/>
          <w:numId w:val="54"/>
        </w:numPr>
        <w:rPr>
          <w:rFonts w:ascii="Arial" w:cs="Arial" w:eastAsia="Arial" w:hAnsi="Arial"/>
          <w:sz w:val="16"/>
          <w:szCs w:val="16"/>
          <w:color w:val="auto"/>
        </w:rPr>
      </w:pPr>
      <w:r>
        <w:rPr>
          <w:rFonts w:ascii="Arial" w:cs="Arial" w:eastAsia="Arial" w:hAnsi="Arial"/>
          <w:sz w:val="16"/>
          <w:szCs w:val="16"/>
          <w:color w:val="auto"/>
        </w:rPr>
        <w:t>Participant’s commission of any act of fraud, embezzlement, dishonesty or any other willful misconduct that has caused or is reasonably expected to result in material injury to the Company; (iii) Participant’s conviction of a felony, any crime involving moral turpitude or a misdemeanor where imprisonment is imposed, (iv) Participant’s gross incompetence in performing his or her duties to the Company or any of its Subsidiaries or Affiliates, (v) Participant’s material failure to comply with applicable laws or governmental regulations related to or in the course of Participant’s employment with or providing services to the Company or any of its Subsidiaries or Affiliates, (vi) unauthorized use or disclosure by Participant of any proprietary information or trade secrets of the Company or any other party to whom the Participant owes an obligation of nondisclosure as a result of his or her relationship with the Company; or (vii) Participant’s willful breach of any of his or her obligations under any written agreement or covenant</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860" w:type="dxa"/>
            <w:vAlign w:val="bottom"/>
          </w:tcPr>
          <w:p>
            <w:pPr>
              <w:ind w:left="660"/>
              <w:spacing w:after="0"/>
              <w:rPr>
                <w:sz w:val="20"/>
                <w:szCs w:val="20"/>
                <w:color w:val="auto"/>
              </w:rPr>
            </w:pPr>
            <w:r>
              <w:rPr>
                <w:rFonts w:ascii="Arial" w:cs="Arial" w:eastAsia="Arial" w:hAnsi="Arial"/>
                <w:sz w:val="13"/>
                <w:szCs w:val="13"/>
                <w:color w:val="auto"/>
              </w:rPr>
              <w:t>2022 Proxy Statement</w:t>
            </w:r>
          </w:p>
        </w:tc>
        <w:tc>
          <w:tcPr>
            <w:tcW w:w="4860" w:type="dxa"/>
            <w:vAlign w:val="bottom"/>
          </w:tcPr>
          <w:p>
            <w:pPr>
              <w:ind w:left="3980"/>
              <w:spacing w:after="0"/>
              <w:rPr>
                <w:sz w:val="20"/>
                <w:szCs w:val="20"/>
                <w:color w:val="auto"/>
              </w:rPr>
            </w:pPr>
            <w:r>
              <w:rPr>
                <w:rFonts w:ascii="Arial" w:cs="Arial" w:eastAsia="Arial" w:hAnsi="Arial"/>
                <w:sz w:val="13"/>
                <w:szCs w:val="13"/>
                <w:b w:val="1"/>
                <w:bCs w:val="1"/>
                <w:color w:val="auto"/>
              </w:rPr>
              <w:t>A-1</w:t>
            </w:r>
          </w:p>
        </w:tc>
      </w:tr>
      <w:tr>
        <w:trPr>
          <w:trHeight w:val="172"/>
        </w:trPr>
        <w:tc>
          <w:tcPr>
            <w:tcW w:w="5860" w:type="dxa"/>
            <w:vAlign w:val="bottom"/>
            <w:tcBorders>
              <w:bottom w:val="single" w:sz="8" w:color="9A9A9A"/>
            </w:tcBorders>
          </w:tcPr>
          <w:p>
            <w:pPr>
              <w:spacing w:after="0"/>
              <w:rPr>
                <w:sz w:val="14"/>
                <w:szCs w:val="14"/>
                <w:color w:val="auto"/>
              </w:rPr>
            </w:pPr>
          </w:p>
        </w:tc>
        <w:tc>
          <w:tcPr>
            <w:tcW w:w="48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87" w:name="page88"/>
    <w:bookmarkEnd w:id="87"/>
    <w:p>
      <w:pPr>
        <w:spacing w:after="0"/>
        <w:rPr>
          <w:rFonts w:ascii="Arial" w:cs="Arial" w:eastAsia="Arial" w:hAnsi="Arial"/>
          <w:sz w:val="14"/>
          <w:szCs w:val="14"/>
          <w:color w:val="003366"/>
        </w:rPr>
      </w:pPr>
      <w:hyperlink w:anchor="page8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60" w:right="60"/>
        <w:spacing w:after="0" w:line="268" w:lineRule="auto"/>
        <w:rPr>
          <w:sz w:val="20"/>
          <w:szCs w:val="20"/>
          <w:color w:val="auto"/>
        </w:rPr>
      </w:pPr>
      <w:r>
        <w:rPr>
          <w:rFonts w:ascii="Arial" w:cs="Arial" w:eastAsia="Arial" w:hAnsi="Arial"/>
          <w:sz w:val="16"/>
          <w:szCs w:val="16"/>
          <w:color w:val="auto"/>
        </w:rPr>
        <w:t>with the Company. The determination as to whether a Participant is being terminated for Cause shall be made in good faith by the Company and shall be final and binding on the Participant. The foregoing definition does not in any way limit the Company’s ability to terminate a Participant’s employment or consulting relationship at any time as provided in Section 5(d) below, and the term “Company” will be interpreted to include any Subsidiary, Parent or Affiliate, as appropriate.</w:t>
      </w:r>
    </w:p>
    <w:p>
      <w:pPr>
        <w:spacing w:after="0" w:line="218" w:lineRule="exact"/>
        <w:rPr>
          <w:sz w:val="20"/>
          <w:szCs w:val="20"/>
          <w:color w:val="auto"/>
        </w:rPr>
      </w:pPr>
    </w:p>
    <w:p>
      <w:pPr>
        <w:ind w:left="940" w:hanging="286"/>
        <w:spacing w:after="0"/>
        <w:tabs>
          <w:tab w:leader="none" w:pos="9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“Change in Control” means the occurrence of any of the following events:</w:t>
      </w:r>
    </w:p>
    <w:p>
      <w:pPr>
        <w:spacing w:after="0" w:line="248" w:lineRule="exact"/>
        <w:rPr>
          <w:rFonts w:ascii="Arial" w:cs="Arial" w:eastAsia="Arial" w:hAnsi="Arial"/>
          <w:sz w:val="16"/>
          <w:szCs w:val="16"/>
          <w:color w:val="auto"/>
        </w:rPr>
      </w:pPr>
    </w:p>
    <w:p>
      <w:pPr>
        <w:ind w:left="1280" w:right="180" w:hanging="356"/>
        <w:spacing w:after="0" w:line="295" w:lineRule="auto"/>
        <w:tabs>
          <w:tab w:leader="none" w:pos="128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 change in the composition of the Board occurs, as a result of which fewer than one-half of the incumbent directors are directors who either:</w:t>
      </w:r>
    </w:p>
    <w:p>
      <w:pPr>
        <w:spacing w:after="0" w:line="182" w:lineRule="exact"/>
        <w:rPr>
          <w:rFonts w:ascii="Arial" w:cs="Arial" w:eastAsia="Arial" w:hAnsi="Arial"/>
          <w:sz w:val="16"/>
          <w:szCs w:val="16"/>
          <w:color w:val="auto"/>
        </w:rPr>
      </w:pPr>
    </w:p>
    <w:p>
      <w:pPr>
        <w:ind w:left="1640" w:hanging="356"/>
        <w:spacing w:after="0"/>
        <w:tabs>
          <w:tab w:leader="none" w:pos="1640" w:val="left"/>
        </w:tabs>
        <w:numPr>
          <w:ilvl w:val="2"/>
          <w:numId w:val="55"/>
        </w:numPr>
        <w:rPr>
          <w:rFonts w:ascii="Arial" w:cs="Arial" w:eastAsia="Arial" w:hAnsi="Arial"/>
          <w:sz w:val="16"/>
          <w:szCs w:val="16"/>
          <w:color w:val="auto"/>
        </w:rPr>
      </w:pPr>
      <w:r>
        <w:rPr>
          <w:rFonts w:ascii="Arial" w:cs="Arial" w:eastAsia="Arial" w:hAnsi="Arial"/>
          <w:sz w:val="16"/>
          <w:szCs w:val="16"/>
          <w:color w:val="auto"/>
        </w:rPr>
        <w:t>Had been directors of the Company on the “look-back date” (as defined below) (the “original directors”); or</w:t>
      </w:r>
    </w:p>
    <w:p>
      <w:pPr>
        <w:spacing w:after="0" w:line="248" w:lineRule="exact"/>
        <w:rPr>
          <w:rFonts w:ascii="Arial" w:cs="Arial" w:eastAsia="Arial" w:hAnsi="Arial"/>
          <w:sz w:val="16"/>
          <w:szCs w:val="16"/>
          <w:color w:val="auto"/>
        </w:rPr>
      </w:pPr>
    </w:p>
    <w:p>
      <w:pPr>
        <w:ind w:left="1640" w:right="60" w:hanging="356"/>
        <w:spacing w:after="0" w:line="288" w:lineRule="auto"/>
        <w:tabs>
          <w:tab w:leader="none" w:pos="1640" w:val="left"/>
        </w:tabs>
        <w:numPr>
          <w:ilvl w:val="2"/>
          <w:numId w:val="55"/>
        </w:numPr>
        <w:rPr>
          <w:rFonts w:ascii="Arial" w:cs="Arial" w:eastAsia="Arial" w:hAnsi="Arial"/>
          <w:sz w:val="16"/>
          <w:szCs w:val="16"/>
          <w:color w:val="auto"/>
        </w:rPr>
      </w:pPr>
      <w:r>
        <w:rPr>
          <w:rFonts w:ascii="Arial" w:cs="Arial" w:eastAsia="Arial" w:hAnsi="Arial"/>
          <w:sz w:val="16"/>
          <w:szCs w:val="16"/>
          <w:color w:val="auto"/>
        </w:rPr>
        <w:t>Were elected, or nominated for election, to the Board with the affirmative votes of at least a majority of the aggregate of the original directors who were still in office at the time of the election or nomination and the directors whose election or nomination was previously so approved (the “continuing directors”);</w:t>
      </w:r>
    </w:p>
    <w:p>
      <w:pPr>
        <w:spacing w:after="0" w:line="188" w:lineRule="exact"/>
        <w:rPr>
          <w:sz w:val="20"/>
          <w:szCs w:val="20"/>
          <w:color w:val="auto"/>
        </w:rPr>
      </w:pPr>
    </w:p>
    <w:p>
      <w:pPr>
        <w:ind w:left="1280"/>
        <w:spacing w:after="0" w:line="268" w:lineRule="auto"/>
        <w:rPr>
          <w:sz w:val="20"/>
          <w:szCs w:val="20"/>
          <w:color w:val="auto"/>
        </w:rPr>
      </w:pPr>
      <w:r>
        <w:rPr>
          <w:rFonts w:ascii="Arial" w:cs="Arial" w:eastAsia="Arial" w:hAnsi="Arial"/>
          <w:sz w:val="16"/>
          <w:szCs w:val="16"/>
          <w:color w:val="auto"/>
        </w:rPr>
        <w:t>provided, however, that for this purpose, the “original directors” and “continuing directors” shall not include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w:t>
      </w:r>
    </w:p>
    <w:p>
      <w:pPr>
        <w:spacing w:after="0" w:line="218" w:lineRule="exact"/>
        <w:rPr>
          <w:sz w:val="20"/>
          <w:szCs w:val="20"/>
          <w:color w:val="auto"/>
        </w:rPr>
      </w:pPr>
    </w:p>
    <w:p>
      <w:pPr>
        <w:ind w:left="1280" w:hanging="356"/>
        <w:spacing w:after="0" w:line="283" w:lineRule="auto"/>
        <w:tabs>
          <w:tab w:leader="none" w:pos="12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Any “person” (as defined below) who by the acquisition or aggregation of securities, is or becomes the “beneficial owner” (as defined in Rule 13d-3 under the Exchange Act), directly or indirectly, of securities of the Company representing 50% or more of the combined voting power of the Company’s then outstanding securities ordinarily (and apart from rights accruing under special circumstances) having the right to vote at elections of directors (the “Base Capital Stock”); except that any change in the relative beneficial ownership of the Company’s securities by any person resulting solely from a reduction in the aggregate number of outstanding Shares of Base Capital Stock, and any decrease thereafter in such person’s ownership of securities, shall be disregarded until such person increases in any manner, directly or indirectly, such person’s beneficial ownership of any securities of the Company;</w:t>
      </w:r>
    </w:p>
    <w:p>
      <w:pPr>
        <w:spacing w:after="0" w:line="194" w:lineRule="exact"/>
        <w:rPr>
          <w:rFonts w:ascii="Arial" w:cs="Arial" w:eastAsia="Arial" w:hAnsi="Arial"/>
          <w:sz w:val="16"/>
          <w:szCs w:val="16"/>
          <w:color w:val="auto"/>
        </w:rPr>
      </w:pPr>
    </w:p>
    <w:p>
      <w:pPr>
        <w:ind w:left="1280" w:right="260" w:hanging="356"/>
        <w:spacing w:after="0" w:line="285" w:lineRule="auto"/>
        <w:tabs>
          <w:tab w:leader="none" w:pos="12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consummation of a merger or consolidation of the Company or a Subsidiary of the Company with or into another entity or any other corporate reorganization, if persons who were not stockholders of the Company immediately prior to such merger, consolidation or other reorganization own immediately after such merger, consolidation or other reorganization 50% or more of the voting power of the outstanding securities of each of (A) the Company (or its successor) and (B) any direct or indirect parent corporation of the Company (or its successor); or</w:t>
      </w:r>
    </w:p>
    <w:p>
      <w:pPr>
        <w:spacing w:after="0" w:line="203" w:lineRule="exact"/>
        <w:rPr>
          <w:rFonts w:ascii="Arial" w:cs="Arial" w:eastAsia="Arial" w:hAnsi="Arial"/>
          <w:sz w:val="16"/>
          <w:szCs w:val="16"/>
          <w:color w:val="auto"/>
        </w:rPr>
      </w:pPr>
    </w:p>
    <w:p>
      <w:pPr>
        <w:ind w:left="1280" w:hanging="356"/>
        <w:spacing w:after="0"/>
        <w:tabs>
          <w:tab w:leader="none" w:pos="12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sale, transfer, or other disposition of all or substantially all of the Company’s assets.</w:t>
      </w:r>
    </w:p>
    <w:p>
      <w:pPr>
        <w:spacing w:after="0" w:line="235" w:lineRule="exact"/>
        <w:rPr>
          <w:sz w:val="20"/>
          <w:szCs w:val="20"/>
          <w:color w:val="auto"/>
        </w:rPr>
      </w:pPr>
    </w:p>
    <w:p>
      <w:pPr>
        <w:ind w:left="660" w:right="120"/>
        <w:spacing w:after="0" w:line="278" w:lineRule="auto"/>
        <w:rPr>
          <w:sz w:val="20"/>
          <w:szCs w:val="20"/>
          <w:color w:val="auto"/>
        </w:rPr>
      </w:pPr>
      <w:r>
        <w:rPr>
          <w:rFonts w:ascii="Arial" w:cs="Arial" w:eastAsia="Arial" w:hAnsi="Arial"/>
          <w:sz w:val="16"/>
          <w:szCs w:val="16"/>
          <w:color w:val="auto"/>
        </w:rPr>
        <w:t>For purposes of subsection (j)(i) above, the term “look-back” date means the later of (1) the Effective Date and (2) the date that is 24 months prior to the date of the event that may constitute a Change in Control.</w:t>
      </w:r>
    </w:p>
    <w:p>
      <w:pPr>
        <w:spacing w:after="0" w:line="195" w:lineRule="exact"/>
        <w:rPr>
          <w:sz w:val="20"/>
          <w:szCs w:val="20"/>
          <w:color w:val="auto"/>
        </w:rPr>
      </w:pPr>
    </w:p>
    <w:p>
      <w:pPr>
        <w:jc w:val="both"/>
        <w:ind w:left="660" w:right="20"/>
        <w:spacing w:after="0" w:line="268" w:lineRule="auto"/>
        <w:rPr>
          <w:sz w:val="20"/>
          <w:szCs w:val="20"/>
          <w:color w:val="auto"/>
        </w:rPr>
      </w:pPr>
      <w:r>
        <w:rPr>
          <w:rFonts w:ascii="Arial" w:cs="Arial" w:eastAsia="Arial" w:hAnsi="Arial"/>
          <w:sz w:val="16"/>
          <w:szCs w:val="16"/>
          <w:color w:val="auto"/>
        </w:rPr>
        <w:t>For purposes of subsection (j)(ii) above, the term “person” shall have the same meaning as when used in Sections 13(d) and 14(d) of the Exchange Act, but shall exclude (1) a trustee or other fiduciary holding securities under an employee benefit plan maintained by the Company or a Parent or Subsidiary and (2) a corporation owned directly or indirectly by the stockholders of the Company in substantially the same proportions as their ownership of the Stock.</w:t>
      </w:r>
    </w:p>
    <w:p>
      <w:pPr>
        <w:spacing w:after="0" w:line="204" w:lineRule="exact"/>
        <w:rPr>
          <w:sz w:val="20"/>
          <w:szCs w:val="20"/>
          <w:color w:val="auto"/>
        </w:rPr>
      </w:pPr>
    </w:p>
    <w:p>
      <w:pPr>
        <w:ind w:left="660" w:right="60"/>
        <w:spacing w:after="0" w:line="267" w:lineRule="auto"/>
        <w:rPr>
          <w:sz w:val="20"/>
          <w:szCs w:val="20"/>
          <w:color w:val="auto"/>
        </w:rPr>
      </w:pPr>
      <w:r>
        <w:rPr>
          <w:rFonts w:ascii="Arial" w:cs="Arial" w:eastAsia="Arial" w:hAnsi="Arial"/>
          <w:sz w:val="16"/>
          <w:szCs w:val="16"/>
          <w:color w:val="auto"/>
        </w:rPr>
        <w:t>Any other provision of this Section 2(j) notwithstanding, 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 and a Change in Control shall not be deemed to occur if the Company files a registration statement with the United States Securities and Exchange Commission in connection with an initial or secondary public offering of securities or debt of the Company to the public.</w:t>
      </w:r>
    </w:p>
    <w:p>
      <w:pPr>
        <w:spacing w:after="0" w:line="205" w:lineRule="exact"/>
        <w:rPr>
          <w:sz w:val="20"/>
          <w:szCs w:val="20"/>
          <w:color w:val="auto"/>
        </w:rPr>
      </w:pPr>
    </w:p>
    <w:p>
      <w:pPr>
        <w:ind w:left="660" w:right="340" w:hanging="6"/>
        <w:spacing w:after="0" w:line="278" w:lineRule="auto"/>
        <w:tabs>
          <w:tab w:leader="none" w:pos="984"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“Code” means the United States Internal Revenue Code of 1986, as amended, and the rules and regulations promulgated thereunder.</w:t>
      </w:r>
    </w:p>
    <w:p>
      <w:pPr>
        <w:spacing w:after="0" w:line="194" w:lineRule="exact"/>
        <w:rPr>
          <w:rFonts w:ascii="Arial" w:cs="Arial" w:eastAsia="Arial" w:hAnsi="Arial"/>
          <w:sz w:val="16"/>
          <w:szCs w:val="16"/>
          <w:color w:val="auto"/>
        </w:rPr>
      </w:pPr>
    </w:p>
    <w:p>
      <w:pPr>
        <w:ind w:left="660" w:right="140" w:hanging="6"/>
        <w:spacing w:after="0" w:line="278" w:lineRule="auto"/>
        <w:tabs>
          <w:tab w:leader="none" w:pos="939"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“Committee” means the Compensation Committee as designated by the Board, which is authorized to administer the Plan, as described in Section 3 hereof.</w:t>
      </w:r>
    </w:p>
    <w:p>
      <w:pPr>
        <w:sectPr>
          <w:pgSz w:w="11900" w:h="16838" w:orient="portrait"/>
          <w:cols w:equalWidth="0" w:num="1">
            <w:col w:w="10040"/>
          </w:cols>
          <w:pgMar w:left="580" w:top="131" w:right="1279" w:bottom="1440" w:gutter="0" w:footer="0" w:header="0"/>
        </w:sectPr>
      </w:pPr>
    </w:p>
    <w:p>
      <w:pPr>
        <w:spacing w:after="0" w:line="373"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3"/>
          <w:szCs w:val="13"/>
          <w:b w:val="1"/>
          <w:bCs w:val="1"/>
          <w:color w:val="auto"/>
        </w:rPr>
        <w:t>A-2</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1" w:right="1279" w:bottom="1440" w:gutter="0" w:footer="0" w:header="0"/>
          <w:type w:val="continuous"/>
        </w:sectPr>
      </w:pPr>
    </w:p>
    <w:bookmarkStart w:id="88" w:name="page89"/>
    <w:bookmarkEnd w:id="88"/>
    <w:p>
      <w:pPr>
        <w:spacing w:after="0"/>
        <w:rPr>
          <w:rFonts w:ascii="Arial" w:cs="Arial" w:eastAsia="Arial" w:hAnsi="Arial"/>
          <w:sz w:val="14"/>
          <w:szCs w:val="14"/>
          <w:color w:val="003366"/>
        </w:rPr>
      </w:pPr>
      <w:hyperlink w:anchor="page8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040" w:hanging="386"/>
        <w:spacing w:after="0"/>
        <w:tabs>
          <w:tab w:leader="none" w:pos="10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“Company” means Lucid Group, Inc., a Delaware corporation, or any successor thereto.</w:t>
      </w:r>
    </w:p>
    <w:p>
      <w:pPr>
        <w:spacing w:after="0" w:line="234" w:lineRule="exact"/>
        <w:rPr>
          <w:rFonts w:ascii="Arial" w:cs="Arial" w:eastAsia="Arial" w:hAnsi="Arial"/>
          <w:sz w:val="16"/>
          <w:szCs w:val="16"/>
          <w:color w:val="auto"/>
        </w:rPr>
      </w:pPr>
    </w:p>
    <w:p>
      <w:pPr>
        <w:ind w:left="660" w:right="80" w:hanging="6"/>
        <w:spacing w:after="0" w:line="271" w:lineRule="auto"/>
        <w:tabs>
          <w:tab w:leader="none" w:pos="993" w:val="left"/>
        </w:tabs>
        <w:numPr>
          <w:ilvl w:val="0"/>
          <w:numId w:val="58"/>
        </w:numPr>
        <w:rPr>
          <w:rFonts w:ascii="Arial" w:cs="Arial" w:eastAsia="Arial" w:hAnsi="Arial"/>
          <w:sz w:val="16"/>
          <w:szCs w:val="16"/>
          <w:color w:val="auto"/>
        </w:rPr>
      </w:pPr>
      <w:r>
        <w:rPr>
          <w:rFonts w:ascii="Arial" w:cs="Arial" w:eastAsia="Arial" w:hAnsi="Arial"/>
          <w:sz w:val="16"/>
          <w:szCs w:val="16"/>
          <w:color w:val="auto"/>
        </w:rPr>
        <w:t>“Consultant” means an individual who is a consultant or advisor and who provides bona fide services to the Company, a Parent, a Subsidiary, or an Affiliate as an independent contractor (not including service as a member of the Board) or a member of the Board of a Parent or a Subsidiary, in each case who is not an Employee.</w:t>
      </w:r>
    </w:p>
    <w:p>
      <w:pPr>
        <w:spacing w:after="0" w:line="213" w:lineRule="exact"/>
        <w:rPr>
          <w:rFonts w:ascii="Arial" w:cs="Arial" w:eastAsia="Arial" w:hAnsi="Arial"/>
          <w:sz w:val="16"/>
          <w:szCs w:val="16"/>
          <w:color w:val="auto"/>
        </w:rPr>
      </w:pPr>
    </w:p>
    <w:p>
      <w:pPr>
        <w:ind w:left="980" w:hanging="326"/>
        <w:spacing w:after="0"/>
        <w:tabs>
          <w:tab w:leader="none" w:pos="9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“Disability”(i) means any permanent and total disability as defined by Section 22(e)(3) of the Code.</w:t>
      </w:r>
    </w:p>
    <w:p>
      <w:pPr>
        <w:spacing w:after="0" w:line="234" w:lineRule="exact"/>
        <w:rPr>
          <w:rFonts w:ascii="Arial" w:cs="Arial" w:eastAsia="Arial" w:hAnsi="Arial"/>
          <w:sz w:val="16"/>
          <w:szCs w:val="16"/>
          <w:color w:val="auto"/>
        </w:rPr>
      </w:pPr>
    </w:p>
    <w:p>
      <w:pPr>
        <w:ind w:left="660" w:right="100" w:hanging="6"/>
        <w:spacing w:after="0" w:line="268" w:lineRule="auto"/>
        <w:tabs>
          <w:tab w:leader="none" w:pos="993" w:val="left"/>
        </w:tabs>
        <w:numPr>
          <w:ilvl w:val="0"/>
          <w:numId w:val="58"/>
        </w:numPr>
        <w:rPr>
          <w:rFonts w:ascii="Arial" w:cs="Arial" w:eastAsia="Arial" w:hAnsi="Arial"/>
          <w:sz w:val="16"/>
          <w:szCs w:val="16"/>
          <w:color w:val="auto"/>
        </w:rPr>
      </w:pPr>
      <w:r>
        <w:rPr>
          <w:rFonts w:ascii="Arial" w:cs="Arial" w:eastAsia="Arial" w:hAnsi="Arial"/>
          <w:sz w:val="16"/>
          <w:szCs w:val="16"/>
          <w:color w:val="auto"/>
        </w:rPr>
        <w:t>“Effective Date” means the original effective date of this Plan, which was July 23, 2021, the date of the closing of the transactions contemplated by the Agreement and Plan of Merger by and among Churchill Capital Corp IV, a Delaware corporation (the “SPAC”), a new wholly-owned subsidiary of the SPAC and the Company, dated as of February 22, 2021 (the “Merger Agreement”).</w:t>
      </w:r>
    </w:p>
    <w:p>
      <w:pPr>
        <w:spacing w:after="0" w:line="217" w:lineRule="exact"/>
        <w:rPr>
          <w:rFonts w:ascii="Arial" w:cs="Arial" w:eastAsia="Arial" w:hAnsi="Arial"/>
          <w:sz w:val="16"/>
          <w:szCs w:val="16"/>
          <w:color w:val="auto"/>
        </w:rPr>
      </w:pPr>
    </w:p>
    <w:p>
      <w:pPr>
        <w:ind w:left="980" w:hanging="326"/>
        <w:spacing w:after="0"/>
        <w:tabs>
          <w:tab w:leader="none" w:pos="9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“Employee” means any individual who is a common-law employee of the Company, a Parent, a Subsidiary, or an Affiliate.</w:t>
      </w:r>
    </w:p>
    <w:p>
      <w:pPr>
        <w:spacing w:after="0" w:line="228" w:lineRule="exact"/>
        <w:rPr>
          <w:rFonts w:ascii="Arial" w:cs="Arial" w:eastAsia="Arial" w:hAnsi="Arial"/>
          <w:sz w:val="16"/>
          <w:szCs w:val="16"/>
          <w:color w:val="auto"/>
        </w:rPr>
      </w:pPr>
    </w:p>
    <w:p>
      <w:pPr>
        <w:ind w:left="960" w:hanging="306"/>
        <w:spacing w:after="0"/>
        <w:tabs>
          <w:tab w:leader="none" w:pos="9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“ESPP Addendum” means the Lucid Group, Inc. 2021 Employee Stock Purchase Plan attached to this Plan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w:t>
      </w:r>
    </w:p>
    <w:p>
      <w:pPr>
        <w:spacing w:after="0" w:line="254" w:lineRule="exact"/>
        <w:rPr>
          <w:rFonts w:ascii="Arial" w:cs="Arial" w:eastAsia="Arial" w:hAnsi="Arial"/>
          <w:sz w:val="16"/>
          <w:szCs w:val="16"/>
          <w:color w:val="auto"/>
        </w:rPr>
      </w:pPr>
    </w:p>
    <w:p>
      <w:pPr>
        <w:ind w:left="660" w:right="580" w:hanging="6"/>
        <w:spacing w:after="0" w:line="278" w:lineRule="auto"/>
        <w:tabs>
          <w:tab w:leader="none" w:pos="984" w:val="left"/>
        </w:tabs>
        <w:numPr>
          <w:ilvl w:val="0"/>
          <w:numId w:val="58"/>
        </w:numPr>
        <w:rPr>
          <w:rFonts w:ascii="Arial" w:cs="Arial" w:eastAsia="Arial" w:hAnsi="Arial"/>
          <w:sz w:val="16"/>
          <w:szCs w:val="16"/>
          <w:color w:val="auto"/>
        </w:rPr>
      </w:pPr>
      <w:r>
        <w:rPr>
          <w:rFonts w:ascii="Arial" w:cs="Arial" w:eastAsia="Arial" w:hAnsi="Arial"/>
          <w:sz w:val="16"/>
          <w:szCs w:val="16"/>
          <w:color w:val="auto"/>
        </w:rPr>
        <w:t>“Exchange Act” means the United States Securities Exchange Act of 1934, as amended, and the rules and regulations promulgated thereunder.</w:t>
      </w:r>
    </w:p>
    <w:p>
      <w:pPr>
        <w:spacing w:after="0" w:line="194" w:lineRule="exact"/>
        <w:rPr>
          <w:rFonts w:ascii="Arial" w:cs="Arial" w:eastAsia="Arial" w:hAnsi="Arial"/>
          <w:sz w:val="16"/>
          <w:szCs w:val="16"/>
          <w:color w:val="auto"/>
        </w:rPr>
      </w:pPr>
    </w:p>
    <w:p>
      <w:pPr>
        <w:ind w:left="660" w:right="80" w:hanging="6"/>
        <w:spacing w:after="0" w:line="268" w:lineRule="auto"/>
        <w:tabs>
          <w:tab w:leader="none" w:pos="948" w:val="left"/>
        </w:tabs>
        <w:numPr>
          <w:ilvl w:val="0"/>
          <w:numId w:val="58"/>
        </w:numPr>
        <w:rPr>
          <w:rFonts w:ascii="Arial" w:cs="Arial" w:eastAsia="Arial" w:hAnsi="Arial"/>
          <w:sz w:val="16"/>
          <w:szCs w:val="16"/>
          <w:color w:val="auto"/>
        </w:rPr>
      </w:pPr>
      <w:r>
        <w:rPr>
          <w:rFonts w:ascii="Arial" w:cs="Arial" w:eastAsia="Arial" w:hAnsi="Arial"/>
          <w:sz w:val="16"/>
          <w:szCs w:val="16"/>
          <w:color w:val="auto"/>
        </w:rPr>
        <w:t>“Exercise Price” means, in the case of an Option, the amount for which one Share may be purchased upon exercise of such Option, as specified in the applicable Option Award Agreement. ”Exercise Price” means, in the case of a SAR, an amount, as specified in the applicable SAR Award Agreement, which is subtracted from the Fair Market Value of one Share in determining the amount payable upon exercise of such SAR.</w:t>
      </w:r>
    </w:p>
    <w:p>
      <w:pPr>
        <w:spacing w:after="0" w:line="217" w:lineRule="exact"/>
        <w:rPr>
          <w:rFonts w:ascii="Arial" w:cs="Arial" w:eastAsia="Arial" w:hAnsi="Arial"/>
          <w:sz w:val="16"/>
          <w:szCs w:val="16"/>
          <w:color w:val="auto"/>
        </w:rPr>
      </w:pPr>
    </w:p>
    <w:p>
      <w:pPr>
        <w:ind w:left="920" w:hanging="266"/>
        <w:spacing w:after="0"/>
        <w:tabs>
          <w:tab w:leader="none" w:pos="9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“Fair Market Value” with respect to a Share, means the market price of one Share, determined by the Committee as follows:</w:t>
      </w:r>
    </w:p>
    <w:p>
      <w:pPr>
        <w:spacing w:after="0" w:line="234" w:lineRule="exact"/>
        <w:rPr>
          <w:rFonts w:ascii="Arial" w:cs="Arial" w:eastAsia="Arial" w:hAnsi="Arial"/>
          <w:sz w:val="16"/>
          <w:szCs w:val="16"/>
          <w:color w:val="auto"/>
        </w:rPr>
      </w:pPr>
    </w:p>
    <w:p>
      <w:pPr>
        <w:ind w:left="1280" w:right="100" w:hanging="356"/>
        <w:spacing w:after="0" w:line="285" w:lineRule="auto"/>
        <w:tabs>
          <w:tab w:leader="none" w:pos="1280" w:val="left"/>
        </w:tabs>
        <w:numPr>
          <w:ilvl w:val="1"/>
          <w:numId w:val="58"/>
        </w:numPr>
        <w:rPr>
          <w:rFonts w:ascii="Arial" w:cs="Arial" w:eastAsia="Arial" w:hAnsi="Arial"/>
          <w:sz w:val="16"/>
          <w:szCs w:val="16"/>
          <w:color w:val="auto"/>
        </w:rPr>
      </w:pPr>
      <w:r>
        <w:rPr>
          <w:rFonts w:ascii="Arial" w:cs="Arial" w:eastAsia="Arial" w:hAnsi="Arial"/>
          <w:sz w:val="16"/>
          <w:szCs w:val="16"/>
          <w:color w:val="auto"/>
        </w:rPr>
        <w:t>If the Stock was traded over-the-counter on the date in question, then the Fair Market Value shall be equal to the last transaction price quoted for such date by the OTC Bulletin Board or, if not so quoted, shall be equal to the mean between the last reported representative bid and asked prices quoted for such date by the principal automated inter-dealer quotation system on which the Stock is quoted or, if the Stock is not quoted on any such system, by the Pink Quote system;</w:t>
      </w:r>
    </w:p>
    <w:p>
      <w:pPr>
        <w:spacing w:after="0" w:line="203" w:lineRule="exact"/>
        <w:rPr>
          <w:rFonts w:ascii="Arial" w:cs="Arial" w:eastAsia="Arial" w:hAnsi="Arial"/>
          <w:sz w:val="16"/>
          <w:szCs w:val="16"/>
          <w:color w:val="auto"/>
        </w:rPr>
      </w:pPr>
    </w:p>
    <w:p>
      <w:pPr>
        <w:ind w:left="1280" w:right="180" w:hanging="356"/>
        <w:spacing w:after="0" w:line="288" w:lineRule="auto"/>
        <w:tabs>
          <w:tab w:leader="none" w:pos="1280" w:val="left"/>
        </w:tabs>
        <w:numPr>
          <w:ilvl w:val="1"/>
          <w:numId w:val="58"/>
        </w:numPr>
        <w:rPr>
          <w:rFonts w:ascii="Arial" w:cs="Arial" w:eastAsia="Arial" w:hAnsi="Arial"/>
          <w:sz w:val="16"/>
          <w:szCs w:val="16"/>
          <w:color w:val="auto"/>
        </w:rPr>
      </w:pPr>
      <w:r>
        <w:rPr>
          <w:rFonts w:ascii="Arial" w:cs="Arial" w:eastAsia="Arial" w:hAnsi="Arial"/>
          <w:sz w:val="16"/>
          <w:szCs w:val="16"/>
          <w:color w:val="auto"/>
        </w:rPr>
        <w:t>If the Stock was traded on any established stock exchange (such as the New York Stock Exchange, The Nasdaq Global Market or The Nasdaq Global Select Market) or national market system on the date in question, then the Fair Market Value shall be equal to the closing price reported for such date by the applicable exchange or system; or</w:t>
      </w:r>
    </w:p>
    <w:p>
      <w:pPr>
        <w:spacing w:after="0" w:line="201" w:lineRule="exact"/>
        <w:rPr>
          <w:rFonts w:ascii="Arial" w:cs="Arial" w:eastAsia="Arial" w:hAnsi="Arial"/>
          <w:sz w:val="16"/>
          <w:szCs w:val="16"/>
          <w:color w:val="auto"/>
        </w:rPr>
      </w:pPr>
    </w:p>
    <w:p>
      <w:pPr>
        <w:ind w:left="1280" w:right="40" w:hanging="356"/>
        <w:spacing w:after="0" w:line="295" w:lineRule="auto"/>
        <w:tabs>
          <w:tab w:leader="none" w:pos="1280" w:val="left"/>
        </w:tabs>
        <w:numPr>
          <w:ilvl w:val="1"/>
          <w:numId w:val="58"/>
        </w:numPr>
        <w:rPr>
          <w:rFonts w:ascii="Arial" w:cs="Arial" w:eastAsia="Arial" w:hAnsi="Arial"/>
          <w:sz w:val="16"/>
          <w:szCs w:val="16"/>
          <w:color w:val="auto"/>
        </w:rPr>
      </w:pPr>
      <w:r>
        <w:rPr>
          <w:rFonts w:ascii="Arial" w:cs="Arial" w:eastAsia="Arial" w:hAnsi="Arial"/>
          <w:sz w:val="16"/>
          <w:szCs w:val="16"/>
          <w:color w:val="auto"/>
        </w:rPr>
        <w:t>If none of the foregoing provisions is applicable, then the Fair Market Value shall be determined by the Committee in good faith on such basis as it deems appropriate.</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all cases, the determination of Fair Market Value by the Committee shall be conclusive and binding on all persons.</w:t>
      </w:r>
    </w:p>
    <w:p>
      <w:pPr>
        <w:spacing w:after="0" w:line="248" w:lineRule="exact"/>
        <w:rPr>
          <w:sz w:val="20"/>
          <w:szCs w:val="20"/>
          <w:color w:val="auto"/>
        </w:rPr>
      </w:pPr>
    </w:p>
    <w:p>
      <w:pPr>
        <w:ind w:left="980" w:hanging="326"/>
        <w:spacing w:after="0"/>
        <w:tabs>
          <w:tab w:leader="none" w:pos="9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“ISO” means an employee incentive stock option described in Section 422 of the Code.</w:t>
      </w:r>
    </w:p>
    <w:p>
      <w:pPr>
        <w:spacing w:after="0" w:line="248" w:lineRule="exact"/>
        <w:rPr>
          <w:rFonts w:ascii="Arial" w:cs="Arial" w:eastAsia="Arial" w:hAnsi="Arial"/>
          <w:sz w:val="16"/>
          <w:szCs w:val="16"/>
          <w:color w:val="auto"/>
        </w:rPr>
      </w:pPr>
    </w:p>
    <w:p>
      <w:pPr>
        <w:ind w:left="1020" w:hanging="366"/>
        <w:spacing w:after="0"/>
        <w:tabs>
          <w:tab w:leader="none" w:pos="10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“Nonstatutory Option” or “NSO” means an employee stock option that is not an ISO or a Stock Purchase Right.</w:t>
      </w:r>
    </w:p>
    <w:p>
      <w:pPr>
        <w:spacing w:after="0" w:line="248" w:lineRule="exact"/>
        <w:rPr>
          <w:rFonts w:ascii="Arial" w:cs="Arial" w:eastAsia="Arial" w:hAnsi="Arial"/>
          <w:sz w:val="16"/>
          <w:szCs w:val="16"/>
          <w:color w:val="auto"/>
        </w:rPr>
      </w:pPr>
    </w:p>
    <w:p>
      <w:pPr>
        <w:ind w:left="980" w:hanging="326"/>
        <w:spacing w:after="0"/>
        <w:tabs>
          <w:tab w:leader="none" w:pos="9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“Option” means an ISO or NSO granted under the Plan and entitling the holder to purchase Shares.</w:t>
      </w:r>
    </w:p>
    <w:p>
      <w:pPr>
        <w:spacing w:after="0" w:line="234" w:lineRule="exact"/>
        <w:rPr>
          <w:rFonts w:ascii="Arial" w:cs="Arial" w:eastAsia="Arial" w:hAnsi="Arial"/>
          <w:sz w:val="16"/>
          <w:szCs w:val="16"/>
          <w:color w:val="auto"/>
        </w:rPr>
      </w:pPr>
    </w:p>
    <w:p>
      <w:pPr>
        <w:ind w:left="660" w:right="120" w:hanging="6"/>
        <w:spacing w:after="0" w:line="278" w:lineRule="auto"/>
        <w:tabs>
          <w:tab w:leader="none" w:pos="984"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“Outside Director” means a member of the Board who is not a common-law employee of, or paid consultant to, the Company, a Parent or a Subsidiary.</w:t>
      </w:r>
    </w:p>
    <w:p>
      <w:pPr>
        <w:spacing w:after="0" w:line="194" w:lineRule="exact"/>
        <w:rPr>
          <w:rFonts w:ascii="Arial" w:cs="Arial" w:eastAsia="Arial" w:hAnsi="Arial"/>
          <w:sz w:val="16"/>
          <w:szCs w:val="16"/>
          <w:color w:val="auto"/>
        </w:rPr>
      </w:pPr>
    </w:p>
    <w:p>
      <w:pPr>
        <w:ind w:left="660" w:right="120" w:hanging="6"/>
        <w:spacing w:after="0" w:line="268" w:lineRule="auto"/>
        <w:tabs>
          <w:tab w:leader="none" w:pos="984" w:val="left"/>
        </w:tabs>
        <w:numPr>
          <w:ilvl w:val="0"/>
          <w:numId w:val="59"/>
        </w:numPr>
        <w:rPr>
          <w:rFonts w:ascii="Arial" w:cs="Arial" w:eastAsia="Arial" w:hAnsi="Arial"/>
          <w:sz w:val="16"/>
          <w:szCs w:val="16"/>
          <w:color w:val="auto"/>
        </w:rPr>
      </w:pPr>
      <w:r>
        <w:rPr>
          <w:rFonts w:ascii="Arial" w:cs="Arial" w:eastAsia="Arial" w:hAnsi="Arial"/>
          <w:sz w:val="16"/>
          <w:szCs w:val="16"/>
          <w:color w:val="auto"/>
        </w:rPr>
        <w:t>“Parent” means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a Parent commencing as of such date.</w:t>
      </w:r>
    </w:p>
    <w:p>
      <w:pPr>
        <w:spacing w:after="0" w:line="218"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6"/>
          <w:szCs w:val="16"/>
          <w:color w:val="auto"/>
        </w:rPr>
        <w:t>(aa)</w:t>
        <w:tab/>
        <w:t>“Participant” means a person who holds an Award.</w:t>
      </w:r>
    </w:p>
    <w:p>
      <w:pPr>
        <w:sectPr>
          <w:pgSz w:w="11900" w:h="16838" w:orient="portrait"/>
          <w:cols w:equalWidth="0" w:num="1">
            <w:col w:w="10040"/>
          </w:cols>
          <w:pgMar w:left="580" w:top="131" w:right="1279" w:bottom="1440" w:gutter="0" w:footer="0" w:header="0"/>
        </w:sectPr>
      </w:pPr>
    </w:p>
    <w:p>
      <w:pPr>
        <w:spacing w:after="0" w:line="400" w:lineRule="exact"/>
        <w:rPr>
          <w:sz w:val="20"/>
          <w:szCs w:val="20"/>
          <w:color w:val="auto"/>
        </w:rPr>
      </w:pPr>
    </w:p>
    <w:p>
      <w:pPr>
        <w:ind w:left="660"/>
        <w:spacing w:after="0"/>
        <w:tabs>
          <w:tab w:leader="none" w:pos="9820" w:val="left"/>
        </w:tabs>
        <w:rPr>
          <w:sz w:val="20"/>
          <w:szCs w:val="20"/>
          <w:color w:val="auto"/>
        </w:rPr>
      </w:pPr>
      <w:r>
        <w:rPr>
          <w:rFonts w:ascii="Arial" w:cs="Arial" w:eastAsia="Arial" w:hAnsi="Arial"/>
          <w:sz w:val="13"/>
          <w:szCs w:val="13"/>
          <w:color w:val="auto"/>
        </w:rPr>
        <w:t>2022 Proxy Statement</w:t>
      </w:r>
      <w:r>
        <w:rPr>
          <w:sz w:val="20"/>
          <w:szCs w:val="20"/>
          <w:color w:val="auto"/>
        </w:rPr>
        <w:tab/>
      </w:r>
      <w:r>
        <w:rPr>
          <w:rFonts w:ascii="Arial" w:cs="Arial" w:eastAsia="Arial" w:hAnsi="Arial"/>
          <w:sz w:val="12"/>
          <w:szCs w:val="12"/>
          <w:b w:val="1"/>
          <w:bCs w:val="1"/>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1" w:right="1279" w:bottom="1440" w:gutter="0" w:footer="0" w:header="0"/>
          <w:type w:val="continuous"/>
        </w:sectPr>
      </w:pPr>
    </w:p>
    <w:bookmarkStart w:id="89" w:name="page90"/>
    <w:bookmarkEnd w:id="89"/>
    <w:p>
      <w:pPr>
        <w:spacing w:after="0"/>
        <w:rPr>
          <w:rFonts w:ascii="Arial" w:cs="Arial" w:eastAsia="Arial" w:hAnsi="Arial"/>
          <w:sz w:val="14"/>
          <w:szCs w:val="14"/>
          <w:color w:val="003366"/>
        </w:rPr>
      </w:pPr>
      <w:hyperlink w:anchor="page8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080" w:hanging="426"/>
        <w:spacing w:after="0"/>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“Plan” means this Amended and Restated 2021 Stock Incentive Plan of Lucid Group, Inc., as amended from time to time.</w:t>
      </w:r>
    </w:p>
    <w:p>
      <w:pPr>
        <w:spacing w:after="0" w:line="234" w:lineRule="exact"/>
        <w:rPr>
          <w:rFonts w:ascii="Arial" w:cs="Arial" w:eastAsia="Arial" w:hAnsi="Arial"/>
          <w:sz w:val="16"/>
          <w:szCs w:val="16"/>
          <w:color w:val="auto"/>
        </w:rPr>
      </w:pPr>
    </w:p>
    <w:p>
      <w:pPr>
        <w:ind w:left="660" w:right="120" w:hanging="6"/>
        <w:spacing w:after="0" w:line="278" w:lineRule="auto"/>
        <w:tabs>
          <w:tab w:leader="none" w:pos="1065" w:val="left"/>
        </w:tabs>
        <w:numPr>
          <w:ilvl w:val="0"/>
          <w:numId w:val="60"/>
        </w:numPr>
        <w:rPr>
          <w:rFonts w:ascii="Arial" w:cs="Arial" w:eastAsia="Arial" w:hAnsi="Arial"/>
          <w:sz w:val="16"/>
          <w:szCs w:val="16"/>
          <w:color w:val="auto"/>
        </w:rPr>
      </w:pPr>
      <w:r>
        <w:rPr>
          <w:rFonts w:ascii="Arial" w:cs="Arial" w:eastAsia="Arial" w:hAnsi="Arial"/>
          <w:sz w:val="16"/>
          <w:szCs w:val="16"/>
          <w:color w:val="auto"/>
        </w:rPr>
        <w:t>“Purchase Price”means the consideration for which one Share may be acquired under the Plan (other than upon (i) exercise of an Option or (ii) exercise of any Stock Purchase Right under the ESPP Addendum), as specified by the Committee.</w:t>
      </w:r>
    </w:p>
    <w:p>
      <w:pPr>
        <w:spacing w:after="0" w:line="208" w:lineRule="exact"/>
        <w:rPr>
          <w:rFonts w:ascii="Arial" w:cs="Arial" w:eastAsia="Arial" w:hAnsi="Arial"/>
          <w:sz w:val="16"/>
          <w:szCs w:val="16"/>
          <w:color w:val="auto"/>
        </w:rPr>
      </w:pPr>
    </w:p>
    <w:p>
      <w:pPr>
        <w:ind w:left="1080" w:hanging="426"/>
        <w:spacing w:after="0"/>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“Restatement Date” means the date of the Company’s 2022 Annual Meeting of Stockholders.</w:t>
      </w:r>
    </w:p>
    <w:p>
      <w:pPr>
        <w:spacing w:after="0" w:line="248" w:lineRule="exact"/>
        <w:rPr>
          <w:rFonts w:ascii="Arial" w:cs="Arial" w:eastAsia="Arial" w:hAnsi="Arial"/>
          <w:sz w:val="16"/>
          <w:szCs w:val="16"/>
          <w:color w:val="auto"/>
        </w:rPr>
      </w:pPr>
    </w:p>
    <w:p>
      <w:pPr>
        <w:ind w:left="1080" w:hanging="426"/>
        <w:spacing w:after="0"/>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“Restricted Share” means a Share awarded under the Plan.</w:t>
      </w:r>
    </w:p>
    <w:p>
      <w:pPr>
        <w:spacing w:after="0" w:line="234" w:lineRule="exact"/>
        <w:rPr>
          <w:rFonts w:ascii="Arial" w:cs="Arial" w:eastAsia="Arial" w:hAnsi="Arial"/>
          <w:sz w:val="16"/>
          <w:szCs w:val="16"/>
          <w:color w:val="auto"/>
        </w:rPr>
      </w:pPr>
    </w:p>
    <w:p>
      <w:pPr>
        <w:ind w:left="660" w:right="160" w:hanging="6"/>
        <w:spacing w:after="0" w:line="278" w:lineRule="auto"/>
        <w:tabs>
          <w:tab w:leader="none" w:pos="990" w:val="left"/>
        </w:tabs>
        <w:numPr>
          <w:ilvl w:val="0"/>
          <w:numId w:val="60"/>
        </w:numPr>
        <w:rPr>
          <w:rFonts w:ascii="Arial" w:cs="Arial" w:eastAsia="Arial" w:hAnsi="Arial"/>
          <w:sz w:val="16"/>
          <w:szCs w:val="16"/>
          <w:color w:val="auto"/>
        </w:rPr>
      </w:pPr>
      <w:r>
        <w:rPr>
          <w:rFonts w:ascii="Arial" w:cs="Arial" w:eastAsia="Arial" w:hAnsi="Arial"/>
          <w:sz w:val="16"/>
          <w:szCs w:val="16"/>
          <w:color w:val="auto"/>
        </w:rPr>
        <w:t>“Restricted Stock Unit” means a bookkeeping entry representing the Company’s obligation to deliver one Share (or distribute cash) on a future date in accordance with the provisions of a Restricted Stock Unit Award Agreement.</w:t>
      </w:r>
    </w:p>
    <w:p>
      <w:pPr>
        <w:spacing w:after="0" w:line="208" w:lineRule="exact"/>
        <w:rPr>
          <w:rFonts w:ascii="Arial" w:cs="Arial" w:eastAsia="Arial" w:hAnsi="Arial"/>
          <w:sz w:val="16"/>
          <w:szCs w:val="16"/>
          <w:color w:val="auto"/>
        </w:rPr>
      </w:pPr>
    </w:p>
    <w:p>
      <w:pPr>
        <w:ind w:left="1080" w:hanging="426"/>
        <w:spacing w:after="0"/>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“SAR” means a stock appreciation right granted under the Plan.</w:t>
      </w:r>
    </w:p>
    <w:p>
      <w:pPr>
        <w:spacing w:after="0" w:line="248" w:lineRule="exact"/>
        <w:rPr>
          <w:rFonts w:ascii="Arial" w:cs="Arial" w:eastAsia="Arial" w:hAnsi="Arial"/>
          <w:sz w:val="16"/>
          <w:szCs w:val="16"/>
          <w:color w:val="auto"/>
        </w:rPr>
      </w:pPr>
    </w:p>
    <w:p>
      <w:pPr>
        <w:ind w:left="1080" w:hanging="426"/>
        <w:spacing w:after="0"/>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“Section 409A” means Section 409A of the Code.</w:t>
      </w:r>
    </w:p>
    <w:p>
      <w:pPr>
        <w:spacing w:after="0" w:line="234" w:lineRule="exact"/>
        <w:rPr>
          <w:rFonts w:ascii="Arial" w:cs="Arial" w:eastAsia="Arial" w:hAnsi="Arial"/>
          <w:sz w:val="16"/>
          <w:szCs w:val="16"/>
          <w:color w:val="auto"/>
        </w:rPr>
      </w:pPr>
    </w:p>
    <w:p>
      <w:pPr>
        <w:ind w:left="660" w:right="740" w:hanging="6"/>
        <w:spacing w:after="0" w:line="278" w:lineRule="auto"/>
        <w:tabs>
          <w:tab w:leader="none" w:pos="975" w:val="left"/>
        </w:tabs>
        <w:numPr>
          <w:ilvl w:val="0"/>
          <w:numId w:val="60"/>
        </w:numPr>
        <w:rPr>
          <w:rFonts w:ascii="Arial" w:cs="Arial" w:eastAsia="Arial" w:hAnsi="Arial"/>
          <w:sz w:val="16"/>
          <w:szCs w:val="16"/>
          <w:color w:val="auto"/>
        </w:rPr>
      </w:pPr>
      <w:r>
        <w:rPr>
          <w:rFonts w:ascii="Arial" w:cs="Arial" w:eastAsia="Arial" w:hAnsi="Arial"/>
          <w:sz w:val="16"/>
          <w:szCs w:val="16"/>
          <w:color w:val="auto"/>
        </w:rPr>
        <w:t>“Securities Act” means the United States Securities Act of 1933, as amended, the rules and regulations promulgated thereunder.</w:t>
      </w:r>
    </w:p>
    <w:p>
      <w:pPr>
        <w:spacing w:after="0" w:line="194" w:lineRule="exact"/>
        <w:rPr>
          <w:rFonts w:ascii="Arial" w:cs="Arial" w:eastAsia="Arial" w:hAnsi="Arial"/>
          <w:sz w:val="16"/>
          <w:szCs w:val="16"/>
          <w:color w:val="auto"/>
        </w:rPr>
      </w:pPr>
    </w:p>
    <w:p>
      <w:pPr>
        <w:ind w:left="660" w:hanging="6"/>
        <w:spacing w:after="0" w:line="266" w:lineRule="auto"/>
        <w:tabs>
          <w:tab w:leader="none" w:pos="975" w:val="left"/>
        </w:tabs>
        <w:numPr>
          <w:ilvl w:val="0"/>
          <w:numId w:val="60"/>
        </w:numPr>
        <w:rPr>
          <w:rFonts w:ascii="Arial" w:cs="Arial" w:eastAsia="Arial" w:hAnsi="Arial"/>
          <w:sz w:val="16"/>
          <w:szCs w:val="16"/>
          <w:color w:val="auto"/>
        </w:rPr>
      </w:pPr>
      <w:r>
        <w:rPr>
          <w:rFonts w:ascii="Arial" w:cs="Arial" w:eastAsia="Arial" w:hAnsi="Arial"/>
          <w:sz w:val="16"/>
          <w:szCs w:val="16"/>
          <w:color w:val="auto"/>
        </w:rPr>
        <w:t>“Service” means service as an Employee, Consultant or Outside Director, subject to such further limitations as may be set forth in the Plan or the applicable Award Agreement. Service does not terminate when an Employee goes on a bona fide leave of absence, that was approved by the Company in writing, if the terms of the leave provide for continued Service crediting, or when continued Service crediting is required by applicable law. However, for purposes of determining whether an Option is entitled to ISO status, an Employee’s employment will be treated as terminating three months after such Employee went on leave, unless such Employee’s right to return to active work is guaranteed by law or by a contract. Service terminates in any event when the approved leave ends, unless such Employee immediately returns to active work. The Company determines which leaves of absence count toward Service, and when Service terminates for all purposes under the Plan.</w:t>
      </w:r>
    </w:p>
    <w:p>
      <w:pPr>
        <w:spacing w:after="0" w:line="218" w:lineRule="exact"/>
        <w:rPr>
          <w:rFonts w:ascii="Arial" w:cs="Arial" w:eastAsia="Arial" w:hAnsi="Arial"/>
          <w:sz w:val="16"/>
          <w:szCs w:val="16"/>
          <w:color w:val="auto"/>
        </w:rPr>
      </w:pPr>
    </w:p>
    <w:p>
      <w:pPr>
        <w:ind w:left="1060" w:hanging="406"/>
        <w:spacing w:after="0"/>
        <w:tabs>
          <w:tab w:leader="none" w:pos="10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“Share” means one Share of Stock, as adjusted in accordance with Section 13 (if applicable).</w:t>
      </w:r>
    </w:p>
    <w:p>
      <w:pPr>
        <w:spacing w:after="0" w:line="248" w:lineRule="exact"/>
        <w:rPr>
          <w:rFonts w:ascii="Arial" w:cs="Arial" w:eastAsia="Arial" w:hAnsi="Arial"/>
          <w:sz w:val="16"/>
          <w:szCs w:val="16"/>
          <w:color w:val="auto"/>
        </w:rPr>
      </w:pPr>
    </w:p>
    <w:p>
      <w:pPr>
        <w:ind w:left="960" w:hanging="306"/>
        <w:spacing w:after="0"/>
        <w:tabs>
          <w:tab w:leader="none" w:pos="9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“Stock” means the Common Stock of the Company.</w:t>
      </w:r>
    </w:p>
    <w:p>
      <w:pPr>
        <w:spacing w:after="0" w:line="248" w:lineRule="exact"/>
        <w:rPr>
          <w:rFonts w:ascii="Arial" w:cs="Arial" w:eastAsia="Arial" w:hAnsi="Arial"/>
          <w:sz w:val="16"/>
          <w:szCs w:val="16"/>
          <w:color w:val="auto"/>
        </w:rPr>
      </w:pPr>
    </w:p>
    <w:p>
      <w:pPr>
        <w:ind w:left="1160" w:hanging="506"/>
        <w:spacing w:after="0"/>
        <w:tabs>
          <w:tab w:leader="none" w:pos="11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“Stock Purchase Right” means an option to purchase Shares granted pursuant to the ESPP Addendum.</w:t>
      </w:r>
    </w:p>
    <w:p>
      <w:pPr>
        <w:spacing w:after="0" w:line="234" w:lineRule="exact"/>
        <w:rPr>
          <w:rFonts w:ascii="Arial" w:cs="Arial" w:eastAsia="Arial" w:hAnsi="Arial"/>
          <w:sz w:val="16"/>
          <w:szCs w:val="16"/>
          <w:color w:val="auto"/>
        </w:rPr>
      </w:pPr>
    </w:p>
    <w:p>
      <w:pPr>
        <w:ind w:left="660" w:right="180" w:hanging="6"/>
        <w:spacing w:after="0" w:line="268" w:lineRule="auto"/>
        <w:tabs>
          <w:tab w:leader="none" w:pos="1083" w:val="left"/>
        </w:tabs>
        <w:numPr>
          <w:ilvl w:val="0"/>
          <w:numId w:val="60"/>
        </w:numPr>
        <w:rPr>
          <w:rFonts w:ascii="Arial" w:cs="Arial" w:eastAsia="Arial" w:hAnsi="Arial"/>
          <w:sz w:val="16"/>
          <w:szCs w:val="16"/>
          <w:color w:val="auto"/>
        </w:rPr>
      </w:pPr>
      <w:r>
        <w:rPr>
          <w:rFonts w:ascii="Arial" w:cs="Arial" w:eastAsia="Arial" w:hAnsi="Arial"/>
          <w:sz w:val="16"/>
          <w:szCs w:val="16"/>
          <w:color w:val="auto"/>
        </w:rPr>
        <w:t>“Subsidiary” means any corporation, if the Company owns and/or one or more other Subsidiaries own not less than 50% of the total combined voting power of all classes of outstanding stock of such corporation. A corporation that attains the status of a Subsidiary on a date after the adoption of the Plan shall be considered a Subsidiary commencing as of such date. The determination of whether an entity is a “Subsidiary” shall be made in accordance with Section 424(f) of the code.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3.  ADMINISTRATION.</w:t>
      </w:r>
    </w:p>
    <w:p>
      <w:pPr>
        <w:spacing w:after="0" w:line="176" w:lineRule="exact"/>
        <w:rPr>
          <w:sz w:val="20"/>
          <w:szCs w:val="20"/>
          <w:color w:val="auto"/>
        </w:rPr>
      </w:pPr>
    </w:p>
    <w:p>
      <w:pPr>
        <w:ind w:left="660" w:right="20" w:hanging="6"/>
        <w:spacing w:after="0" w:line="272" w:lineRule="auto"/>
        <w:tabs>
          <w:tab w:leader="none" w:pos="993"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Committee Composition</w:t>
      </w:r>
      <w:r>
        <w:rPr>
          <w:rFonts w:ascii="Arial" w:cs="Arial" w:eastAsia="Arial" w:hAnsi="Arial"/>
          <w:sz w:val="16"/>
          <w:szCs w:val="16"/>
          <w:color w:val="auto"/>
        </w:rPr>
        <w:t>. The Plan shall be administered by a Committee appointed by the Board, or by the Board acting as</w:t>
      </w:r>
      <w:r>
        <w:rPr>
          <w:rFonts w:ascii="Arial" w:cs="Arial" w:eastAsia="Arial" w:hAnsi="Arial"/>
          <w:sz w:val="16"/>
          <w:szCs w:val="16"/>
          <w:i w:val="1"/>
          <w:iCs w:val="1"/>
          <w:color w:val="auto"/>
        </w:rPr>
        <w:t xml:space="preserve"> </w:t>
      </w:r>
      <w:r>
        <w:rPr>
          <w:rFonts w:ascii="Arial" w:cs="Arial" w:eastAsia="Arial" w:hAnsi="Arial"/>
          <w:sz w:val="16"/>
          <w:szCs w:val="16"/>
          <w:color w:val="auto"/>
        </w:rPr>
        <w:t>the Committee. The Committee shall consist of two or more directors of the Company. In addition, to the extent required by the Board, the composition of the Committee shall satisfy such requirements of the New York Stock Exchange (“</w:t>
      </w:r>
      <w:r>
        <w:rPr>
          <w:rFonts w:ascii="Arial" w:cs="Arial" w:eastAsia="Arial" w:hAnsi="Arial"/>
          <w:sz w:val="16"/>
          <w:szCs w:val="16"/>
          <w:b w:val="1"/>
          <w:bCs w:val="1"/>
          <w:color w:val="auto"/>
        </w:rPr>
        <w:t>NYSE</w:t>
      </w:r>
      <w:r>
        <w:rPr>
          <w:rFonts w:ascii="Arial" w:cs="Arial" w:eastAsia="Arial" w:hAnsi="Arial"/>
          <w:sz w:val="16"/>
          <w:szCs w:val="16"/>
          <w:color w:val="auto"/>
        </w:rPr>
        <w:t>”) or the Nasdaq Stock Market (“</w:t>
      </w:r>
      <w:r>
        <w:rPr>
          <w:rFonts w:ascii="Arial" w:cs="Arial" w:eastAsia="Arial" w:hAnsi="Arial"/>
          <w:sz w:val="16"/>
          <w:szCs w:val="16"/>
          <w:b w:val="1"/>
          <w:bCs w:val="1"/>
          <w:color w:val="auto"/>
        </w:rPr>
        <w:t>Nasdaq</w:t>
      </w:r>
      <w:r>
        <w:rPr>
          <w:rFonts w:ascii="Arial" w:cs="Arial" w:eastAsia="Arial" w:hAnsi="Arial"/>
          <w:sz w:val="16"/>
          <w:szCs w:val="16"/>
          <w:color w:val="auto"/>
        </w:rPr>
        <w:t>”), as applicable, and as the Securities and Exchange Commission may establish for administrators acting under plans intended to qualify for exemption under Rule 16b-3 (or its successor) under the Exchange Act.</w:t>
      </w:r>
    </w:p>
    <w:p>
      <w:pPr>
        <w:spacing w:after="0" w:line="185" w:lineRule="exact"/>
        <w:rPr>
          <w:rFonts w:ascii="Arial" w:cs="Arial" w:eastAsia="Arial" w:hAnsi="Arial"/>
          <w:sz w:val="16"/>
          <w:szCs w:val="16"/>
          <w:color w:val="auto"/>
        </w:rPr>
      </w:pPr>
    </w:p>
    <w:p>
      <w:pPr>
        <w:ind w:left="660" w:right="60" w:hanging="6"/>
        <w:spacing w:after="0" w:line="268" w:lineRule="auto"/>
        <w:tabs>
          <w:tab w:leader="none" w:pos="993"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Committee Appointment</w:t>
      </w:r>
      <w:r>
        <w:rPr>
          <w:rFonts w:ascii="Arial" w:cs="Arial" w:eastAsia="Arial" w:hAnsi="Arial"/>
          <w:sz w:val="16"/>
          <w:szCs w:val="16"/>
          <w:color w:val="auto"/>
        </w:rPr>
        <w:t>. The Board may also appoint one or more separate committees of the Board, each composed of</w:t>
      </w:r>
      <w:r>
        <w:rPr>
          <w:rFonts w:ascii="Arial" w:cs="Arial" w:eastAsia="Arial" w:hAnsi="Arial"/>
          <w:sz w:val="16"/>
          <w:szCs w:val="16"/>
          <w:i w:val="1"/>
          <w:iCs w:val="1"/>
          <w:color w:val="auto"/>
        </w:rPr>
        <w:t xml:space="preserve"> </w:t>
      </w:r>
      <w:r>
        <w:rPr>
          <w:rFonts w:ascii="Arial" w:cs="Arial" w:eastAsia="Arial" w:hAnsi="Arial"/>
          <w:sz w:val="16"/>
          <w:szCs w:val="16"/>
          <w:color w:val="auto"/>
        </w:rPr>
        <w:t>one or more directors of the Company who need not satisfy the requirements of Section 3(a), who may administer the Plan, grant Awards under the Plan and determine all terms of such grants, in each case with respect to all Employees, Consultants and Outside Directors (except such as may be on such committee), provided that such committee or committees may perform these functions only with respect to Employees who are not considered officers or directors of the Company under Section 16 of the Exchange Act. Within the limitations of the preceding sentence, any reference in the Plan to the Committee shall include such committee or committees appointed pursuant to the preceding sentence. To the extent permitted by applicable laws, the Board or Committee may also authorize one or more officers of the Company to designate Employees, other than officers under Section 16 of the Exchange Act, to receive Awards and/or to determine the number of such Awards to be received by such persons; provided, however, that the Board or Committee shall specify the total number of Awards that such officers may so award.</w:t>
      </w:r>
    </w:p>
    <w:p>
      <w:pPr>
        <w:spacing w:after="0" w:line="381"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3"/>
          <w:szCs w:val="13"/>
          <w:b w:val="1"/>
          <w:bCs w:val="1"/>
          <w:color w:val="auto"/>
        </w:rPr>
        <w:t>A-4</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1" w:right="1279" w:bottom="1440" w:gutter="0" w:footer="0" w:header="0"/>
        </w:sectPr>
      </w:pPr>
    </w:p>
    <w:bookmarkStart w:id="90" w:name="page91"/>
    <w:bookmarkEnd w:id="90"/>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right="280" w:hanging="6"/>
        <w:spacing w:after="0" w:line="298" w:lineRule="auto"/>
        <w:tabs>
          <w:tab w:leader="none" w:pos="984"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Committee Responsibilities</w:t>
      </w:r>
      <w:r>
        <w:rPr>
          <w:rFonts w:ascii="Arial" w:cs="Arial" w:eastAsia="Arial" w:hAnsi="Arial"/>
          <w:sz w:val="16"/>
          <w:szCs w:val="16"/>
          <w:color w:val="auto"/>
        </w:rPr>
        <w:t>. Subject to the provisions of the Plan, the Committee shall have full authority and discretion to</w:t>
      </w:r>
      <w:r>
        <w:rPr>
          <w:rFonts w:ascii="Arial" w:cs="Arial" w:eastAsia="Arial" w:hAnsi="Arial"/>
          <w:sz w:val="16"/>
          <w:szCs w:val="16"/>
          <w:i w:val="1"/>
          <w:iCs w:val="1"/>
          <w:color w:val="auto"/>
        </w:rPr>
        <w:t xml:space="preserve"> </w:t>
      </w:r>
      <w:r>
        <w:rPr>
          <w:rFonts w:ascii="Arial" w:cs="Arial" w:eastAsia="Arial" w:hAnsi="Arial"/>
          <w:sz w:val="16"/>
          <w:szCs w:val="16"/>
          <w:color w:val="auto"/>
        </w:rPr>
        <w:t>take the following actions:</w:t>
      </w:r>
    </w:p>
    <w:p>
      <w:pPr>
        <w:spacing w:after="0" w:line="180" w:lineRule="exact"/>
        <w:rPr>
          <w:rFonts w:ascii="Arial" w:cs="Arial" w:eastAsia="Arial" w:hAnsi="Arial"/>
          <w:sz w:val="16"/>
          <w:szCs w:val="16"/>
          <w:color w:val="auto"/>
        </w:rPr>
      </w:pPr>
    </w:p>
    <w:p>
      <w:pPr>
        <w:ind w:left="1460" w:hanging="446"/>
        <w:spacing w:after="0"/>
        <w:tabs>
          <w:tab w:leader="none" w:pos="1460" w:val="left"/>
        </w:tabs>
        <w:numPr>
          <w:ilvl w:val="1"/>
          <w:numId w:val="62"/>
        </w:numPr>
        <w:rPr>
          <w:rFonts w:ascii="Arial" w:cs="Arial" w:eastAsia="Arial" w:hAnsi="Arial"/>
          <w:sz w:val="16"/>
          <w:szCs w:val="16"/>
          <w:color w:val="auto"/>
        </w:rPr>
      </w:pPr>
      <w:r>
        <w:rPr>
          <w:rFonts w:ascii="Arial" w:cs="Arial" w:eastAsia="Arial" w:hAnsi="Arial"/>
          <w:sz w:val="16"/>
          <w:szCs w:val="16"/>
          <w:color w:val="auto"/>
        </w:rPr>
        <w:t>To interpret the Plan and to apply its provisions;</w:t>
      </w:r>
    </w:p>
    <w:p>
      <w:pPr>
        <w:spacing w:after="0" w:line="234" w:lineRule="exact"/>
        <w:rPr>
          <w:rFonts w:ascii="Arial" w:cs="Arial" w:eastAsia="Arial" w:hAnsi="Arial"/>
          <w:sz w:val="16"/>
          <w:szCs w:val="16"/>
          <w:color w:val="auto"/>
        </w:rPr>
      </w:pPr>
    </w:p>
    <w:p>
      <w:pPr>
        <w:ind w:left="1460" w:hanging="446"/>
        <w:spacing w:after="0"/>
        <w:tabs>
          <w:tab w:leader="none" w:pos="1460" w:val="left"/>
        </w:tabs>
        <w:numPr>
          <w:ilvl w:val="1"/>
          <w:numId w:val="62"/>
        </w:numPr>
        <w:rPr>
          <w:rFonts w:ascii="Arial" w:cs="Arial" w:eastAsia="Arial" w:hAnsi="Arial"/>
          <w:sz w:val="16"/>
          <w:szCs w:val="16"/>
          <w:color w:val="auto"/>
        </w:rPr>
      </w:pPr>
      <w:r>
        <w:rPr>
          <w:rFonts w:ascii="Arial" w:cs="Arial" w:eastAsia="Arial" w:hAnsi="Arial"/>
          <w:sz w:val="16"/>
          <w:szCs w:val="16"/>
          <w:color w:val="auto"/>
        </w:rPr>
        <w:t>To adopt, amend, or rescind rules, procedures, and forms relating to the Plan;</w:t>
      </w:r>
    </w:p>
    <w:p>
      <w:pPr>
        <w:spacing w:after="0" w:line="234" w:lineRule="exact"/>
        <w:rPr>
          <w:rFonts w:ascii="Arial" w:cs="Arial" w:eastAsia="Arial" w:hAnsi="Arial"/>
          <w:sz w:val="16"/>
          <w:szCs w:val="16"/>
          <w:color w:val="auto"/>
        </w:rPr>
      </w:pPr>
    </w:p>
    <w:p>
      <w:pPr>
        <w:ind w:left="1460" w:right="40" w:hanging="446"/>
        <w:spacing w:after="0" w:line="295" w:lineRule="auto"/>
        <w:tabs>
          <w:tab w:leader="none" w:pos="1460" w:val="left"/>
        </w:tabs>
        <w:numPr>
          <w:ilvl w:val="1"/>
          <w:numId w:val="62"/>
        </w:numPr>
        <w:rPr>
          <w:rFonts w:ascii="Arial" w:cs="Arial" w:eastAsia="Arial" w:hAnsi="Arial"/>
          <w:sz w:val="16"/>
          <w:szCs w:val="16"/>
          <w:color w:val="auto"/>
        </w:rPr>
      </w:pPr>
      <w:r>
        <w:rPr>
          <w:rFonts w:ascii="Arial" w:cs="Arial" w:eastAsia="Arial" w:hAnsi="Arial"/>
          <w:sz w:val="16"/>
          <w:szCs w:val="16"/>
          <w:color w:val="auto"/>
        </w:rPr>
        <w:t>To adopt, amend, or terminate (A) the ESPP Addendum and (B) any sub-plans established for the purpose of satisfying applicable foreign laws including qualifying for preferred tax treatment under applicable foreign tax laws;</w:t>
      </w:r>
    </w:p>
    <w:p>
      <w:pPr>
        <w:spacing w:after="0" w:line="182" w:lineRule="exact"/>
        <w:rPr>
          <w:rFonts w:ascii="Arial" w:cs="Arial" w:eastAsia="Arial" w:hAnsi="Arial"/>
          <w:sz w:val="16"/>
          <w:szCs w:val="16"/>
          <w:color w:val="auto"/>
        </w:rPr>
      </w:pPr>
    </w:p>
    <w:p>
      <w:pPr>
        <w:ind w:left="1460" w:right="40" w:hanging="446"/>
        <w:spacing w:after="0" w:line="295" w:lineRule="auto"/>
        <w:tabs>
          <w:tab w:leader="none" w:pos="1460" w:val="left"/>
        </w:tabs>
        <w:numPr>
          <w:ilvl w:val="1"/>
          <w:numId w:val="62"/>
        </w:numPr>
        <w:rPr>
          <w:rFonts w:ascii="Arial" w:cs="Arial" w:eastAsia="Arial" w:hAnsi="Arial"/>
          <w:sz w:val="16"/>
          <w:szCs w:val="16"/>
          <w:color w:val="auto"/>
        </w:rPr>
      </w:pPr>
      <w:r>
        <w:rPr>
          <w:rFonts w:ascii="Arial" w:cs="Arial" w:eastAsia="Arial" w:hAnsi="Arial"/>
          <w:sz w:val="16"/>
          <w:szCs w:val="16"/>
          <w:color w:val="auto"/>
        </w:rPr>
        <w:t>To authorize any person to execute, on behalf of the Company, any instrument required to carry out the purposes of the Plan;</w:t>
      </w:r>
    </w:p>
    <w:p>
      <w:pPr>
        <w:spacing w:after="0" w:line="182" w:lineRule="exact"/>
        <w:rPr>
          <w:rFonts w:ascii="Arial" w:cs="Arial" w:eastAsia="Arial" w:hAnsi="Arial"/>
          <w:sz w:val="16"/>
          <w:szCs w:val="16"/>
          <w:color w:val="auto"/>
        </w:rPr>
      </w:pPr>
    </w:p>
    <w:p>
      <w:pPr>
        <w:ind w:left="1460" w:hanging="446"/>
        <w:spacing w:after="0"/>
        <w:tabs>
          <w:tab w:leader="none" w:pos="1460" w:val="left"/>
        </w:tabs>
        <w:numPr>
          <w:ilvl w:val="1"/>
          <w:numId w:val="62"/>
        </w:numPr>
        <w:rPr>
          <w:rFonts w:ascii="Arial" w:cs="Arial" w:eastAsia="Arial" w:hAnsi="Arial"/>
          <w:sz w:val="16"/>
          <w:szCs w:val="16"/>
          <w:color w:val="auto"/>
        </w:rPr>
      </w:pPr>
      <w:r>
        <w:rPr>
          <w:rFonts w:ascii="Arial" w:cs="Arial" w:eastAsia="Arial" w:hAnsi="Arial"/>
          <w:sz w:val="16"/>
          <w:szCs w:val="16"/>
          <w:color w:val="auto"/>
        </w:rPr>
        <w:t>To determine when Awards are to be granted under the Plan;</w:t>
      </w:r>
    </w:p>
    <w:p>
      <w:pPr>
        <w:spacing w:after="0" w:line="234" w:lineRule="exact"/>
        <w:rPr>
          <w:rFonts w:ascii="Arial" w:cs="Arial" w:eastAsia="Arial" w:hAnsi="Arial"/>
          <w:sz w:val="16"/>
          <w:szCs w:val="16"/>
          <w:color w:val="auto"/>
        </w:rPr>
      </w:pPr>
    </w:p>
    <w:p>
      <w:pPr>
        <w:ind w:left="1460" w:hanging="446"/>
        <w:spacing w:after="0"/>
        <w:tabs>
          <w:tab w:leader="none" w:pos="1460" w:val="left"/>
        </w:tabs>
        <w:numPr>
          <w:ilvl w:val="1"/>
          <w:numId w:val="62"/>
        </w:numPr>
        <w:rPr>
          <w:rFonts w:ascii="Arial" w:cs="Arial" w:eastAsia="Arial" w:hAnsi="Arial"/>
          <w:sz w:val="16"/>
          <w:szCs w:val="16"/>
          <w:color w:val="auto"/>
        </w:rPr>
      </w:pPr>
      <w:r>
        <w:rPr>
          <w:rFonts w:ascii="Arial" w:cs="Arial" w:eastAsia="Arial" w:hAnsi="Arial"/>
          <w:sz w:val="16"/>
          <w:szCs w:val="16"/>
          <w:color w:val="auto"/>
        </w:rPr>
        <w:t>To select the Participants to whom Awards are to be granted;</w:t>
      </w:r>
    </w:p>
    <w:p>
      <w:pPr>
        <w:spacing w:after="0" w:line="234" w:lineRule="exact"/>
        <w:rPr>
          <w:rFonts w:ascii="Arial" w:cs="Arial" w:eastAsia="Arial" w:hAnsi="Arial"/>
          <w:sz w:val="16"/>
          <w:szCs w:val="16"/>
          <w:color w:val="auto"/>
        </w:rPr>
      </w:pPr>
    </w:p>
    <w:p>
      <w:pPr>
        <w:ind w:left="1460" w:hanging="446"/>
        <w:spacing w:after="0"/>
        <w:tabs>
          <w:tab w:leader="none" w:pos="1460" w:val="left"/>
        </w:tabs>
        <w:numPr>
          <w:ilvl w:val="1"/>
          <w:numId w:val="62"/>
        </w:numPr>
        <w:rPr>
          <w:rFonts w:ascii="Arial" w:cs="Arial" w:eastAsia="Arial" w:hAnsi="Arial"/>
          <w:sz w:val="16"/>
          <w:szCs w:val="16"/>
          <w:color w:val="auto"/>
        </w:rPr>
      </w:pPr>
      <w:r>
        <w:rPr>
          <w:rFonts w:ascii="Arial" w:cs="Arial" w:eastAsia="Arial" w:hAnsi="Arial"/>
          <w:sz w:val="16"/>
          <w:szCs w:val="16"/>
          <w:color w:val="auto"/>
        </w:rPr>
        <w:t>To determine the type of Award and number of Shares or amount of cash to be made subject to each Award;</w:t>
      </w:r>
    </w:p>
    <w:p>
      <w:pPr>
        <w:spacing w:after="0" w:line="234" w:lineRule="exact"/>
        <w:rPr>
          <w:rFonts w:ascii="Arial" w:cs="Arial" w:eastAsia="Arial" w:hAnsi="Arial"/>
          <w:sz w:val="16"/>
          <w:szCs w:val="16"/>
          <w:color w:val="auto"/>
        </w:rPr>
      </w:pPr>
    </w:p>
    <w:p>
      <w:pPr>
        <w:ind w:left="1460" w:right="60" w:hanging="446"/>
        <w:spacing w:after="0" w:line="285" w:lineRule="auto"/>
        <w:tabs>
          <w:tab w:leader="none" w:pos="1460" w:val="left"/>
        </w:tabs>
        <w:numPr>
          <w:ilvl w:val="1"/>
          <w:numId w:val="62"/>
        </w:numPr>
        <w:rPr>
          <w:rFonts w:ascii="Arial" w:cs="Arial" w:eastAsia="Arial" w:hAnsi="Arial"/>
          <w:sz w:val="16"/>
          <w:szCs w:val="16"/>
          <w:color w:val="auto"/>
        </w:rPr>
      </w:pPr>
      <w:r>
        <w:rPr>
          <w:rFonts w:ascii="Arial" w:cs="Arial" w:eastAsia="Arial" w:hAnsi="Arial"/>
          <w:sz w:val="16"/>
          <w:szCs w:val="16"/>
          <w:color w:val="auto"/>
        </w:rPr>
        <w:t>To prescribe the terms and conditions of each Award, including (without limitation) the Exercise Price and Purchase Price of any Award, and the vesting or duration of the Award (including accelerating the vesting of Awards, either at the time of the Award or thereafter, without the consent of the Participant), to determine whether an Option is to be classified as an ISO or as an NSO, to specify the provisions of the agreement relating to such Award and to determine and establish the terms and conditions of any Stock Purchase Right granted pursuant to the ESPP Addendum;</w:t>
      </w:r>
    </w:p>
    <w:p>
      <w:pPr>
        <w:spacing w:after="0" w:line="190" w:lineRule="exact"/>
        <w:rPr>
          <w:rFonts w:ascii="Arial" w:cs="Arial" w:eastAsia="Arial" w:hAnsi="Arial"/>
          <w:sz w:val="16"/>
          <w:szCs w:val="16"/>
          <w:color w:val="auto"/>
        </w:rPr>
      </w:pPr>
    </w:p>
    <w:p>
      <w:pPr>
        <w:ind w:left="1460" w:right="740" w:hanging="446"/>
        <w:spacing w:after="0" w:line="295" w:lineRule="auto"/>
        <w:tabs>
          <w:tab w:leader="none" w:pos="1460" w:val="left"/>
        </w:tabs>
        <w:numPr>
          <w:ilvl w:val="1"/>
          <w:numId w:val="62"/>
        </w:numPr>
        <w:rPr>
          <w:rFonts w:ascii="Arial" w:cs="Arial" w:eastAsia="Arial" w:hAnsi="Arial"/>
          <w:sz w:val="16"/>
          <w:szCs w:val="16"/>
          <w:color w:val="auto"/>
        </w:rPr>
      </w:pPr>
      <w:r>
        <w:rPr>
          <w:rFonts w:ascii="Arial" w:cs="Arial" w:eastAsia="Arial" w:hAnsi="Arial"/>
          <w:sz w:val="16"/>
          <w:szCs w:val="16"/>
          <w:color w:val="auto"/>
        </w:rPr>
        <w:t>To amend any outstanding Award Agreement, subject to applicable legal restrictions and to the consent of the Participant if the Participant’s rights or obligations would be materially impaired;</w:t>
      </w:r>
    </w:p>
    <w:p>
      <w:pPr>
        <w:spacing w:after="0" w:line="182" w:lineRule="exact"/>
        <w:rPr>
          <w:rFonts w:ascii="Arial" w:cs="Arial" w:eastAsia="Arial" w:hAnsi="Arial"/>
          <w:sz w:val="16"/>
          <w:szCs w:val="16"/>
          <w:color w:val="auto"/>
        </w:rPr>
      </w:pPr>
    </w:p>
    <w:p>
      <w:pPr>
        <w:ind w:left="1460" w:right="20" w:hanging="446"/>
        <w:spacing w:after="0" w:line="295" w:lineRule="auto"/>
        <w:tabs>
          <w:tab w:leader="none" w:pos="1460" w:val="left"/>
        </w:tabs>
        <w:numPr>
          <w:ilvl w:val="1"/>
          <w:numId w:val="62"/>
        </w:numPr>
        <w:rPr>
          <w:rFonts w:ascii="Arial" w:cs="Arial" w:eastAsia="Arial" w:hAnsi="Arial"/>
          <w:sz w:val="16"/>
          <w:szCs w:val="16"/>
          <w:color w:val="auto"/>
        </w:rPr>
      </w:pPr>
      <w:r>
        <w:rPr>
          <w:rFonts w:ascii="Arial" w:cs="Arial" w:eastAsia="Arial" w:hAnsi="Arial"/>
          <w:sz w:val="16"/>
          <w:szCs w:val="16"/>
          <w:color w:val="auto"/>
        </w:rPr>
        <w:t>To prescribe the consideration for the grant of each Award or other right under the Plan and to determine the sufficiency of such consideration;</w:t>
      </w:r>
    </w:p>
    <w:p>
      <w:pPr>
        <w:spacing w:after="0" w:line="182" w:lineRule="exact"/>
        <w:rPr>
          <w:rFonts w:ascii="Arial" w:cs="Arial" w:eastAsia="Arial" w:hAnsi="Arial"/>
          <w:sz w:val="16"/>
          <w:szCs w:val="16"/>
          <w:color w:val="auto"/>
        </w:rPr>
      </w:pPr>
    </w:p>
    <w:p>
      <w:pPr>
        <w:ind w:left="1460" w:right="540" w:hanging="446"/>
        <w:spacing w:after="0" w:line="295" w:lineRule="auto"/>
        <w:tabs>
          <w:tab w:leader="none" w:pos="1460" w:val="left"/>
        </w:tabs>
        <w:numPr>
          <w:ilvl w:val="1"/>
          <w:numId w:val="62"/>
        </w:numPr>
        <w:rPr>
          <w:rFonts w:ascii="Arial" w:cs="Arial" w:eastAsia="Arial" w:hAnsi="Arial"/>
          <w:sz w:val="16"/>
          <w:szCs w:val="16"/>
          <w:color w:val="auto"/>
        </w:rPr>
      </w:pPr>
      <w:r>
        <w:rPr>
          <w:rFonts w:ascii="Arial" w:cs="Arial" w:eastAsia="Arial" w:hAnsi="Arial"/>
          <w:sz w:val="16"/>
          <w:szCs w:val="16"/>
          <w:color w:val="auto"/>
        </w:rPr>
        <w:t>To determine the disposition of each Award or other right under the Plan in the event of a Participant’s divorce or dissolution of marriage;</w:t>
      </w:r>
    </w:p>
    <w:p>
      <w:pPr>
        <w:spacing w:after="0" w:line="168" w:lineRule="exact"/>
        <w:rPr>
          <w:rFonts w:ascii="Arial" w:cs="Arial" w:eastAsia="Arial" w:hAnsi="Arial"/>
          <w:sz w:val="16"/>
          <w:szCs w:val="16"/>
          <w:color w:val="auto"/>
        </w:rPr>
      </w:pPr>
    </w:p>
    <w:p>
      <w:pPr>
        <w:ind w:left="1460" w:right="80" w:hanging="446"/>
        <w:spacing w:after="0" w:line="295" w:lineRule="auto"/>
        <w:tabs>
          <w:tab w:leader="none" w:pos="1460" w:val="left"/>
        </w:tabs>
        <w:numPr>
          <w:ilvl w:val="1"/>
          <w:numId w:val="62"/>
        </w:numPr>
        <w:rPr>
          <w:rFonts w:ascii="Arial" w:cs="Arial" w:eastAsia="Arial" w:hAnsi="Arial"/>
          <w:sz w:val="16"/>
          <w:szCs w:val="16"/>
          <w:color w:val="auto"/>
        </w:rPr>
      </w:pPr>
      <w:r>
        <w:rPr>
          <w:rFonts w:ascii="Arial" w:cs="Arial" w:eastAsia="Arial" w:hAnsi="Arial"/>
          <w:sz w:val="16"/>
          <w:szCs w:val="16"/>
          <w:color w:val="auto"/>
        </w:rPr>
        <w:t>To determine whether Awards under the Plan will be granted in replacement of other grants under an incentive or other compensation plan of an acquired business;</w:t>
      </w:r>
    </w:p>
    <w:p>
      <w:pPr>
        <w:spacing w:after="0" w:line="182" w:lineRule="exact"/>
        <w:rPr>
          <w:rFonts w:ascii="Arial" w:cs="Arial" w:eastAsia="Arial" w:hAnsi="Arial"/>
          <w:sz w:val="16"/>
          <w:szCs w:val="16"/>
          <w:color w:val="auto"/>
        </w:rPr>
      </w:pPr>
    </w:p>
    <w:p>
      <w:pPr>
        <w:ind w:left="1460" w:hanging="446"/>
        <w:spacing w:after="0"/>
        <w:tabs>
          <w:tab w:leader="none" w:pos="1460" w:val="left"/>
        </w:tabs>
        <w:numPr>
          <w:ilvl w:val="1"/>
          <w:numId w:val="62"/>
        </w:numPr>
        <w:rPr>
          <w:rFonts w:ascii="Arial" w:cs="Arial" w:eastAsia="Arial" w:hAnsi="Arial"/>
          <w:sz w:val="16"/>
          <w:szCs w:val="16"/>
          <w:color w:val="auto"/>
        </w:rPr>
      </w:pPr>
      <w:r>
        <w:rPr>
          <w:rFonts w:ascii="Arial" w:cs="Arial" w:eastAsia="Arial" w:hAnsi="Arial"/>
          <w:sz w:val="16"/>
          <w:szCs w:val="16"/>
          <w:color w:val="auto"/>
        </w:rPr>
        <w:t>To correct any defect, supply any omission, or reconcile any inconsistency in the Plan or any Award Agreement;</w:t>
      </w:r>
    </w:p>
    <w:p>
      <w:pPr>
        <w:spacing w:after="0" w:line="234" w:lineRule="exact"/>
        <w:rPr>
          <w:rFonts w:ascii="Arial" w:cs="Arial" w:eastAsia="Arial" w:hAnsi="Arial"/>
          <w:sz w:val="16"/>
          <w:szCs w:val="16"/>
          <w:color w:val="auto"/>
        </w:rPr>
      </w:pPr>
    </w:p>
    <w:p>
      <w:pPr>
        <w:ind w:left="1460" w:right="380" w:hanging="446"/>
        <w:spacing w:after="0" w:line="295" w:lineRule="auto"/>
        <w:tabs>
          <w:tab w:leader="none" w:pos="1460" w:val="left"/>
        </w:tabs>
        <w:numPr>
          <w:ilvl w:val="1"/>
          <w:numId w:val="62"/>
        </w:numPr>
        <w:rPr>
          <w:rFonts w:ascii="Arial" w:cs="Arial" w:eastAsia="Arial" w:hAnsi="Arial"/>
          <w:sz w:val="16"/>
          <w:szCs w:val="16"/>
          <w:color w:val="auto"/>
        </w:rPr>
      </w:pPr>
      <w:r>
        <w:rPr>
          <w:rFonts w:ascii="Arial" w:cs="Arial" w:eastAsia="Arial" w:hAnsi="Arial"/>
          <w:sz w:val="16"/>
          <w:szCs w:val="16"/>
          <w:color w:val="auto"/>
        </w:rPr>
        <w:t>To establish or verify the extent of satisfaction of any performance goals or other conditions applicable to the grant, issuance, exercisability, vesting, and/or ability to retain any Award;</w:t>
      </w:r>
    </w:p>
    <w:p>
      <w:pPr>
        <w:spacing w:after="0" w:line="182" w:lineRule="exact"/>
        <w:rPr>
          <w:rFonts w:ascii="Arial" w:cs="Arial" w:eastAsia="Arial" w:hAnsi="Arial"/>
          <w:sz w:val="16"/>
          <w:szCs w:val="16"/>
          <w:color w:val="auto"/>
        </w:rPr>
      </w:pPr>
    </w:p>
    <w:p>
      <w:pPr>
        <w:ind w:left="1460" w:right="680" w:hanging="446"/>
        <w:spacing w:after="0" w:line="295" w:lineRule="auto"/>
        <w:tabs>
          <w:tab w:leader="none" w:pos="1460" w:val="left"/>
        </w:tabs>
        <w:numPr>
          <w:ilvl w:val="1"/>
          <w:numId w:val="62"/>
        </w:numPr>
        <w:rPr>
          <w:rFonts w:ascii="Arial" w:cs="Arial" w:eastAsia="Arial" w:hAnsi="Arial"/>
          <w:sz w:val="16"/>
          <w:szCs w:val="16"/>
          <w:color w:val="auto"/>
        </w:rPr>
      </w:pPr>
      <w:r>
        <w:rPr>
          <w:rFonts w:ascii="Arial" w:cs="Arial" w:eastAsia="Arial" w:hAnsi="Arial"/>
          <w:sz w:val="16"/>
          <w:szCs w:val="16"/>
          <w:color w:val="auto"/>
        </w:rPr>
        <w:t>to administer the ESPP Addendum and exercise such authority and take such actions as set forth in the ESPP Addendum; and</w:t>
      </w:r>
    </w:p>
    <w:p>
      <w:pPr>
        <w:spacing w:after="0" w:line="182" w:lineRule="exact"/>
        <w:rPr>
          <w:rFonts w:ascii="Arial" w:cs="Arial" w:eastAsia="Arial" w:hAnsi="Arial"/>
          <w:sz w:val="16"/>
          <w:szCs w:val="16"/>
          <w:color w:val="auto"/>
        </w:rPr>
      </w:pPr>
    </w:p>
    <w:p>
      <w:pPr>
        <w:ind w:left="1460" w:hanging="446"/>
        <w:spacing w:after="0"/>
        <w:tabs>
          <w:tab w:leader="none" w:pos="1460" w:val="left"/>
        </w:tabs>
        <w:numPr>
          <w:ilvl w:val="1"/>
          <w:numId w:val="62"/>
        </w:numPr>
        <w:rPr>
          <w:rFonts w:ascii="Arial" w:cs="Arial" w:eastAsia="Arial" w:hAnsi="Arial"/>
          <w:sz w:val="16"/>
          <w:szCs w:val="16"/>
          <w:color w:val="auto"/>
        </w:rPr>
      </w:pPr>
      <w:r>
        <w:rPr>
          <w:rFonts w:ascii="Arial" w:cs="Arial" w:eastAsia="Arial" w:hAnsi="Arial"/>
          <w:sz w:val="16"/>
          <w:szCs w:val="16"/>
          <w:color w:val="auto"/>
        </w:rPr>
        <w:t>To take any other actions deemed necessary or advisable for the administration of the Plan.</w:t>
      </w:r>
    </w:p>
    <w:p>
      <w:pPr>
        <w:spacing w:after="0" w:line="235" w:lineRule="exact"/>
        <w:rPr>
          <w:sz w:val="20"/>
          <w:szCs w:val="20"/>
          <w:color w:val="auto"/>
        </w:rPr>
      </w:pPr>
    </w:p>
    <w:p>
      <w:pPr>
        <w:ind w:left="660"/>
        <w:spacing w:after="0" w:line="266" w:lineRule="auto"/>
        <w:rPr>
          <w:sz w:val="20"/>
          <w:szCs w:val="20"/>
          <w:color w:val="auto"/>
        </w:rPr>
      </w:pPr>
      <w:r>
        <w:rPr>
          <w:rFonts w:ascii="Arial" w:cs="Arial" w:eastAsia="Arial" w:hAnsi="Arial"/>
          <w:sz w:val="16"/>
          <w:szCs w:val="16"/>
          <w:color w:val="auto"/>
        </w:rPr>
        <w:t>Subject to the requirements of applicable law, the Committee may designate persons other than members of the Committee to carry out its responsibilities and may prescribe such conditions and limitations as it may deem appropriate, except that the Committee may not delegate its authority with regard to the selection for participation of or the granting of Awards under the Plan to persons subject to Section 16 of the Exchange Act. All decisions, interpretations and other actions of the Committee shall be final and binding on all Participants and all persons deriving their rights from a Participant. No member of the Committee shall be liable for any action that he has taken or has failed to take in good faith with respect to the Plan or any Award under the Plan.</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4.  ELIGIBILITY.</w:t>
      </w:r>
    </w:p>
    <w:p>
      <w:pPr>
        <w:spacing w:after="0" w:line="176" w:lineRule="exact"/>
        <w:rPr>
          <w:sz w:val="20"/>
          <w:szCs w:val="20"/>
          <w:color w:val="auto"/>
        </w:rPr>
      </w:pPr>
    </w:p>
    <w:p>
      <w:pPr>
        <w:ind w:left="660" w:right="200" w:hanging="6"/>
        <w:spacing w:after="0" w:line="298" w:lineRule="auto"/>
        <w:tabs>
          <w:tab w:leader="none" w:pos="993"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General Rule</w:t>
      </w:r>
      <w:r>
        <w:rPr>
          <w:rFonts w:ascii="Arial" w:cs="Arial" w:eastAsia="Arial" w:hAnsi="Arial"/>
          <w:sz w:val="16"/>
          <w:szCs w:val="16"/>
          <w:color w:val="auto"/>
        </w:rPr>
        <w:t>. Only Employees, Consultants and Outside Directors shall be eligible for the grant of Awards. Only common-law employees of the Company, a Parent, or a Subsidiary shall be eligible for the grant of ISOs and Stock Purchase Rights.</w:t>
      </w:r>
    </w:p>
    <w:p>
      <w:pPr>
        <w:sectPr>
          <w:pgSz w:w="11900" w:h="16838" w:orient="portrait"/>
          <w:cols w:equalWidth="0" w:num="1">
            <w:col w:w="10040"/>
          </w:cols>
          <w:pgMar w:left="580" w:top="131" w:right="1279" w:bottom="1440" w:gutter="0" w:footer="0" w:header="0"/>
        </w:sectPr>
      </w:pPr>
    </w:p>
    <w:p>
      <w:pPr>
        <w:spacing w:after="0" w:line="359" w:lineRule="exact"/>
        <w:rPr>
          <w:sz w:val="20"/>
          <w:szCs w:val="20"/>
          <w:color w:val="auto"/>
        </w:rPr>
      </w:pPr>
    </w:p>
    <w:p>
      <w:pPr>
        <w:ind w:left="660"/>
        <w:spacing w:after="0"/>
        <w:tabs>
          <w:tab w:leader="none" w:pos="9820" w:val="left"/>
        </w:tabs>
        <w:rPr>
          <w:sz w:val="20"/>
          <w:szCs w:val="20"/>
          <w:color w:val="auto"/>
        </w:rPr>
      </w:pPr>
      <w:r>
        <w:rPr>
          <w:rFonts w:ascii="Arial" w:cs="Arial" w:eastAsia="Arial" w:hAnsi="Arial"/>
          <w:sz w:val="13"/>
          <w:szCs w:val="13"/>
          <w:color w:val="auto"/>
        </w:rPr>
        <w:t>2022 Proxy Statement</w:t>
      </w:r>
      <w:r>
        <w:rPr>
          <w:sz w:val="20"/>
          <w:szCs w:val="20"/>
          <w:color w:val="auto"/>
        </w:rPr>
        <w:tab/>
      </w:r>
      <w:r>
        <w:rPr>
          <w:rFonts w:ascii="Arial" w:cs="Arial" w:eastAsia="Arial" w:hAnsi="Arial"/>
          <w:sz w:val="12"/>
          <w:szCs w:val="12"/>
          <w:b w:val="1"/>
          <w:bCs w:val="1"/>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1" w:right="1279" w:bottom="1440" w:gutter="0" w:footer="0" w:header="0"/>
          <w:type w:val="continuous"/>
        </w:sectPr>
      </w:pPr>
    </w:p>
    <w:bookmarkStart w:id="91" w:name="page92"/>
    <w:bookmarkEnd w:id="91"/>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980" w:hanging="326"/>
        <w:spacing w:after="0"/>
        <w:tabs>
          <w:tab w:leader="none" w:pos="980"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Ten-Percent Stockholders</w:t>
      </w:r>
      <w:r>
        <w:rPr>
          <w:rFonts w:ascii="Arial" w:cs="Arial" w:eastAsia="Arial" w:hAnsi="Arial"/>
          <w:sz w:val="16"/>
          <w:szCs w:val="16"/>
          <w:color w:val="auto"/>
        </w:rPr>
        <w:t>. An Employee who owns more than 10% of the total combined voting power of all classes of</w:t>
      </w:r>
    </w:p>
    <w:p>
      <w:pPr>
        <w:spacing w:after="0" w:line="34" w:lineRule="exact"/>
        <w:rPr>
          <w:rFonts w:ascii="Arial" w:cs="Arial" w:eastAsia="Arial" w:hAnsi="Arial"/>
          <w:sz w:val="16"/>
          <w:szCs w:val="16"/>
          <w:color w:val="auto"/>
        </w:rPr>
      </w:pPr>
    </w:p>
    <w:p>
      <w:pPr>
        <w:ind w:left="660" w:right="240"/>
        <w:spacing w:after="0" w:line="278" w:lineRule="auto"/>
        <w:rPr>
          <w:rFonts w:ascii="Arial" w:cs="Arial" w:eastAsia="Arial" w:hAnsi="Arial"/>
          <w:sz w:val="16"/>
          <w:szCs w:val="16"/>
          <w:color w:val="auto"/>
        </w:rPr>
      </w:pPr>
      <w:r>
        <w:rPr>
          <w:rFonts w:ascii="Arial" w:cs="Arial" w:eastAsia="Arial" w:hAnsi="Arial"/>
          <w:sz w:val="16"/>
          <w:szCs w:val="16"/>
          <w:color w:val="auto"/>
        </w:rPr>
        <w:t>outstanding stock of the Company, a Parent or Subsidiary shall not be eligible for the grant of an ISO unless such grant satisfies the requirements of Section 422(c)(5) of the Code.</w:t>
      </w:r>
    </w:p>
    <w:p>
      <w:pPr>
        <w:spacing w:after="0" w:line="178" w:lineRule="exact"/>
        <w:rPr>
          <w:rFonts w:ascii="Arial" w:cs="Arial" w:eastAsia="Arial" w:hAnsi="Arial"/>
          <w:sz w:val="16"/>
          <w:szCs w:val="16"/>
          <w:color w:val="auto"/>
        </w:rPr>
      </w:pPr>
    </w:p>
    <w:p>
      <w:pPr>
        <w:ind w:left="660" w:right="20" w:hanging="6"/>
        <w:spacing w:after="0" w:line="275" w:lineRule="auto"/>
        <w:tabs>
          <w:tab w:leader="none" w:pos="978"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Attribution Rules</w:t>
      </w:r>
      <w:r>
        <w:rPr>
          <w:rFonts w:ascii="Arial" w:cs="Arial" w:eastAsia="Arial" w:hAnsi="Arial"/>
          <w:sz w:val="16"/>
          <w:szCs w:val="16"/>
          <w:color w:val="auto"/>
        </w:rPr>
        <w:t>. For purposes of Section 4(b) above, in determining stock ownership, an Employee shall be deemed to own</w:t>
      </w:r>
      <w:r>
        <w:rPr>
          <w:rFonts w:ascii="Arial" w:cs="Arial" w:eastAsia="Arial" w:hAnsi="Arial"/>
          <w:sz w:val="16"/>
          <w:szCs w:val="16"/>
          <w:i w:val="1"/>
          <w:iCs w:val="1"/>
          <w:color w:val="auto"/>
        </w:rPr>
        <w:t xml:space="preserve"> </w:t>
      </w:r>
      <w:r>
        <w:rPr>
          <w:rFonts w:ascii="Arial" w:cs="Arial" w:eastAsia="Arial" w:hAnsi="Arial"/>
          <w:sz w:val="16"/>
          <w:szCs w:val="16"/>
          <w:color w:val="auto"/>
        </w:rPr>
        <w:t>the stock owned, directly or indirectly, by or for such Employee’s brothers, sisters, spouse, ancestors, and lineal descendants. Stock owned, directly or indirectly, by or for a corporation, partnership, estate, or trust shall be deemed to be owned proportionately by or for its stockholders, partners, or beneficiaries.</w:t>
      </w:r>
    </w:p>
    <w:p>
      <w:pPr>
        <w:spacing w:after="0" w:line="182" w:lineRule="exact"/>
        <w:rPr>
          <w:rFonts w:ascii="Arial" w:cs="Arial" w:eastAsia="Arial" w:hAnsi="Arial"/>
          <w:sz w:val="16"/>
          <w:szCs w:val="16"/>
          <w:color w:val="auto"/>
        </w:rPr>
      </w:pPr>
    </w:p>
    <w:p>
      <w:pPr>
        <w:ind w:left="660" w:right="260" w:hanging="6"/>
        <w:spacing w:after="0" w:line="281" w:lineRule="auto"/>
        <w:tabs>
          <w:tab w:leader="none" w:pos="993"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Outstanding Stock</w:t>
      </w:r>
      <w:r>
        <w:rPr>
          <w:rFonts w:ascii="Arial" w:cs="Arial" w:eastAsia="Arial" w:hAnsi="Arial"/>
          <w:sz w:val="16"/>
          <w:szCs w:val="16"/>
          <w:color w:val="auto"/>
        </w:rPr>
        <w:t>. For purposes of Section 4(b) above, “outstanding stock” shall include all stock actually issued and</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immediately after the grant. ”Outstanding stock” shall not include Shares authorized for issuance under outstanding options held by the Employee or by any other person.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5.  STOCK SUBJECT TO PLAN; DIRECTOR COMPENSATION LIMIT.</w:t>
      </w:r>
    </w:p>
    <w:p>
      <w:pPr>
        <w:spacing w:after="0" w:line="176" w:lineRule="exact"/>
        <w:rPr>
          <w:sz w:val="20"/>
          <w:szCs w:val="20"/>
          <w:color w:val="auto"/>
        </w:rPr>
      </w:pPr>
    </w:p>
    <w:p>
      <w:pPr>
        <w:ind w:left="660" w:right="60" w:hanging="6"/>
        <w:spacing w:after="0" w:line="266" w:lineRule="auto"/>
        <w:tabs>
          <w:tab w:leader="none" w:pos="993"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Basic Limitation</w:t>
      </w:r>
      <w:r>
        <w:rPr>
          <w:rFonts w:ascii="Arial" w:cs="Arial" w:eastAsia="Arial" w:hAnsi="Arial"/>
          <w:sz w:val="16"/>
          <w:szCs w:val="16"/>
          <w:color w:val="auto"/>
        </w:rPr>
        <w:t>. Shares offered under the Plan shall be authorized but unissued Shares or treasury Shares. As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Restatement Date, the maximum aggregate number of Shares authorized for issuance as Awards under the Plan on or after the Effective Date shall not exceed the sum of (x) 36,502,669 Shares (consisting of (i) 15,000,000 Shares approved by the Board on April 27, 2022, (ii) 12,500,000 Shares initially authorized for issuance under the Plan as of the Effective Date; and (iii) an additional 9,002,669 Shares initially authorized under the Plan as of the Effective Date which represents the number of Shares equal to the number of unallocated shares of stock of Atieva, Inc. remaining available for issuance under the 2021 Plan, 2014 Plan and 2009 Plan as of the Effective Date (as adjusted by the conversion ratio pursuant to the terms of the Merger Agreement in connection with the consummation of the transactions contemplated by the Merger Agreement)), plus (y) the Returning Shares, if any, which become available for grant under this Plan from time to time on or after the Effective Date. Notwithstanding the foregoing, the number of Shares that may be delivered in the aggregate pursuant to the exercise of ISOs granted under the Plan on or after the Effective Date shall not exceed 36,502,669 Shares plus, to the extent allowable under Section 422 of the Code, any Shares that become available for issuance under the Plan pursuant to Section 5(c). In addition, notwithstanding the foregoing, the number of Shares that may be delivered in the aggregate pursuant to the exercise of Stock Purchase Rights granted under the Plan and the ESPP Addendum on or after the Effective Date shall not exceed 36,502,669 Shares. The limitations of this Section 5(a) shall be subject to adjustment pursuant to Section 13. The number of Shares that are subject to Awards outstanding at any time under the Plan shall not exceed the number of Shares which then remain available for issuance under the Plan. The Company shall at all times reserve and keep available sufficient Shares to satisfy the requirements of the Plan.</w:t>
      </w:r>
    </w:p>
    <w:p>
      <w:pPr>
        <w:spacing w:after="0" w:line="191" w:lineRule="exact"/>
        <w:rPr>
          <w:rFonts w:ascii="Arial" w:cs="Arial" w:eastAsia="Arial" w:hAnsi="Arial"/>
          <w:sz w:val="16"/>
          <w:szCs w:val="16"/>
          <w:color w:val="auto"/>
        </w:rPr>
      </w:pPr>
    </w:p>
    <w:p>
      <w:pPr>
        <w:ind w:left="660" w:right="20" w:hanging="6"/>
        <w:spacing w:after="0" w:line="268" w:lineRule="auto"/>
        <w:tabs>
          <w:tab w:leader="none" w:pos="987"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Additional Shares</w:t>
      </w:r>
      <w:r>
        <w:rPr>
          <w:rFonts w:ascii="Arial" w:cs="Arial" w:eastAsia="Arial" w:hAnsi="Arial"/>
          <w:sz w:val="16"/>
          <w:szCs w:val="16"/>
          <w:color w:val="auto"/>
        </w:rPr>
        <w:t>. If Restricted Shares or Shares issued upon the exercise of options are forfeited, then such Shares shall</w:t>
      </w:r>
      <w:r>
        <w:rPr>
          <w:rFonts w:ascii="Arial" w:cs="Arial" w:eastAsia="Arial" w:hAnsi="Arial"/>
          <w:sz w:val="16"/>
          <w:szCs w:val="16"/>
          <w:i w:val="1"/>
          <w:iCs w:val="1"/>
          <w:color w:val="auto"/>
        </w:rPr>
        <w:t xml:space="preserve"> </w:t>
      </w:r>
      <w:r>
        <w:rPr>
          <w:rFonts w:ascii="Arial" w:cs="Arial" w:eastAsia="Arial" w:hAnsi="Arial"/>
          <w:sz w:val="16"/>
          <w:szCs w:val="16"/>
          <w:color w:val="auto"/>
        </w:rPr>
        <w:t>again become available for Awards under the Plan. If Restricted Stock Units, Options, SARs or Stock Purchase Rights are forfeited or terminate for any reason before being exercised or settled, or an Award is settled in cash without the delivery of Shares to the holder, then the corresponding Shares shall again become available for Awards under the Plan. If Restricted Stock Units or SARs are settled, then only the number of Shares (if any) actually issued in settlement of such Restricted Stock Units or SARs shall reduce the number available in Section 5(a) and the balance (including any Shares withheld to satisfy tax withholding obligations) shall again become available for Awards under the Plan. Any Shares withheld to satisfy the Exercise Price or tax withholding obligation pursuant to any Award of Options or SARs shall be added back to the Shares available for Awards under the Plan. Notwithstanding the foregoing provisions of this Section 5(b), Shares that have actually been issued shall not again become available for Awards under the Plan, except for Shares that are forfeited and do not become vested.</w:t>
      </w:r>
    </w:p>
    <w:p>
      <w:pPr>
        <w:spacing w:after="0" w:line="186" w:lineRule="exact"/>
        <w:rPr>
          <w:rFonts w:ascii="Arial" w:cs="Arial" w:eastAsia="Arial" w:hAnsi="Arial"/>
          <w:sz w:val="16"/>
          <w:szCs w:val="16"/>
          <w:color w:val="auto"/>
        </w:rPr>
      </w:pPr>
    </w:p>
    <w:p>
      <w:pPr>
        <w:ind w:left="660" w:right="20" w:hanging="6"/>
        <w:spacing w:after="0" w:line="268" w:lineRule="auto"/>
        <w:tabs>
          <w:tab w:leader="none" w:pos="984"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Substitution and Assumption of Awards</w:t>
      </w:r>
      <w:r>
        <w:rPr>
          <w:rFonts w:ascii="Arial" w:cs="Arial" w:eastAsia="Arial" w:hAnsi="Arial"/>
          <w:sz w:val="16"/>
          <w:szCs w:val="16"/>
          <w:color w:val="auto"/>
        </w:rPr>
        <w:t>. The Committee may make Awards under the Plan by assumption, substitution, or</w:t>
      </w:r>
      <w:r>
        <w:rPr>
          <w:rFonts w:ascii="Arial" w:cs="Arial" w:eastAsia="Arial" w:hAnsi="Arial"/>
          <w:sz w:val="16"/>
          <w:szCs w:val="16"/>
          <w:i w:val="1"/>
          <w:iCs w:val="1"/>
          <w:color w:val="auto"/>
        </w:rPr>
        <w:t xml:space="preserve"> </w:t>
      </w:r>
      <w:r>
        <w:rPr>
          <w:rFonts w:ascii="Arial" w:cs="Arial" w:eastAsia="Arial" w:hAnsi="Arial"/>
          <w:sz w:val="16"/>
          <w:szCs w:val="16"/>
          <w:color w:val="auto"/>
        </w:rPr>
        <w:t>replacement of stock options, stock appreciation rights, restricted stock units, or similar awards granted by another entity (including a Parent or Subsidiary), if such assumption, substitution, or replacement is in connection with an asset acquisition, stock acquisition, merger, consolidation, or similar transaction involving the Company (and/or its Parent or Subsidiary) and such other entity (and/or its affiliate). The terms of such assumed, substituted, or replaced Awards shall be as the Committee, in its discretion, determines is appropriate, notwithstanding limitations on Awards in the Plan. Any such substitute or assumed Awards shall not count against the Share limitation set forth in Section 5(a) (nor shall Shares subject to such Awards be added to the Shares available for Awards under the Plan as provided in Section 5(b) above), except that Shares acquired by exercise of substitute ISOs will count against the maximum number of Shares that may be issued pursuant to the exercise of ISOs under the Plan.</w:t>
      </w:r>
    </w:p>
    <w:p>
      <w:pPr>
        <w:spacing w:after="0" w:line="189" w:lineRule="exact"/>
        <w:rPr>
          <w:rFonts w:ascii="Arial" w:cs="Arial" w:eastAsia="Arial" w:hAnsi="Arial"/>
          <w:sz w:val="16"/>
          <w:szCs w:val="16"/>
          <w:color w:val="auto"/>
        </w:rPr>
      </w:pPr>
    </w:p>
    <w:p>
      <w:pPr>
        <w:ind w:left="660" w:right="200" w:hanging="6"/>
        <w:spacing w:after="0" w:line="298" w:lineRule="auto"/>
        <w:tabs>
          <w:tab w:leader="none" w:pos="993"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Outside Director Compensation Limit</w:t>
      </w:r>
      <w:r>
        <w:rPr>
          <w:rFonts w:ascii="Arial" w:cs="Arial" w:eastAsia="Arial" w:hAnsi="Arial"/>
          <w:sz w:val="16"/>
          <w:szCs w:val="16"/>
          <w:color w:val="auto"/>
        </w:rPr>
        <w:t>. The maximum number of Shares subject to Awards granted under the Plan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during any one calendar year to any Outside Director, taken together with any cash fees paid by the Company to such</w:t>
      </w:r>
    </w:p>
    <w:p>
      <w:pPr>
        <w:spacing w:after="0" w:line="359"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3"/>
          <w:szCs w:val="13"/>
          <w:b w:val="1"/>
          <w:bCs w:val="1"/>
          <w:color w:val="auto"/>
        </w:rPr>
        <w:t>A-6</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1" w:right="1279" w:bottom="1440" w:gutter="0" w:footer="0" w:header="0"/>
        </w:sectPr>
      </w:pPr>
    </w:p>
    <w:bookmarkStart w:id="92" w:name="page93"/>
    <w:bookmarkEnd w:id="92"/>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left="660" w:right="700"/>
        <w:spacing w:after="0" w:line="268" w:lineRule="auto"/>
        <w:rPr>
          <w:sz w:val="20"/>
          <w:szCs w:val="20"/>
          <w:color w:val="auto"/>
        </w:rPr>
      </w:pPr>
      <w:r>
        <w:rPr>
          <w:rFonts w:ascii="Arial" w:cs="Arial" w:eastAsia="Arial" w:hAnsi="Arial"/>
          <w:sz w:val="16"/>
          <w:szCs w:val="16"/>
          <w:color w:val="auto"/>
        </w:rPr>
        <w:t>Outside Director during such calendar year for service on the Board (excluding any arrangements entered into prior to the Effective Date), will not exceed seven-hundred and fifty thousand dollars ($750,000) in total value (calculating the value of any such Awards based on the grant date fair value of such Awards for financial reporting purposes, or, with respect to the calendar year in which an Outside Director is first appointed or elected to the Board, one-million dollars ($1,000,000)).</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6.  RESTRICTED SHARES.</w:t>
      </w:r>
    </w:p>
    <w:p>
      <w:pPr>
        <w:spacing w:after="0" w:line="176" w:lineRule="exact"/>
        <w:rPr>
          <w:sz w:val="20"/>
          <w:szCs w:val="20"/>
          <w:color w:val="auto"/>
        </w:rPr>
      </w:pPr>
    </w:p>
    <w:p>
      <w:pPr>
        <w:ind w:left="660" w:right="680" w:hanging="6"/>
        <w:spacing w:after="0" w:line="275" w:lineRule="auto"/>
        <w:tabs>
          <w:tab w:leader="none" w:pos="993"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Restricted Share Award Agreement</w:t>
      </w:r>
      <w:r>
        <w:rPr>
          <w:rFonts w:ascii="Arial" w:cs="Arial" w:eastAsia="Arial" w:hAnsi="Arial"/>
          <w:sz w:val="16"/>
          <w:szCs w:val="16"/>
          <w:color w:val="auto"/>
        </w:rPr>
        <w:t>. Each grant of Restricted Shares under the Plan shall be evidenced by a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Share Award Agreement between the Participant and the Company. Such Restricted Shares shall be subject to all applicable terms of the Plan and may be subject to any other terms that are not inconsistent with the Plan. The provisions of the various Restricted Share Award Agreements entered into under the Plan need not be identical.</w:t>
      </w:r>
    </w:p>
    <w:p>
      <w:pPr>
        <w:spacing w:after="0" w:line="182" w:lineRule="exact"/>
        <w:rPr>
          <w:rFonts w:ascii="Arial" w:cs="Arial" w:eastAsia="Arial" w:hAnsi="Arial"/>
          <w:sz w:val="16"/>
          <w:szCs w:val="16"/>
          <w:color w:val="auto"/>
        </w:rPr>
      </w:pPr>
    </w:p>
    <w:p>
      <w:pPr>
        <w:ind w:left="660" w:right="1000" w:hanging="6"/>
        <w:spacing w:after="0" w:line="281" w:lineRule="auto"/>
        <w:tabs>
          <w:tab w:leader="none" w:pos="993"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Payment for Awards</w:t>
      </w:r>
      <w:r>
        <w:rPr>
          <w:rFonts w:ascii="Arial" w:cs="Arial" w:eastAsia="Arial" w:hAnsi="Arial"/>
          <w:sz w:val="16"/>
          <w:szCs w:val="16"/>
          <w:color w:val="auto"/>
        </w:rPr>
        <w:t>. Restricted Shares may be sold or awarded under the Plan for such consideration as the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may determine, including (without limitation) cash, cash equivalents, full-recourse promissory notes, past services, and future services.</w:t>
      </w:r>
    </w:p>
    <w:p>
      <w:pPr>
        <w:spacing w:after="0" w:line="177" w:lineRule="exact"/>
        <w:rPr>
          <w:rFonts w:ascii="Arial" w:cs="Arial" w:eastAsia="Arial" w:hAnsi="Arial"/>
          <w:sz w:val="16"/>
          <w:szCs w:val="16"/>
          <w:color w:val="auto"/>
        </w:rPr>
      </w:pPr>
    </w:p>
    <w:p>
      <w:pPr>
        <w:jc w:val="both"/>
        <w:ind w:left="660" w:right="760" w:hanging="6"/>
        <w:spacing w:after="0" w:line="281" w:lineRule="auto"/>
        <w:tabs>
          <w:tab w:leader="none" w:pos="984"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Vesting</w:t>
      </w:r>
      <w:r>
        <w:rPr>
          <w:rFonts w:ascii="Arial" w:cs="Arial" w:eastAsia="Arial" w:hAnsi="Arial"/>
          <w:sz w:val="16"/>
          <w:szCs w:val="16"/>
          <w:color w:val="auto"/>
        </w:rPr>
        <w:t>. Each Award of Restricted Shares may or may not be subject to vesting. Vesting shall occur, in full or in installments,</w:t>
      </w:r>
      <w:r>
        <w:rPr>
          <w:rFonts w:ascii="Arial" w:cs="Arial" w:eastAsia="Arial" w:hAnsi="Arial"/>
          <w:sz w:val="16"/>
          <w:szCs w:val="16"/>
          <w:i w:val="1"/>
          <w:iCs w:val="1"/>
          <w:color w:val="auto"/>
        </w:rPr>
        <w:t xml:space="preserve"> </w:t>
      </w:r>
      <w:r>
        <w:rPr>
          <w:rFonts w:ascii="Arial" w:cs="Arial" w:eastAsia="Arial" w:hAnsi="Arial"/>
          <w:sz w:val="16"/>
          <w:szCs w:val="16"/>
          <w:color w:val="auto"/>
        </w:rPr>
        <w:t>upon satisfaction of the conditions specified in the Restricted Share Award Agreement. A Restricted Share Award Agreement may provide for accelerated vesting in the event of the Participant’s death, Disability or retirement or other events.</w:t>
      </w:r>
    </w:p>
    <w:p>
      <w:pPr>
        <w:spacing w:after="0" w:line="177" w:lineRule="exact"/>
        <w:rPr>
          <w:rFonts w:ascii="Arial" w:cs="Arial" w:eastAsia="Arial" w:hAnsi="Arial"/>
          <w:sz w:val="16"/>
          <w:szCs w:val="16"/>
          <w:color w:val="auto"/>
        </w:rPr>
      </w:pPr>
    </w:p>
    <w:p>
      <w:pPr>
        <w:ind w:left="660" w:right="720" w:hanging="6"/>
        <w:spacing w:after="0" w:line="267" w:lineRule="auto"/>
        <w:tabs>
          <w:tab w:leader="none" w:pos="993"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Voting and Dividend Rights</w:t>
      </w:r>
      <w:r>
        <w:rPr>
          <w:rFonts w:ascii="Arial" w:cs="Arial" w:eastAsia="Arial" w:hAnsi="Arial"/>
          <w:sz w:val="16"/>
          <w:szCs w:val="16"/>
          <w:color w:val="auto"/>
        </w:rPr>
        <w:t>. A holder of Restricted Shares awarded under the Plan shall have the same voting, dividend,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rights as the Company’s other stockholders, except that in the case of any unvested Restricted Shares, the holder shall not be entitled to any dividends or other distributions paid or distributed by the Company in respect of outstanding Shares. Notwithstanding the foregoing, at the Committee’s discretion, the holder of unvested Restricted Shares may be credited with such dividends and other distributions, provided that such dividends and other distributions shall be paid or distributed to the holder only if, when and to the extent such unvested Restricted Shares vest. The value of dividends and other distributions payable or distributable with respect to any unvested Restricted Shares that do not vest shall be forfeited. At the Committee’s discretion, the Restricted Share Award Agreement may require that the holder of Restricted Shares invest any cash dividends received in additional Restricted Shares. Such additional Restricted Shares shall be subject to the same conditions as the Award with respect which the dividend was paid. For the avoidance of doubt, other than with respect to the right to receive dividends and other distributions, the holders of unvested Restricted Shares shall have the same voting rights and other rights as the Company’s other stockholders in respect of such unvested Restricted Shares.</w:t>
      </w:r>
    </w:p>
    <w:p>
      <w:pPr>
        <w:spacing w:after="0" w:line="189" w:lineRule="exact"/>
        <w:rPr>
          <w:rFonts w:ascii="Arial" w:cs="Arial" w:eastAsia="Arial" w:hAnsi="Arial"/>
          <w:sz w:val="16"/>
          <w:szCs w:val="16"/>
          <w:color w:val="auto"/>
        </w:rPr>
      </w:pPr>
    </w:p>
    <w:p>
      <w:pPr>
        <w:ind w:left="660" w:right="880" w:hanging="6"/>
        <w:spacing w:after="0" w:line="281" w:lineRule="auto"/>
        <w:tabs>
          <w:tab w:leader="none" w:pos="993"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Restrictions on Transfer of Shares</w:t>
      </w:r>
      <w:r>
        <w:rPr>
          <w:rFonts w:ascii="Arial" w:cs="Arial" w:eastAsia="Arial" w:hAnsi="Arial"/>
          <w:sz w:val="16"/>
          <w:szCs w:val="16"/>
          <w:color w:val="auto"/>
        </w:rPr>
        <w:t>. Restricted Shares shall be subject to such rights of repurchase, rights of first refusal,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restrictions as the Committee may determine. Such restrictions shall be set forth in the applicable Restricted Share Award Agreement and shall apply in addition to any general restrictions that may apply to all holders of Shares.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7.  TERMS AND CONDITIONS OF OPTIONS.</w:t>
      </w:r>
    </w:p>
    <w:p>
      <w:pPr>
        <w:spacing w:after="0" w:line="176" w:lineRule="exact"/>
        <w:rPr>
          <w:sz w:val="20"/>
          <w:szCs w:val="20"/>
          <w:color w:val="auto"/>
        </w:rPr>
      </w:pPr>
    </w:p>
    <w:p>
      <w:pPr>
        <w:ind w:left="660" w:right="740" w:hanging="6"/>
        <w:spacing w:after="0" w:line="272" w:lineRule="auto"/>
        <w:tabs>
          <w:tab w:leader="none" w:pos="993"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Option Award Agreement</w:t>
      </w:r>
      <w:r>
        <w:rPr>
          <w:rFonts w:ascii="Arial" w:cs="Arial" w:eastAsia="Arial" w:hAnsi="Arial"/>
          <w:sz w:val="16"/>
          <w:szCs w:val="16"/>
          <w:color w:val="auto"/>
        </w:rPr>
        <w:t>. Each grant of an Option under the Plan shall be evidenced by an Option Award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the Participant and the Company. Such Option shall be subject to all applicable terms and conditions of the Plan and may be subject to any other terms and conditions which are not inconsistent with the Plan and which the Committee deems appropriate for inclusion in an Option Award Agreement. The Option Award Agreement shall specify whether the Option is an ISO or an NSO. The provisions of the various Option Award Agreements entered into under the Plan need not be identical.</w:t>
      </w:r>
    </w:p>
    <w:p>
      <w:pPr>
        <w:spacing w:after="0" w:line="185" w:lineRule="exact"/>
        <w:rPr>
          <w:rFonts w:ascii="Arial" w:cs="Arial" w:eastAsia="Arial" w:hAnsi="Arial"/>
          <w:sz w:val="16"/>
          <w:szCs w:val="16"/>
          <w:color w:val="auto"/>
        </w:rPr>
      </w:pPr>
    </w:p>
    <w:p>
      <w:pPr>
        <w:ind w:left="660" w:right="1040" w:hanging="6"/>
        <w:spacing w:after="0" w:line="298" w:lineRule="auto"/>
        <w:tabs>
          <w:tab w:leader="none" w:pos="993"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Number of Shares</w:t>
      </w:r>
      <w:r>
        <w:rPr>
          <w:rFonts w:ascii="Arial" w:cs="Arial" w:eastAsia="Arial" w:hAnsi="Arial"/>
          <w:sz w:val="16"/>
          <w:szCs w:val="16"/>
          <w:color w:val="auto"/>
        </w:rPr>
        <w:t>. Each Option Award Agreement shall specify the number of Shares that are subject to the Option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shall provide for the adjustment of such number in accordance with Section 13.</w:t>
      </w:r>
    </w:p>
    <w:p>
      <w:pPr>
        <w:spacing w:after="0" w:line="164" w:lineRule="exact"/>
        <w:rPr>
          <w:rFonts w:ascii="Arial" w:cs="Arial" w:eastAsia="Arial" w:hAnsi="Arial"/>
          <w:sz w:val="16"/>
          <w:szCs w:val="16"/>
          <w:color w:val="auto"/>
        </w:rPr>
      </w:pPr>
    </w:p>
    <w:p>
      <w:pPr>
        <w:ind w:left="660" w:right="720" w:hanging="6"/>
        <w:spacing w:after="0" w:line="269" w:lineRule="auto"/>
        <w:tabs>
          <w:tab w:leader="none" w:pos="984"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Exercise Price</w:t>
      </w:r>
      <w:r>
        <w:rPr>
          <w:rFonts w:ascii="Arial" w:cs="Arial" w:eastAsia="Arial" w:hAnsi="Arial"/>
          <w:sz w:val="16"/>
          <w:szCs w:val="16"/>
          <w:color w:val="auto"/>
        </w:rPr>
        <w:t>. Each Option Award Agreement shall specify the Exercise Price. The Exercise Price of an ISO shall not be</w:t>
      </w:r>
      <w:r>
        <w:rPr>
          <w:rFonts w:ascii="Arial" w:cs="Arial" w:eastAsia="Arial" w:hAnsi="Arial"/>
          <w:sz w:val="16"/>
          <w:szCs w:val="16"/>
          <w:i w:val="1"/>
          <w:iCs w:val="1"/>
          <w:color w:val="auto"/>
        </w:rPr>
        <w:t xml:space="preserve"> </w:t>
      </w:r>
      <w:r>
        <w:rPr>
          <w:rFonts w:ascii="Arial" w:cs="Arial" w:eastAsia="Arial" w:hAnsi="Arial"/>
          <w:sz w:val="16"/>
          <w:szCs w:val="16"/>
          <w:color w:val="auto"/>
        </w:rPr>
        <w:t>less than 100% of the Fair Market Value of a Share on the date of grant, and the Exercise Price of an NSO shall not be less than 100% of the Fair Market Value of a Share on the date of grant. Notwithstanding the foregoing, Options may be granted with an Exercise Price of less than 100% of the Fair Market Value per Share on the date of grant pursuant to a transaction described in, and in a manner consistent with, Section 424(a) of the Code. Subject to the foregoing in this Section 7(c), the Exercise Price under any Option shall be determined by the Committee in its sole discretion. The Exercise Price shall be payable in one of the forms described in Section 8.</w:t>
      </w:r>
    </w:p>
    <w:p>
      <w:pPr>
        <w:spacing w:after="0" w:line="189" w:lineRule="exact"/>
        <w:rPr>
          <w:rFonts w:ascii="Arial" w:cs="Arial" w:eastAsia="Arial" w:hAnsi="Arial"/>
          <w:sz w:val="16"/>
          <w:szCs w:val="16"/>
          <w:color w:val="auto"/>
        </w:rPr>
      </w:pPr>
    </w:p>
    <w:p>
      <w:pPr>
        <w:ind w:left="660" w:right="1240" w:hanging="6"/>
        <w:spacing w:after="0" w:line="298" w:lineRule="auto"/>
        <w:tabs>
          <w:tab w:leader="none" w:pos="993"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Withholding Taxes</w:t>
      </w:r>
      <w:r>
        <w:rPr>
          <w:rFonts w:ascii="Arial" w:cs="Arial" w:eastAsia="Arial" w:hAnsi="Arial"/>
          <w:sz w:val="16"/>
          <w:szCs w:val="16"/>
          <w:color w:val="auto"/>
        </w:rPr>
        <w:t>. As a condition to the exercise of an Option, the Participant shall make such arrangements as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may require for the satisfaction of any federal, state, local or foreign withholding tax obligations that may arise in</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860" w:type="dxa"/>
            <w:vAlign w:val="bottom"/>
          </w:tcPr>
          <w:p>
            <w:pPr>
              <w:ind w:left="660"/>
              <w:spacing w:after="0"/>
              <w:rPr>
                <w:sz w:val="20"/>
                <w:szCs w:val="20"/>
                <w:color w:val="auto"/>
              </w:rPr>
            </w:pPr>
            <w:r>
              <w:rPr>
                <w:rFonts w:ascii="Arial" w:cs="Arial" w:eastAsia="Arial" w:hAnsi="Arial"/>
                <w:sz w:val="13"/>
                <w:szCs w:val="13"/>
                <w:color w:val="auto"/>
              </w:rPr>
              <w:t>2022 Proxy Statement</w:t>
            </w:r>
          </w:p>
        </w:tc>
        <w:tc>
          <w:tcPr>
            <w:tcW w:w="4860" w:type="dxa"/>
            <w:vAlign w:val="bottom"/>
          </w:tcPr>
          <w:p>
            <w:pPr>
              <w:ind w:left="3980"/>
              <w:spacing w:after="0"/>
              <w:rPr>
                <w:sz w:val="20"/>
                <w:szCs w:val="20"/>
                <w:color w:val="auto"/>
              </w:rPr>
            </w:pPr>
            <w:r>
              <w:rPr>
                <w:rFonts w:ascii="Arial" w:cs="Arial" w:eastAsia="Arial" w:hAnsi="Arial"/>
                <w:sz w:val="13"/>
                <w:szCs w:val="13"/>
                <w:b w:val="1"/>
                <w:bCs w:val="1"/>
                <w:color w:val="auto"/>
              </w:rPr>
              <w:t>A-7</w:t>
            </w:r>
          </w:p>
        </w:tc>
      </w:tr>
      <w:tr>
        <w:trPr>
          <w:trHeight w:val="171"/>
        </w:trPr>
        <w:tc>
          <w:tcPr>
            <w:tcW w:w="5860" w:type="dxa"/>
            <w:vAlign w:val="bottom"/>
            <w:tcBorders>
              <w:bottom w:val="single" w:sz="8" w:color="9A9A9A"/>
            </w:tcBorders>
          </w:tcPr>
          <w:p>
            <w:pPr>
              <w:spacing w:after="0"/>
              <w:rPr>
                <w:sz w:val="14"/>
                <w:szCs w:val="14"/>
                <w:color w:val="auto"/>
              </w:rPr>
            </w:pPr>
          </w:p>
        </w:tc>
        <w:tc>
          <w:tcPr>
            <w:tcW w:w="48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93" w:name="page94"/>
    <w:bookmarkEnd w:id="93"/>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60" w:right="360"/>
        <w:spacing w:after="0" w:line="288" w:lineRule="auto"/>
        <w:rPr>
          <w:sz w:val="20"/>
          <w:szCs w:val="20"/>
          <w:color w:val="auto"/>
        </w:rPr>
      </w:pPr>
      <w:r>
        <w:rPr>
          <w:rFonts w:ascii="Arial" w:cs="Arial" w:eastAsia="Arial" w:hAnsi="Arial"/>
          <w:sz w:val="16"/>
          <w:szCs w:val="16"/>
          <w:color w:val="auto"/>
        </w:rPr>
        <w:t>connection with such exercise. The Participant shall also make such arrangements as the Committee may require for the satisfaction of any federal, state, local or foreign withholding tax obligations that may arise in connection with the disposition of Shares acquired by exercising an Option.</w:t>
      </w:r>
    </w:p>
    <w:p>
      <w:pPr>
        <w:spacing w:after="0" w:line="186" w:lineRule="exact"/>
        <w:rPr>
          <w:sz w:val="20"/>
          <w:szCs w:val="20"/>
          <w:color w:val="auto"/>
        </w:rPr>
      </w:pPr>
    </w:p>
    <w:p>
      <w:pPr>
        <w:ind w:left="660" w:hanging="6"/>
        <w:spacing w:after="0" w:line="286" w:lineRule="auto"/>
        <w:tabs>
          <w:tab w:leader="none" w:pos="993"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Exercisability and Term</w:t>
      </w:r>
      <w:r>
        <w:rPr>
          <w:rFonts w:ascii="Arial" w:cs="Arial" w:eastAsia="Arial" w:hAnsi="Arial"/>
          <w:sz w:val="16"/>
          <w:szCs w:val="16"/>
          <w:color w:val="auto"/>
        </w:rPr>
        <w:t>. Each Option Award Agreement shall specify the date when all or any installment of the Option is to</w:t>
      </w:r>
      <w:r>
        <w:rPr>
          <w:rFonts w:ascii="Arial" w:cs="Arial" w:eastAsia="Arial" w:hAnsi="Arial"/>
          <w:sz w:val="16"/>
          <w:szCs w:val="16"/>
          <w:i w:val="1"/>
          <w:iCs w:val="1"/>
          <w:color w:val="auto"/>
        </w:rPr>
        <w:t xml:space="preserve"> </w:t>
      </w:r>
      <w:r>
        <w:rPr>
          <w:rFonts w:ascii="Arial" w:cs="Arial" w:eastAsia="Arial" w:hAnsi="Arial"/>
          <w:sz w:val="16"/>
          <w:szCs w:val="16"/>
          <w:color w:val="auto"/>
        </w:rPr>
        <w:t>become exercisable. The Option Award Agreement shall also specify the term of the Option; provided that the term of an ISO shall in no event exceed 10 years from the date of grant (five years for ISOs granted to Employees described in Section 4(b)). An Option Award Agreement may provide for accelerated exercisability in the event of the Participant’s death, Disability, or retirement or other events and may provide for expiration prior to the end of its term in the event of the termination of the Participant’s Service. Options may be awarded in combination with SARs, and such an Award may provide that the Options will not be exercisable unless the related SARs are forfeited. Subject to the foregoing in this Section 7(e), the Committee in its sole discretion shall determine when all or any installment of an Option is to become exercisable and when an Option is to expire.</w:t>
      </w:r>
    </w:p>
    <w:p>
      <w:pPr>
        <w:spacing w:after="0" w:line="190" w:lineRule="exact"/>
        <w:rPr>
          <w:rFonts w:ascii="Arial" w:cs="Arial" w:eastAsia="Arial" w:hAnsi="Arial"/>
          <w:sz w:val="16"/>
          <w:szCs w:val="16"/>
          <w:color w:val="auto"/>
        </w:rPr>
      </w:pPr>
    </w:p>
    <w:p>
      <w:pPr>
        <w:ind w:left="660" w:right="20" w:hanging="6"/>
        <w:spacing w:after="0" w:line="288" w:lineRule="auto"/>
        <w:tabs>
          <w:tab w:leader="none" w:pos="948"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Exercise of Options</w:t>
      </w:r>
      <w:r>
        <w:rPr>
          <w:rFonts w:ascii="Arial" w:cs="Arial" w:eastAsia="Arial" w:hAnsi="Arial"/>
          <w:sz w:val="16"/>
          <w:szCs w:val="16"/>
          <w:color w:val="auto"/>
        </w:rPr>
        <w:t>. Each Option Award Agreement shall set forth the extent to which the Participant shall have the right to</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the Option following termination of the Participant’s Service with the Company and its Subsidiaries, and the right to exercise the Option of any executors or administrators of the Participant’s estate or any person who has acquired such Option(s) directly from the Participant by bequest or inheritance. Such provisions shall be determined in the sole discretion of the Committee, need not be uniform among all Options issued pursuant to the Plan, and may reflect distinctions based on the reasons for termination of Service.</w:t>
      </w:r>
    </w:p>
    <w:p>
      <w:pPr>
        <w:spacing w:after="0" w:line="187" w:lineRule="exact"/>
        <w:rPr>
          <w:rFonts w:ascii="Arial" w:cs="Arial" w:eastAsia="Arial" w:hAnsi="Arial"/>
          <w:sz w:val="16"/>
          <w:szCs w:val="16"/>
          <w:color w:val="auto"/>
        </w:rPr>
      </w:pPr>
    </w:p>
    <w:p>
      <w:pPr>
        <w:ind w:left="660" w:right="220" w:hanging="6"/>
        <w:spacing w:after="0" w:line="299" w:lineRule="auto"/>
        <w:tabs>
          <w:tab w:leader="none" w:pos="993"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No Rights as a Stockholder</w:t>
      </w:r>
      <w:r>
        <w:rPr>
          <w:rFonts w:ascii="Arial" w:cs="Arial" w:eastAsia="Arial" w:hAnsi="Arial"/>
          <w:sz w:val="16"/>
          <w:szCs w:val="16"/>
          <w:color w:val="auto"/>
        </w:rPr>
        <w:t>. A Participant shall have no rights as a stockholder with respect to any Shares covered by his</w:t>
      </w:r>
      <w:r>
        <w:rPr>
          <w:rFonts w:ascii="Arial" w:cs="Arial" w:eastAsia="Arial" w:hAnsi="Arial"/>
          <w:sz w:val="16"/>
          <w:szCs w:val="16"/>
          <w:i w:val="1"/>
          <w:iCs w:val="1"/>
          <w:color w:val="auto"/>
        </w:rPr>
        <w:t xml:space="preserve"> </w:t>
      </w:r>
      <w:r>
        <w:rPr>
          <w:rFonts w:ascii="Arial" w:cs="Arial" w:eastAsia="Arial" w:hAnsi="Arial"/>
          <w:sz w:val="16"/>
          <w:szCs w:val="16"/>
          <w:color w:val="auto"/>
        </w:rPr>
        <w:t>Option until the date of the issuance of a share certificate for such Shares. No adjustments shall be made, except as provided in Section 13.</w:t>
      </w:r>
    </w:p>
    <w:p>
      <w:pPr>
        <w:spacing w:after="0" w:line="176" w:lineRule="exact"/>
        <w:rPr>
          <w:rFonts w:ascii="Arial" w:cs="Arial" w:eastAsia="Arial" w:hAnsi="Arial"/>
          <w:sz w:val="16"/>
          <w:szCs w:val="16"/>
          <w:color w:val="auto"/>
        </w:rPr>
      </w:pPr>
    </w:p>
    <w:p>
      <w:pPr>
        <w:ind w:left="660" w:hanging="6"/>
        <w:spacing w:after="0" w:line="286" w:lineRule="auto"/>
        <w:tabs>
          <w:tab w:leader="none" w:pos="993"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Modification, Extension and Renewal of Options</w:t>
      </w:r>
      <w:r>
        <w:rPr>
          <w:rFonts w:ascii="Arial" w:cs="Arial" w:eastAsia="Arial" w:hAnsi="Arial"/>
          <w:sz w:val="16"/>
          <w:szCs w:val="16"/>
          <w:color w:val="auto"/>
        </w:rPr>
        <w:t>. Within the limitations of the Plan, the Committee may modify, extend, or</w:t>
      </w:r>
      <w:r>
        <w:rPr>
          <w:rFonts w:ascii="Arial" w:cs="Arial" w:eastAsia="Arial" w:hAnsi="Arial"/>
          <w:sz w:val="16"/>
          <w:szCs w:val="16"/>
          <w:i w:val="1"/>
          <w:iCs w:val="1"/>
          <w:color w:val="auto"/>
        </w:rPr>
        <w:t xml:space="preserve"> </w:t>
      </w:r>
      <w:r>
        <w:rPr>
          <w:rFonts w:ascii="Arial" w:cs="Arial" w:eastAsia="Arial" w:hAnsi="Arial"/>
          <w:sz w:val="16"/>
          <w:szCs w:val="16"/>
          <w:color w:val="auto"/>
        </w:rPr>
        <w:t>renew outstanding options or may accept the cancellation of outstanding options (to the extent not previously exercised), whether or not granted hereunder, in return for the grant of new Options for the same or a different number of Shares and at the same or a different Exercise Price, or in return for the grant of a different Award for the same or a different number of Shares or for cash. The foregoing notwithstanding, no modification of an Option shall, without the consent of the Participant, materially impair his or her rights or obligations under such Option; provided, however, that an amendment or modification that may cause an ISO to become a NSO, and any amendment or modification that is required to comply with the rules applicable to ISOs, shall not be treated as materially impairing the rights or obligations of the Participant.</w:t>
      </w:r>
    </w:p>
    <w:p>
      <w:pPr>
        <w:spacing w:after="0" w:line="190" w:lineRule="exact"/>
        <w:rPr>
          <w:rFonts w:ascii="Arial" w:cs="Arial" w:eastAsia="Arial" w:hAnsi="Arial"/>
          <w:sz w:val="16"/>
          <w:szCs w:val="16"/>
          <w:color w:val="auto"/>
        </w:rPr>
      </w:pPr>
    </w:p>
    <w:p>
      <w:pPr>
        <w:ind w:left="660" w:right="160" w:hanging="6"/>
        <w:spacing w:after="0" w:line="293" w:lineRule="auto"/>
        <w:tabs>
          <w:tab w:leader="none" w:pos="939"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Restrictions on Transfer of Shares</w:t>
      </w:r>
      <w:r>
        <w:rPr>
          <w:rFonts w:ascii="Arial" w:cs="Arial" w:eastAsia="Arial" w:hAnsi="Arial"/>
          <w:sz w:val="16"/>
          <w:szCs w:val="16"/>
          <w:color w:val="auto"/>
        </w:rPr>
        <w:t>. Any Shares issued upon exercise of an Option shall be subject to such special forfeiture</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rights of repurchase, rights of first refusal, and other transfer restrictions as the Committee may determine. Such restrictions shall be set forth in the applicable Option Award Agreement and shall apply in addition to any general restrictions that may apply to all holders of Shares.</w:t>
      </w:r>
    </w:p>
    <w:p>
      <w:pPr>
        <w:spacing w:after="0" w:line="181" w:lineRule="exact"/>
        <w:rPr>
          <w:rFonts w:ascii="Arial" w:cs="Arial" w:eastAsia="Arial" w:hAnsi="Arial"/>
          <w:sz w:val="16"/>
          <w:szCs w:val="16"/>
          <w:color w:val="auto"/>
        </w:rPr>
      </w:pPr>
    </w:p>
    <w:p>
      <w:pPr>
        <w:ind w:left="660" w:right="180" w:hanging="6"/>
        <w:spacing w:after="0" w:line="299" w:lineRule="auto"/>
        <w:tabs>
          <w:tab w:leader="none" w:pos="939"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Buyout Provisions</w:t>
      </w:r>
      <w:r>
        <w:rPr>
          <w:rFonts w:ascii="Arial" w:cs="Arial" w:eastAsia="Arial" w:hAnsi="Arial"/>
          <w:sz w:val="16"/>
          <w:szCs w:val="16"/>
          <w:color w:val="auto"/>
        </w:rPr>
        <w:t>. The Committee may at any time (i) offer to buy out for a payment in cash or cash equivalents an Option</w:t>
      </w:r>
      <w:r>
        <w:rPr>
          <w:rFonts w:ascii="Arial" w:cs="Arial" w:eastAsia="Arial" w:hAnsi="Arial"/>
          <w:sz w:val="16"/>
          <w:szCs w:val="16"/>
          <w:i w:val="1"/>
          <w:iCs w:val="1"/>
          <w:color w:val="auto"/>
        </w:rPr>
        <w:t xml:space="preserve"> </w:t>
      </w:r>
      <w:r>
        <w:rPr>
          <w:rFonts w:ascii="Arial" w:cs="Arial" w:eastAsia="Arial" w:hAnsi="Arial"/>
          <w:sz w:val="16"/>
          <w:szCs w:val="16"/>
          <w:color w:val="auto"/>
        </w:rPr>
        <w:t>previously granted or (ii) authorize a Participant to elect to cash out an Option previously granted, in either case at such time and based upon such terms and conditions as the Committee shall establish.</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8.  PAYMENT FOR SHARES.</w:t>
      </w:r>
    </w:p>
    <w:p>
      <w:pPr>
        <w:spacing w:after="0" w:line="189" w:lineRule="exact"/>
        <w:rPr>
          <w:sz w:val="20"/>
          <w:szCs w:val="20"/>
          <w:color w:val="auto"/>
        </w:rPr>
      </w:pPr>
    </w:p>
    <w:p>
      <w:pPr>
        <w:ind w:left="660" w:right="60" w:hanging="6"/>
        <w:spacing w:after="0" w:line="290" w:lineRule="auto"/>
        <w:tabs>
          <w:tab w:leader="none" w:pos="993"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General Rule</w:t>
      </w:r>
      <w:r>
        <w:rPr>
          <w:rFonts w:ascii="Arial" w:cs="Arial" w:eastAsia="Arial" w:hAnsi="Arial"/>
          <w:sz w:val="16"/>
          <w:szCs w:val="16"/>
          <w:color w:val="auto"/>
        </w:rPr>
        <w:t>. The entire Exercise Price or Purchase Price of Shares issued under the Plan (other than Shares issued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ESPP Addendum which shall be governed by the terms of the ESPP Addendum) shall be payable in lawful money of the United States of America at the time when such Shares are purchased, except as provided in Section 8(b) through Section 8(h) below. The payment for Shares issuable pursuant to the ESPP Addendum shall be subject to the terms and conditions as set forth in the ESPP Addendum.</w:t>
      </w:r>
    </w:p>
    <w:p>
      <w:pPr>
        <w:spacing w:after="0" w:line="184" w:lineRule="exact"/>
        <w:rPr>
          <w:rFonts w:ascii="Arial" w:cs="Arial" w:eastAsia="Arial" w:hAnsi="Arial"/>
          <w:sz w:val="16"/>
          <w:szCs w:val="16"/>
          <w:color w:val="auto"/>
        </w:rPr>
      </w:pPr>
    </w:p>
    <w:p>
      <w:pPr>
        <w:ind w:left="660" w:hanging="6"/>
        <w:spacing w:after="0" w:line="288" w:lineRule="auto"/>
        <w:tabs>
          <w:tab w:leader="none" w:pos="993"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Surrender of Stock</w:t>
      </w:r>
      <w:r>
        <w:rPr>
          <w:rFonts w:ascii="Arial" w:cs="Arial" w:eastAsia="Arial" w:hAnsi="Arial"/>
          <w:sz w:val="16"/>
          <w:szCs w:val="16"/>
          <w:color w:val="auto"/>
        </w:rPr>
        <w:t>. To the extent that an Option Award Agreement so provides, payment may be made all or in part by</w:t>
      </w:r>
      <w:r>
        <w:rPr>
          <w:rFonts w:ascii="Arial" w:cs="Arial" w:eastAsia="Arial" w:hAnsi="Arial"/>
          <w:sz w:val="16"/>
          <w:szCs w:val="16"/>
          <w:i w:val="1"/>
          <w:iCs w:val="1"/>
          <w:color w:val="auto"/>
        </w:rPr>
        <w:t xml:space="preserve"> </w:t>
      </w:r>
      <w:r>
        <w:rPr>
          <w:rFonts w:ascii="Arial" w:cs="Arial" w:eastAsia="Arial" w:hAnsi="Arial"/>
          <w:sz w:val="16"/>
          <w:szCs w:val="16"/>
          <w:color w:val="auto"/>
        </w:rPr>
        <w:t>surrendering, or attesting to the ownership of, Shares which have already been owned by the Participant or his or her representative. Such Shares shall be valued at their Fair Market Value on the date when the new Shares are purchased under the Plan. The Participant shall not surrender, or attest to the ownership of, Shares in payment of the Exercise Price of an Option if such action would cause the Company to recognize compensation expense (or additional compensation expense) with respect to the Option for financial reporting purposes.</w:t>
      </w:r>
    </w:p>
    <w:p>
      <w:pPr>
        <w:sectPr>
          <w:pgSz w:w="11900" w:h="16838" w:orient="portrait"/>
          <w:cols w:equalWidth="0" w:num="1">
            <w:col w:w="10040"/>
          </w:cols>
          <w:pgMar w:left="580" w:top="131" w:right="1279" w:bottom="1440" w:gutter="0" w:footer="0" w:header="0"/>
        </w:sectPr>
      </w:pPr>
    </w:p>
    <w:p>
      <w:pPr>
        <w:spacing w:after="0" w:line="368"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3"/>
          <w:szCs w:val="13"/>
          <w:b w:val="1"/>
          <w:bCs w:val="1"/>
          <w:color w:val="auto"/>
        </w:rPr>
        <w:t>A-8</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1" w:right="1279" w:bottom="1440" w:gutter="0" w:footer="0" w:header="0"/>
          <w:type w:val="continuous"/>
        </w:sectPr>
      </w:pPr>
    </w:p>
    <w:bookmarkStart w:id="94" w:name="page95"/>
    <w:bookmarkEnd w:id="94"/>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660" w:right="740" w:hanging="6"/>
        <w:spacing w:after="0" w:line="275" w:lineRule="auto"/>
        <w:tabs>
          <w:tab w:leader="none" w:pos="984"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Services Rendered</w:t>
      </w:r>
      <w:r>
        <w:rPr>
          <w:rFonts w:ascii="Arial" w:cs="Arial" w:eastAsia="Arial" w:hAnsi="Arial"/>
          <w:sz w:val="16"/>
          <w:szCs w:val="16"/>
          <w:color w:val="auto"/>
        </w:rPr>
        <w:t>. At the discretion of the Committee, Shares may be awarded under the Plan in consideration of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rendered to the Company or a Subsidiary. If Shares are awarded without the payment of a Purchase Price in cash, the Committee shall make a determination (at the time of the Award) of the value of the services rendered by the Participant and the sufficiency of the consideration to meet the requirements of Section 6(b).</w:t>
      </w:r>
    </w:p>
    <w:p>
      <w:pPr>
        <w:spacing w:after="0" w:line="182" w:lineRule="exact"/>
        <w:rPr>
          <w:rFonts w:ascii="Arial" w:cs="Arial" w:eastAsia="Arial" w:hAnsi="Arial"/>
          <w:sz w:val="16"/>
          <w:szCs w:val="16"/>
          <w:color w:val="auto"/>
        </w:rPr>
      </w:pPr>
    </w:p>
    <w:p>
      <w:pPr>
        <w:jc w:val="both"/>
        <w:ind w:left="660" w:right="1140" w:hanging="6"/>
        <w:spacing w:after="0" w:line="275" w:lineRule="auto"/>
        <w:tabs>
          <w:tab w:leader="none" w:pos="993"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Cashless Exercise</w:t>
      </w:r>
      <w:r>
        <w:rPr>
          <w:rFonts w:ascii="Arial" w:cs="Arial" w:eastAsia="Arial" w:hAnsi="Arial"/>
          <w:sz w:val="16"/>
          <w:szCs w:val="16"/>
          <w:color w:val="auto"/>
        </w:rPr>
        <w:t>. To the extent that an Option Award Agreement so provides, if the Stock is traded on an established</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market, payment may be made all or in part by delivery (on a form prescribed by the Committee) of an irrevocable direction to a securities broker to sell Shares and to deliver all or part of the sale proceeds to the Company in payment of the aggregate Exercise Price.</w:t>
      </w:r>
    </w:p>
    <w:p>
      <w:pPr>
        <w:spacing w:after="0" w:line="182" w:lineRule="exact"/>
        <w:rPr>
          <w:rFonts w:ascii="Arial" w:cs="Arial" w:eastAsia="Arial" w:hAnsi="Arial"/>
          <w:sz w:val="16"/>
          <w:szCs w:val="16"/>
          <w:color w:val="auto"/>
        </w:rPr>
      </w:pPr>
    </w:p>
    <w:p>
      <w:pPr>
        <w:ind w:left="660" w:right="740" w:hanging="6"/>
        <w:spacing w:after="0" w:line="281" w:lineRule="auto"/>
        <w:tabs>
          <w:tab w:leader="none" w:pos="993"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Exercise/Pledge</w:t>
      </w:r>
      <w:r>
        <w:rPr>
          <w:rFonts w:ascii="Arial" w:cs="Arial" w:eastAsia="Arial" w:hAnsi="Arial"/>
          <w:sz w:val="16"/>
          <w:szCs w:val="16"/>
          <w:color w:val="auto"/>
        </w:rPr>
        <w:t>. To the extent that an Option Award Agreement so provides, payment may be made all or in part by delivery</w:t>
      </w:r>
      <w:r>
        <w:rPr>
          <w:rFonts w:ascii="Arial" w:cs="Arial" w:eastAsia="Arial" w:hAnsi="Arial"/>
          <w:sz w:val="16"/>
          <w:szCs w:val="16"/>
          <w:i w:val="1"/>
          <w:iCs w:val="1"/>
          <w:color w:val="auto"/>
        </w:rPr>
        <w:t xml:space="preserve"> </w:t>
      </w:r>
      <w:r>
        <w:rPr>
          <w:rFonts w:ascii="Arial" w:cs="Arial" w:eastAsia="Arial" w:hAnsi="Arial"/>
          <w:sz w:val="16"/>
          <w:szCs w:val="16"/>
          <w:color w:val="auto"/>
        </w:rPr>
        <w:t>(on a form prescribed by the Committee) of an irrevocable direction to a securities broker or lender to pledge Shares, as security for a loan, and to deliver all or part of the loan proceeds to the Company in payment of the aggregate Exercise Price.</w:t>
      </w:r>
    </w:p>
    <w:p>
      <w:pPr>
        <w:spacing w:after="0" w:line="177" w:lineRule="exact"/>
        <w:rPr>
          <w:rFonts w:ascii="Arial" w:cs="Arial" w:eastAsia="Arial" w:hAnsi="Arial"/>
          <w:sz w:val="16"/>
          <w:szCs w:val="16"/>
          <w:color w:val="auto"/>
        </w:rPr>
      </w:pPr>
    </w:p>
    <w:p>
      <w:pPr>
        <w:ind w:left="660" w:right="780" w:hanging="6"/>
        <w:spacing w:after="0" w:line="271" w:lineRule="auto"/>
        <w:tabs>
          <w:tab w:leader="none" w:pos="948"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Net Exercise</w:t>
      </w:r>
      <w:r>
        <w:rPr>
          <w:rFonts w:ascii="Arial" w:cs="Arial" w:eastAsia="Arial" w:hAnsi="Arial"/>
          <w:sz w:val="16"/>
          <w:szCs w:val="16"/>
          <w:color w:val="auto"/>
        </w:rPr>
        <w:t>. To the extent that an Option Award Agreement so provides, by a “net exercise” arrangement pursuant to which</w:t>
      </w:r>
      <w:r>
        <w:rPr>
          <w:rFonts w:ascii="Arial" w:cs="Arial" w:eastAsia="Arial" w:hAnsi="Arial"/>
          <w:sz w:val="16"/>
          <w:szCs w:val="16"/>
          <w:i w:val="1"/>
          <w:iCs w:val="1"/>
          <w:color w:val="auto"/>
        </w:rPr>
        <w:t xml:space="preserve"> </w:t>
      </w:r>
      <w:r>
        <w:rPr>
          <w:rFonts w:ascii="Arial" w:cs="Arial" w:eastAsia="Arial" w:hAnsi="Arial"/>
          <w:sz w:val="16"/>
          <w:szCs w:val="16"/>
          <w:color w:val="auto"/>
        </w:rPr>
        <w:t>the number of Shares issuable upon exercise of the Option shall be reduced by the largest whole number of Shares having an aggregate Fair Market Value that does not exceed the aggregate Exercise Price (plus tax withholdings, if applicable) and any remaining balance of the aggregate Exercise Price (and/or applicable tax withholdings) not satisfied by such reduction in the number of whole Shares to be issued shall be paid by the Participant in cash or any other form of payment permitted under the Option Award Agreement.</w:t>
      </w:r>
    </w:p>
    <w:p>
      <w:pPr>
        <w:spacing w:after="0" w:line="184" w:lineRule="exact"/>
        <w:rPr>
          <w:rFonts w:ascii="Arial" w:cs="Arial" w:eastAsia="Arial" w:hAnsi="Arial"/>
          <w:sz w:val="16"/>
          <w:szCs w:val="16"/>
          <w:color w:val="auto"/>
        </w:rPr>
      </w:pPr>
    </w:p>
    <w:p>
      <w:pPr>
        <w:ind w:left="660" w:right="1340" w:hanging="6"/>
        <w:spacing w:after="0" w:line="298" w:lineRule="auto"/>
        <w:tabs>
          <w:tab w:leader="none" w:pos="993"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Promissory Note</w:t>
      </w:r>
      <w:r>
        <w:rPr>
          <w:rFonts w:ascii="Arial" w:cs="Arial" w:eastAsia="Arial" w:hAnsi="Arial"/>
          <w:sz w:val="16"/>
          <w:szCs w:val="16"/>
          <w:color w:val="auto"/>
        </w:rPr>
        <w:t>. To the extent that an Option Award Agreement or Restricted Share Award Agreement so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may be made all or in part by delivering (on a form prescribed by the Company) a full-recourse promissory note.</w:t>
      </w:r>
    </w:p>
    <w:p>
      <w:pPr>
        <w:spacing w:after="0" w:line="164" w:lineRule="exact"/>
        <w:rPr>
          <w:rFonts w:ascii="Arial" w:cs="Arial" w:eastAsia="Arial" w:hAnsi="Arial"/>
          <w:sz w:val="16"/>
          <w:szCs w:val="16"/>
          <w:color w:val="auto"/>
        </w:rPr>
      </w:pPr>
    </w:p>
    <w:p>
      <w:pPr>
        <w:ind w:left="660" w:right="760" w:hanging="6"/>
        <w:spacing w:after="0" w:line="298" w:lineRule="auto"/>
        <w:tabs>
          <w:tab w:leader="none" w:pos="993"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Other Forms of Payment</w:t>
      </w:r>
      <w:r>
        <w:rPr>
          <w:rFonts w:ascii="Arial" w:cs="Arial" w:eastAsia="Arial" w:hAnsi="Arial"/>
          <w:sz w:val="16"/>
          <w:szCs w:val="16"/>
          <w:color w:val="auto"/>
        </w:rPr>
        <w:t>. To the extent that an Option Award Agreement or Restricted Share Award Agreement so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may be made in any other form that is consistent with applicable laws, regulations, and rules.</w:t>
      </w:r>
    </w:p>
    <w:p>
      <w:pPr>
        <w:spacing w:after="0" w:line="164" w:lineRule="exact"/>
        <w:rPr>
          <w:rFonts w:ascii="Arial" w:cs="Arial" w:eastAsia="Arial" w:hAnsi="Arial"/>
          <w:sz w:val="16"/>
          <w:szCs w:val="16"/>
          <w:color w:val="auto"/>
        </w:rPr>
      </w:pPr>
    </w:p>
    <w:p>
      <w:pPr>
        <w:ind w:left="660" w:right="920" w:hanging="6"/>
        <w:spacing w:after="0" w:line="281" w:lineRule="auto"/>
        <w:tabs>
          <w:tab w:leader="none" w:pos="939"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Limitations under Applicable Law</w:t>
      </w:r>
      <w:r>
        <w:rPr>
          <w:rFonts w:ascii="Arial" w:cs="Arial" w:eastAsia="Arial" w:hAnsi="Arial"/>
          <w:sz w:val="16"/>
          <w:szCs w:val="16"/>
          <w:color w:val="auto"/>
        </w:rPr>
        <w:t>. Notwithstanding anything herein or in an Option Award Agreement or Restricted Share</w:t>
      </w:r>
      <w:r>
        <w:rPr>
          <w:rFonts w:ascii="Arial" w:cs="Arial" w:eastAsia="Arial" w:hAnsi="Arial"/>
          <w:sz w:val="16"/>
          <w:szCs w:val="16"/>
          <w:i w:val="1"/>
          <w:iCs w:val="1"/>
          <w:color w:val="auto"/>
        </w:rPr>
        <w:t xml:space="preserve"> </w:t>
      </w:r>
      <w:r>
        <w:rPr>
          <w:rFonts w:ascii="Arial" w:cs="Arial" w:eastAsia="Arial" w:hAnsi="Arial"/>
          <w:sz w:val="16"/>
          <w:szCs w:val="16"/>
          <w:color w:val="auto"/>
        </w:rPr>
        <w:t>Award Agreement to the contrary, payment may not be made in any form that is unlawful, as determined by the Committee in its sole discretion.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9.  STOCK APPRECIATION RIGHTS.</w:t>
      </w:r>
    </w:p>
    <w:p>
      <w:pPr>
        <w:spacing w:after="0" w:line="176" w:lineRule="exact"/>
        <w:rPr>
          <w:sz w:val="20"/>
          <w:szCs w:val="20"/>
          <w:color w:val="auto"/>
        </w:rPr>
      </w:pPr>
    </w:p>
    <w:p>
      <w:pPr>
        <w:ind w:left="660" w:right="740" w:hanging="6"/>
        <w:spacing w:after="0" w:line="275" w:lineRule="auto"/>
        <w:tabs>
          <w:tab w:leader="none" w:pos="993"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SAR Award Agreement</w:t>
      </w:r>
      <w:r>
        <w:rPr>
          <w:rFonts w:ascii="Arial" w:cs="Arial" w:eastAsia="Arial" w:hAnsi="Arial"/>
          <w:sz w:val="16"/>
          <w:szCs w:val="16"/>
          <w:color w:val="auto"/>
        </w:rPr>
        <w:t>. Each grant of a SAR under the Plan shall be evidenced by a SAR Award Agreement between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and the Company. Such SAR shall be subject to all applicable terms of the Plan and may be subject to any other terms that are not inconsistent with the Plan. The provisions of the various SAR Award Agreements entered into under the Plan need not be identical.</w:t>
      </w:r>
    </w:p>
    <w:p>
      <w:pPr>
        <w:spacing w:after="0" w:line="182" w:lineRule="exact"/>
        <w:rPr>
          <w:rFonts w:ascii="Arial" w:cs="Arial" w:eastAsia="Arial" w:hAnsi="Arial"/>
          <w:sz w:val="16"/>
          <w:szCs w:val="16"/>
          <w:color w:val="auto"/>
        </w:rPr>
      </w:pPr>
    </w:p>
    <w:p>
      <w:pPr>
        <w:ind w:left="660" w:right="1020" w:hanging="6"/>
        <w:spacing w:after="0" w:line="298" w:lineRule="auto"/>
        <w:tabs>
          <w:tab w:leader="none" w:pos="993"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Number of Shares</w:t>
      </w:r>
      <w:r>
        <w:rPr>
          <w:rFonts w:ascii="Arial" w:cs="Arial" w:eastAsia="Arial" w:hAnsi="Arial"/>
          <w:sz w:val="16"/>
          <w:szCs w:val="16"/>
          <w:color w:val="auto"/>
        </w:rPr>
        <w:t>. Each SAR Award Agreement shall specify the number of Shares to which the SAR pertains and shall</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for the adjustment of such number in accordance with Section 13.</w:t>
      </w:r>
    </w:p>
    <w:p>
      <w:pPr>
        <w:spacing w:after="0" w:line="164" w:lineRule="exact"/>
        <w:rPr>
          <w:rFonts w:ascii="Arial" w:cs="Arial" w:eastAsia="Arial" w:hAnsi="Arial"/>
          <w:sz w:val="16"/>
          <w:szCs w:val="16"/>
          <w:color w:val="auto"/>
        </w:rPr>
      </w:pPr>
    </w:p>
    <w:p>
      <w:pPr>
        <w:ind w:left="660" w:right="720" w:hanging="6"/>
        <w:spacing w:after="0" w:line="272" w:lineRule="auto"/>
        <w:tabs>
          <w:tab w:leader="none" w:pos="984"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Exercise Price</w:t>
      </w:r>
      <w:r>
        <w:rPr>
          <w:rFonts w:ascii="Arial" w:cs="Arial" w:eastAsia="Arial" w:hAnsi="Arial"/>
          <w:sz w:val="16"/>
          <w:szCs w:val="16"/>
          <w:color w:val="auto"/>
        </w:rPr>
        <w:t>. Each SAR Award Agreement shall specify the Exercise Price. The Exercise Price of a SAR shall not be less</w:t>
      </w:r>
      <w:r>
        <w:rPr>
          <w:rFonts w:ascii="Arial" w:cs="Arial" w:eastAsia="Arial" w:hAnsi="Arial"/>
          <w:sz w:val="16"/>
          <w:szCs w:val="16"/>
          <w:i w:val="1"/>
          <w:iCs w:val="1"/>
          <w:color w:val="auto"/>
        </w:rPr>
        <w:t xml:space="preserve"> </w:t>
      </w:r>
      <w:r>
        <w:rPr>
          <w:rFonts w:ascii="Arial" w:cs="Arial" w:eastAsia="Arial" w:hAnsi="Arial"/>
          <w:sz w:val="16"/>
          <w:szCs w:val="16"/>
          <w:color w:val="auto"/>
        </w:rPr>
        <w:t>than 100% of the Fair Market Value of a Share on the date of grant. Notwithstanding the foregoing, SARs may be granted with an Exercise Price of less than 100% of the Fair Market Value per Share on the date of grant pursuant to a transaction described in, and in a manner consistent with, Section 424(a) of the Code. Subject to the foregoing in this Section 9(c), the Exercise Price under any SAR shall be determined by the Committee in its sole discretion.</w:t>
      </w:r>
    </w:p>
    <w:p>
      <w:pPr>
        <w:spacing w:after="0" w:line="185" w:lineRule="exact"/>
        <w:rPr>
          <w:rFonts w:ascii="Arial" w:cs="Arial" w:eastAsia="Arial" w:hAnsi="Arial"/>
          <w:sz w:val="16"/>
          <w:szCs w:val="16"/>
          <w:color w:val="auto"/>
        </w:rPr>
      </w:pPr>
    </w:p>
    <w:p>
      <w:pPr>
        <w:ind w:left="660" w:right="720" w:hanging="6"/>
        <w:spacing w:after="0" w:line="269" w:lineRule="auto"/>
        <w:tabs>
          <w:tab w:leader="none" w:pos="993"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Exercisability and Term</w:t>
      </w:r>
      <w:r>
        <w:rPr>
          <w:rFonts w:ascii="Arial" w:cs="Arial" w:eastAsia="Arial" w:hAnsi="Arial"/>
          <w:sz w:val="16"/>
          <w:szCs w:val="16"/>
          <w:color w:val="auto"/>
        </w:rPr>
        <w:t>. Each SAR Award Agreement shall specify the date when all or any installment of the SAR is to</w:t>
      </w:r>
      <w:r>
        <w:rPr>
          <w:rFonts w:ascii="Arial" w:cs="Arial" w:eastAsia="Arial" w:hAnsi="Arial"/>
          <w:sz w:val="16"/>
          <w:szCs w:val="16"/>
          <w:i w:val="1"/>
          <w:iCs w:val="1"/>
          <w:color w:val="auto"/>
        </w:rPr>
        <w:t xml:space="preserve"> </w:t>
      </w:r>
      <w:r>
        <w:rPr>
          <w:rFonts w:ascii="Arial" w:cs="Arial" w:eastAsia="Arial" w:hAnsi="Arial"/>
          <w:sz w:val="16"/>
          <w:szCs w:val="16"/>
          <w:color w:val="auto"/>
        </w:rPr>
        <w:t>become exercisable. The SAR Award Agreement shall also specify the term of the SAR. A SAR Award Agreement may provide for accelerated exercisability in the event of the Participant’s death, Disability, retirement, or other events and may provide for expiration prior to the end of its term in the event of the termination of the Participant’s Service. SARs may be awarded in combination with Options, and such an Award may provide that the SARs will not be exercisable unless the related Options are forfeited. A SAR may be included in an ISO only at the time of grant but may be included in an NSO at the time of grant or thereafter. A SAR granted under the Plan may provide that it will be exercisable only in the event of a Change in Control.</w:t>
      </w:r>
    </w:p>
    <w:p>
      <w:pPr>
        <w:spacing w:after="0" w:line="189" w:lineRule="exact"/>
        <w:rPr>
          <w:rFonts w:ascii="Arial" w:cs="Arial" w:eastAsia="Arial" w:hAnsi="Arial"/>
          <w:sz w:val="16"/>
          <w:szCs w:val="16"/>
          <w:color w:val="auto"/>
        </w:rPr>
      </w:pPr>
    </w:p>
    <w:p>
      <w:pPr>
        <w:jc w:val="both"/>
        <w:ind w:left="660" w:right="900" w:hanging="6"/>
        <w:spacing w:after="0" w:line="298" w:lineRule="auto"/>
        <w:tabs>
          <w:tab w:leader="none" w:pos="993"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Exercise of SARs</w:t>
      </w:r>
      <w:r>
        <w:rPr>
          <w:rFonts w:ascii="Arial" w:cs="Arial" w:eastAsia="Arial" w:hAnsi="Arial"/>
          <w:sz w:val="16"/>
          <w:szCs w:val="16"/>
          <w:color w:val="auto"/>
        </w:rPr>
        <w:t>. Upon exercise of a SAR, the Participant (or any person having the right to exercise the SAR after his or</w:t>
      </w:r>
      <w:r>
        <w:rPr>
          <w:rFonts w:ascii="Arial" w:cs="Arial" w:eastAsia="Arial" w:hAnsi="Arial"/>
          <w:sz w:val="16"/>
          <w:szCs w:val="16"/>
          <w:i w:val="1"/>
          <w:iCs w:val="1"/>
          <w:color w:val="auto"/>
        </w:rPr>
        <w:t xml:space="preserve"> </w:t>
      </w:r>
      <w:r>
        <w:rPr>
          <w:rFonts w:ascii="Arial" w:cs="Arial" w:eastAsia="Arial" w:hAnsi="Arial"/>
          <w:sz w:val="16"/>
          <w:szCs w:val="16"/>
          <w:color w:val="auto"/>
        </w:rPr>
        <w:t>her death) shall receive from the Company (i) Shares, (ii) cash or (iii) a combination of Shares and cash, as the Committee shall</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860" w:type="dxa"/>
            <w:vAlign w:val="bottom"/>
          </w:tcPr>
          <w:p>
            <w:pPr>
              <w:ind w:left="660"/>
              <w:spacing w:after="0"/>
              <w:rPr>
                <w:sz w:val="20"/>
                <w:szCs w:val="20"/>
                <w:color w:val="auto"/>
              </w:rPr>
            </w:pPr>
            <w:r>
              <w:rPr>
                <w:rFonts w:ascii="Arial" w:cs="Arial" w:eastAsia="Arial" w:hAnsi="Arial"/>
                <w:sz w:val="13"/>
                <w:szCs w:val="13"/>
                <w:color w:val="auto"/>
              </w:rPr>
              <w:t>2022 Proxy Statement</w:t>
            </w:r>
          </w:p>
        </w:tc>
        <w:tc>
          <w:tcPr>
            <w:tcW w:w="4860" w:type="dxa"/>
            <w:vAlign w:val="bottom"/>
          </w:tcPr>
          <w:p>
            <w:pPr>
              <w:ind w:left="3980"/>
              <w:spacing w:after="0"/>
              <w:rPr>
                <w:sz w:val="20"/>
                <w:szCs w:val="20"/>
                <w:color w:val="auto"/>
              </w:rPr>
            </w:pPr>
            <w:r>
              <w:rPr>
                <w:rFonts w:ascii="Arial" w:cs="Arial" w:eastAsia="Arial" w:hAnsi="Arial"/>
                <w:sz w:val="13"/>
                <w:szCs w:val="13"/>
                <w:b w:val="1"/>
                <w:bCs w:val="1"/>
                <w:color w:val="auto"/>
              </w:rPr>
              <w:t>A-9</w:t>
            </w:r>
          </w:p>
        </w:tc>
      </w:tr>
      <w:tr>
        <w:trPr>
          <w:trHeight w:val="171"/>
        </w:trPr>
        <w:tc>
          <w:tcPr>
            <w:tcW w:w="5860" w:type="dxa"/>
            <w:vAlign w:val="bottom"/>
            <w:tcBorders>
              <w:bottom w:val="single" w:sz="8" w:color="9A9A9A"/>
            </w:tcBorders>
          </w:tcPr>
          <w:p>
            <w:pPr>
              <w:spacing w:after="0"/>
              <w:rPr>
                <w:sz w:val="14"/>
                <w:szCs w:val="14"/>
                <w:color w:val="auto"/>
              </w:rPr>
            </w:pPr>
          </w:p>
        </w:tc>
        <w:tc>
          <w:tcPr>
            <w:tcW w:w="48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95" w:name="page96"/>
    <w:bookmarkEnd w:id="95"/>
    <w:p>
      <w:pPr>
        <w:spacing w:after="0"/>
        <w:rPr>
          <w:rFonts w:ascii="Arial" w:cs="Arial" w:eastAsia="Arial" w:hAnsi="Arial"/>
          <w:sz w:val="14"/>
          <w:szCs w:val="14"/>
          <w:color w:val="003366"/>
        </w:rPr>
      </w:pPr>
      <w:hyperlink w:anchor="page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60" w:right="60"/>
        <w:spacing w:after="0" w:line="288" w:lineRule="auto"/>
        <w:rPr>
          <w:sz w:val="20"/>
          <w:szCs w:val="20"/>
          <w:color w:val="auto"/>
        </w:rPr>
      </w:pPr>
      <w:r>
        <w:rPr>
          <w:rFonts w:ascii="Arial" w:cs="Arial" w:eastAsia="Arial" w:hAnsi="Arial"/>
          <w:sz w:val="16"/>
          <w:szCs w:val="16"/>
          <w:color w:val="auto"/>
        </w:rPr>
        <w:t>determine. The amount of cash and/or the Fair Market Value of Shares received upon exercise of SARs shall, in the aggregate, be equal to the amount by which the Fair Market Value (on the date of surrender) of the Shares subject to the SARs exceeds the Exercise Price.</w:t>
      </w:r>
    </w:p>
    <w:p>
      <w:pPr>
        <w:spacing w:after="0" w:line="186" w:lineRule="exact"/>
        <w:rPr>
          <w:sz w:val="20"/>
          <w:szCs w:val="20"/>
          <w:color w:val="auto"/>
        </w:rPr>
      </w:pPr>
    </w:p>
    <w:p>
      <w:pPr>
        <w:ind w:left="660" w:right="140" w:hanging="6"/>
        <w:spacing w:after="0" w:line="288" w:lineRule="auto"/>
        <w:tabs>
          <w:tab w:leader="none" w:pos="948"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Modification, Extension or Assumption of SARs</w:t>
      </w:r>
      <w:r>
        <w:rPr>
          <w:rFonts w:ascii="Arial" w:cs="Arial" w:eastAsia="Arial" w:hAnsi="Arial"/>
          <w:sz w:val="16"/>
          <w:szCs w:val="16"/>
          <w:color w:val="auto"/>
        </w:rPr>
        <w:t>. Within the limitations of the Plan, the Committee may modify, extend, or</w:t>
      </w:r>
      <w:r>
        <w:rPr>
          <w:rFonts w:ascii="Arial" w:cs="Arial" w:eastAsia="Arial" w:hAnsi="Arial"/>
          <w:sz w:val="16"/>
          <w:szCs w:val="16"/>
          <w:i w:val="1"/>
          <w:iCs w:val="1"/>
          <w:color w:val="auto"/>
        </w:rPr>
        <w:t xml:space="preserve"> </w:t>
      </w:r>
      <w:r>
        <w:rPr>
          <w:rFonts w:ascii="Arial" w:cs="Arial" w:eastAsia="Arial" w:hAnsi="Arial"/>
          <w:sz w:val="16"/>
          <w:szCs w:val="16"/>
          <w:color w:val="auto"/>
        </w:rPr>
        <w:t>assume outstanding SARs or may accept the cancellation of outstanding SARs (whether granted by the Company or by another issuer) in return for the grant of new SARs for the same or a different number of Shares and at the same or a different Exercise Price, or in return for the grant of a different Award for the same or a different number of Shares or cash. The foregoing notwithstanding, no modification of a SAR shall, without the consent of the holder, materially impair his or her rights or obligations under such SAR.</w:t>
      </w:r>
    </w:p>
    <w:p>
      <w:pPr>
        <w:spacing w:after="0" w:line="187" w:lineRule="exact"/>
        <w:rPr>
          <w:rFonts w:ascii="Arial" w:cs="Arial" w:eastAsia="Arial" w:hAnsi="Arial"/>
          <w:sz w:val="16"/>
          <w:szCs w:val="16"/>
          <w:color w:val="auto"/>
        </w:rPr>
      </w:pPr>
    </w:p>
    <w:p>
      <w:pPr>
        <w:jc w:val="both"/>
        <w:ind w:left="660" w:right="380" w:hanging="6"/>
        <w:spacing w:after="0" w:line="299" w:lineRule="auto"/>
        <w:tabs>
          <w:tab w:leader="none" w:pos="993"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Buyout Provisions</w:t>
      </w:r>
      <w:r>
        <w:rPr>
          <w:rFonts w:ascii="Arial" w:cs="Arial" w:eastAsia="Arial" w:hAnsi="Arial"/>
          <w:sz w:val="16"/>
          <w:szCs w:val="16"/>
          <w:color w:val="auto"/>
        </w:rPr>
        <w:t>. The Committee may at any time (i) offer to buy out for a payment in cash or cash equivalents a SAR</w:t>
      </w:r>
      <w:r>
        <w:rPr>
          <w:rFonts w:ascii="Arial" w:cs="Arial" w:eastAsia="Arial" w:hAnsi="Arial"/>
          <w:sz w:val="16"/>
          <w:szCs w:val="16"/>
          <w:i w:val="1"/>
          <w:iCs w:val="1"/>
          <w:color w:val="auto"/>
        </w:rPr>
        <w:t xml:space="preserve"> </w:t>
      </w:r>
      <w:r>
        <w:rPr>
          <w:rFonts w:ascii="Arial" w:cs="Arial" w:eastAsia="Arial" w:hAnsi="Arial"/>
          <w:sz w:val="16"/>
          <w:szCs w:val="16"/>
          <w:color w:val="auto"/>
        </w:rPr>
        <w:t>previously granted, or (ii) authorize a Participant to elect to cash out a SAR previously granted, in either case at such time and based upon such terms and conditions as the Committee shall establish.</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10.  RESTRICTED STOCK UNITS.</w:t>
      </w:r>
    </w:p>
    <w:p>
      <w:pPr>
        <w:spacing w:after="0" w:line="189" w:lineRule="exact"/>
        <w:rPr>
          <w:sz w:val="20"/>
          <w:szCs w:val="20"/>
          <w:color w:val="auto"/>
        </w:rPr>
      </w:pPr>
    </w:p>
    <w:p>
      <w:pPr>
        <w:ind w:left="660" w:right="40" w:hanging="6"/>
        <w:spacing w:after="0" w:line="293" w:lineRule="auto"/>
        <w:tabs>
          <w:tab w:leader="none" w:pos="993"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Restricted Stock Unit Award Agreement</w:t>
      </w:r>
      <w:r>
        <w:rPr>
          <w:rFonts w:ascii="Arial" w:cs="Arial" w:eastAsia="Arial" w:hAnsi="Arial"/>
          <w:sz w:val="16"/>
          <w:szCs w:val="16"/>
          <w:color w:val="auto"/>
        </w:rPr>
        <w:t>. Each grant of Restricted Stock Units under the Plan shall be evidenced by a</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Unit Award Agreement between the Participant and the Company. Such Restricted Stock Units shall be subject to all applicable terms of the Plan and may be subject to any other terms that are not inconsistent with the Plan. The provisions of the various Restricted Stock Unit Award Agreements entered into under the Plan need not be identical.</w:t>
      </w:r>
    </w:p>
    <w:p>
      <w:pPr>
        <w:spacing w:after="0" w:line="181" w:lineRule="exact"/>
        <w:rPr>
          <w:rFonts w:ascii="Arial" w:cs="Arial" w:eastAsia="Arial" w:hAnsi="Arial"/>
          <w:sz w:val="16"/>
          <w:szCs w:val="16"/>
          <w:color w:val="auto"/>
        </w:rPr>
      </w:pPr>
    </w:p>
    <w:p>
      <w:pPr>
        <w:ind w:left="660" w:right="20" w:hanging="6"/>
        <w:spacing w:after="0" w:line="316" w:lineRule="auto"/>
        <w:tabs>
          <w:tab w:leader="none" w:pos="993"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Payment for Awards</w:t>
      </w:r>
      <w:r>
        <w:rPr>
          <w:rFonts w:ascii="Arial" w:cs="Arial" w:eastAsia="Arial" w:hAnsi="Arial"/>
          <w:sz w:val="16"/>
          <w:szCs w:val="16"/>
          <w:color w:val="auto"/>
        </w:rPr>
        <w:t>. To the extent that an Award is granted in the form of Restricted Stock Units, no cash consideration shall</w:t>
      </w:r>
      <w:r>
        <w:rPr>
          <w:rFonts w:ascii="Arial" w:cs="Arial" w:eastAsia="Arial" w:hAnsi="Arial"/>
          <w:sz w:val="16"/>
          <w:szCs w:val="16"/>
          <w:i w:val="1"/>
          <w:iCs w:val="1"/>
          <w:color w:val="auto"/>
        </w:rPr>
        <w:t xml:space="preserve"> </w:t>
      </w:r>
      <w:r>
        <w:rPr>
          <w:rFonts w:ascii="Arial" w:cs="Arial" w:eastAsia="Arial" w:hAnsi="Arial"/>
          <w:sz w:val="16"/>
          <w:szCs w:val="16"/>
          <w:color w:val="auto"/>
        </w:rPr>
        <w:t>be required of the Award recipients.</w:t>
      </w:r>
    </w:p>
    <w:p>
      <w:pPr>
        <w:spacing w:after="0" w:line="163" w:lineRule="exact"/>
        <w:rPr>
          <w:rFonts w:ascii="Arial" w:cs="Arial" w:eastAsia="Arial" w:hAnsi="Arial"/>
          <w:sz w:val="16"/>
          <w:szCs w:val="16"/>
          <w:color w:val="auto"/>
        </w:rPr>
      </w:pPr>
    </w:p>
    <w:p>
      <w:pPr>
        <w:jc w:val="both"/>
        <w:ind w:left="660" w:right="20" w:hanging="6"/>
        <w:spacing w:after="0" w:line="299" w:lineRule="auto"/>
        <w:tabs>
          <w:tab w:leader="none" w:pos="984"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Vesting Conditions</w:t>
      </w:r>
      <w:r>
        <w:rPr>
          <w:rFonts w:ascii="Arial" w:cs="Arial" w:eastAsia="Arial" w:hAnsi="Arial"/>
          <w:sz w:val="16"/>
          <w:szCs w:val="16"/>
          <w:color w:val="auto"/>
        </w:rPr>
        <w:t>. Each Award of Restricted Stock Units may or may not be subject to vesting. Vesting shall occur, in full or</w:t>
      </w:r>
      <w:r>
        <w:rPr>
          <w:rFonts w:ascii="Arial" w:cs="Arial" w:eastAsia="Arial" w:hAnsi="Arial"/>
          <w:sz w:val="16"/>
          <w:szCs w:val="16"/>
          <w:i w:val="1"/>
          <w:iCs w:val="1"/>
          <w:color w:val="auto"/>
        </w:rPr>
        <w:t xml:space="preserve"> </w:t>
      </w:r>
      <w:r>
        <w:rPr>
          <w:rFonts w:ascii="Arial" w:cs="Arial" w:eastAsia="Arial" w:hAnsi="Arial"/>
          <w:sz w:val="16"/>
          <w:szCs w:val="16"/>
          <w:color w:val="auto"/>
        </w:rPr>
        <w:t>in installments, upon satisfaction of the conditions specified in the Restricted Stock Unit Award Agreement. A Restricted Stock Unit Award Agreement may provide for accelerated vesting in the event of the Participant’s death, Disability, retirement, or other events.</w:t>
      </w:r>
    </w:p>
    <w:p>
      <w:pPr>
        <w:spacing w:after="0" w:line="176" w:lineRule="exact"/>
        <w:rPr>
          <w:rFonts w:ascii="Arial" w:cs="Arial" w:eastAsia="Arial" w:hAnsi="Arial"/>
          <w:sz w:val="16"/>
          <w:szCs w:val="16"/>
          <w:color w:val="auto"/>
        </w:rPr>
      </w:pPr>
    </w:p>
    <w:p>
      <w:pPr>
        <w:ind w:left="660" w:right="20" w:hanging="6"/>
        <w:spacing w:after="0" w:line="286" w:lineRule="auto"/>
        <w:tabs>
          <w:tab w:leader="none" w:pos="993"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Voting and Dividend Rights</w:t>
      </w:r>
      <w:r>
        <w:rPr>
          <w:rFonts w:ascii="Arial" w:cs="Arial" w:eastAsia="Arial" w:hAnsi="Arial"/>
          <w:sz w:val="16"/>
          <w:szCs w:val="16"/>
          <w:color w:val="auto"/>
        </w:rPr>
        <w:t>. The holders of Restricted Stock Units shall have no voting rights. Prior to settlement or forfeiture,</w:t>
      </w:r>
      <w:r>
        <w:rPr>
          <w:rFonts w:ascii="Arial" w:cs="Arial" w:eastAsia="Arial" w:hAnsi="Arial"/>
          <w:sz w:val="16"/>
          <w:szCs w:val="16"/>
          <w:i w:val="1"/>
          <w:iCs w:val="1"/>
          <w:color w:val="auto"/>
        </w:rPr>
        <w:t xml:space="preserve"> </w:t>
      </w:r>
      <w:r>
        <w:rPr>
          <w:rFonts w:ascii="Arial" w:cs="Arial" w:eastAsia="Arial" w:hAnsi="Arial"/>
          <w:sz w:val="16"/>
          <w:szCs w:val="16"/>
          <w:color w:val="auto"/>
        </w:rPr>
        <w:t>any Restricted Stock Unit awarded under the Plan may, at the Committee’s discretion, carry with it a right to dividend equivalents. Such right, if awarded, entitles the holder to be credited with an amount equal to all cash dividends paid on one Share while the Restricted Stock Unit is outstanding. Settlement of dividend equivalents may be made in the form of cash, in the form of Shares, or in a combination of both. Dividend equivalents may also be converted into additional Restricted Stock Units at the Committee’s discretion. Dividend equivalents shall not be distributed prior to settlement of the Restricted Stock Unit to which the dividend equivalents pertain. Prior to distribution, any dividend equivalents shall be subject to the same conditions and restrictions (including without limitation, any forfeiture conditions) as the Restricted Stock Units to which they attach. The value of dividend equivalents payable or distributable with respect to any unvested Restricted Stock Units that do not vest shall be forfeited.</w:t>
      </w:r>
    </w:p>
    <w:p>
      <w:pPr>
        <w:spacing w:after="0" w:line="186" w:lineRule="exact"/>
        <w:rPr>
          <w:rFonts w:ascii="Arial" w:cs="Arial" w:eastAsia="Arial" w:hAnsi="Arial"/>
          <w:sz w:val="16"/>
          <w:szCs w:val="16"/>
          <w:color w:val="auto"/>
        </w:rPr>
      </w:pPr>
    </w:p>
    <w:p>
      <w:pPr>
        <w:ind w:left="660" w:hanging="6"/>
        <w:spacing w:after="0" w:line="285" w:lineRule="auto"/>
        <w:tabs>
          <w:tab w:leader="none" w:pos="993"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Form and Time of Settlement of Restricted Stock Units</w:t>
      </w:r>
      <w:r>
        <w:rPr>
          <w:rFonts w:ascii="Arial" w:cs="Arial" w:eastAsia="Arial" w:hAnsi="Arial"/>
          <w:sz w:val="16"/>
          <w:szCs w:val="16"/>
          <w:color w:val="auto"/>
        </w:rPr>
        <w:t>. Settlement of vested Restricted Stock Units may be made in the form</w:t>
      </w:r>
      <w:r>
        <w:rPr>
          <w:rFonts w:ascii="Arial" w:cs="Arial" w:eastAsia="Arial" w:hAnsi="Arial"/>
          <w:sz w:val="16"/>
          <w:szCs w:val="16"/>
          <w:i w:val="1"/>
          <w:iCs w:val="1"/>
          <w:color w:val="auto"/>
        </w:rPr>
        <w:t xml:space="preserve"> </w:t>
      </w:r>
      <w:r>
        <w:rPr>
          <w:rFonts w:ascii="Arial" w:cs="Arial" w:eastAsia="Arial" w:hAnsi="Arial"/>
          <w:sz w:val="16"/>
          <w:szCs w:val="16"/>
          <w:color w:val="auto"/>
        </w:rPr>
        <w:t>of (i) cash, (ii) Shares or (iii) any combination of both, as determined by the Committee. The actual number of Restricted Stock Units eligible for settlement may be larger or smaller than the number included in the original Award, based on predetermined performance factors. Methods of converting Restricted Stock Units into cash may include (without limitation) a method based on the average Fair Market Value of Shares over a series of trading days. A Restricted Stock Unit Award Agreement may provide that vested Restricted Stock Units may be settled in a lump sum or in installments. A Restricted Stock Unit Award Agreement may provide that the distribution may occur or commence when all vesting conditions applicable to the Restricted Stock Units have been satisfied or have lapsed, or it may be deferred to any later date, subject to compliance with Section 409A. The amount of a deferred distribution may be increased by an interest factor or by dividend equivalents. Until an Award of Restricted Stock Units is settled, the number of such Restricted Stock Units shall be subject to adjustment pursuant to Section 13.</w:t>
      </w:r>
    </w:p>
    <w:p>
      <w:pPr>
        <w:spacing w:after="0" w:line="191" w:lineRule="exact"/>
        <w:rPr>
          <w:rFonts w:ascii="Arial" w:cs="Arial" w:eastAsia="Arial" w:hAnsi="Arial"/>
          <w:sz w:val="16"/>
          <w:szCs w:val="16"/>
          <w:color w:val="auto"/>
        </w:rPr>
      </w:pPr>
    </w:p>
    <w:p>
      <w:pPr>
        <w:ind w:left="660" w:right="60" w:hanging="6"/>
        <w:spacing w:after="0" w:line="293" w:lineRule="auto"/>
        <w:tabs>
          <w:tab w:leader="none" w:pos="948"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Death of Participant</w:t>
      </w:r>
      <w:r>
        <w:rPr>
          <w:rFonts w:ascii="Arial" w:cs="Arial" w:eastAsia="Arial" w:hAnsi="Arial"/>
          <w:sz w:val="16"/>
          <w:szCs w:val="16"/>
          <w:color w:val="auto"/>
        </w:rPr>
        <w:t>. Any Restricted Stock Unit Award that becomes payable after the Participant’s death shall be distributed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Participant’s beneficiary or beneficiaries. Each recipient of a Restricted Stock Unit Award under the Plan shall designate one or more beneficiaries for this purpose by filing the prescribed form with the Company. A beneficiary designation may be changed by filing the prescribed form with the Company at any time before the Participant’s death. If no beneficiary was designated</w:t>
      </w:r>
    </w:p>
    <w:p>
      <w:pPr>
        <w:spacing w:after="0" w:line="363"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3"/>
          <w:szCs w:val="13"/>
          <w:b w:val="1"/>
          <w:bCs w:val="1"/>
          <w:color w:val="auto"/>
        </w:rPr>
        <w:t>A-10</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1" w:right="1279" w:bottom="1440" w:gutter="0" w:footer="0" w:header="0"/>
        </w:sectPr>
      </w:pPr>
    </w:p>
    <w:bookmarkStart w:id="96" w:name="page97"/>
    <w:bookmarkEnd w:id="96"/>
    <w:p>
      <w:pPr>
        <w:spacing w:after="0"/>
        <w:rPr>
          <w:rFonts w:ascii="Arial" w:cs="Arial" w:eastAsia="Arial" w:hAnsi="Arial"/>
          <w:sz w:val="14"/>
          <w:szCs w:val="14"/>
          <w:color w:val="003366"/>
        </w:rPr>
      </w:pPr>
      <w:hyperlink w:anchor="page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60" w:right="1060"/>
        <w:spacing w:after="0" w:line="278" w:lineRule="auto"/>
        <w:rPr>
          <w:sz w:val="20"/>
          <w:szCs w:val="20"/>
          <w:color w:val="auto"/>
        </w:rPr>
      </w:pPr>
      <w:r>
        <w:rPr>
          <w:rFonts w:ascii="Arial" w:cs="Arial" w:eastAsia="Arial" w:hAnsi="Arial"/>
          <w:sz w:val="16"/>
          <w:szCs w:val="16"/>
          <w:color w:val="auto"/>
        </w:rPr>
        <w:t>or if no designated beneficiary survives the Participant, then any Restricted Stock Units Award that becomes payable after the Participant’s death shall be distributed to the Participant’s estate.</w:t>
      </w:r>
    </w:p>
    <w:p>
      <w:pPr>
        <w:spacing w:after="0" w:line="179" w:lineRule="exact"/>
        <w:rPr>
          <w:sz w:val="20"/>
          <w:szCs w:val="20"/>
          <w:color w:val="auto"/>
        </w:rPr>
      </w:pPr>
    </w:p>
    <w:p>
      <w:pPr>
        <w:ind w:left="660" w:right="1180" w:hanging="6"/>
        <w:spacing w:after="0" w:line="281" w:lineRule="auto"/>
        <w:tabs>
          <w:tab w:leader="none" w:pos="993"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Creditors’ Rights</w:t>
      </w:r>
      <w:r>
        <w:rPr>
          <w:rFonts w:ascii="Arial" w:cs="Arial" w:eastAsia="Arial" w:hAnsi="Arial"/>
          <w:sz w:val="16"/>
          <w:szCs w:val="16"/>
          <w:color w:val="auto"/>
        </w:rPr>
        <w:t>. A holder of Restricted Stock Units shall have no rights other than those of a general creditor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Restricted Stock Units represent an unfunded and unsecured obligation of the Company, subject to the terms and conditions of the applicable Restricted Stock Unit Award Agreement.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11.  CASH-BASED AWARDS</w:t>
      </w:r>
    </w:p>
    <w:p>
      <w:pPr>
        <w:spacing w:after="0" w:line="192" w:lineRule="exact"/>
        <w:rPr>
          <w:sz w:val="20"/>
          <w:szCs w:val="20"/>
          <w:color w:val="auto"/>
        </w:rPr>
      </w:pPr>
    </w:p>
    <w:p>
      <w:pPr>
        <w:ind w:left="660" w:right="760"/>
        <w:spacing w:after="0" w:line="266" w:lineRule="auto"/>
        <w:rPr>
          <w:sz w:val="20"/>
          <w:szCs w:val="20"/>
          <w:color w:val="auto"/>
        </w:rPr>
      </w:pPr>
      <w:r>
        <w:rPr>
          <w:rFonts w:ascii="Arial" w:cs="Arial" w:eastAsia="Arial" w:hAnsi="Arial"/>
          <w:sz w:val="16"/>
          <w:szCs w:val="16"/>
          <w:color w:val="auto"/>
        </w:rPr>
        <w:t>The Committee may, in its sole discretion, grant Cash-Based Awards to any Participant in such number or amount and upon such terms, and subject to such conditions, as the Committee shall determine at the time of grant and specify in an applicable Award Agreement. The Committee shall determine the maximum duration of the Cash-Based Award, the amount of cash which may be payable pursuant to the Cash-Based Award, the conditions upon which the Cash-Based Award shall become vested or payable, and such other provisions as the Committee shall determine. Each Cash-Based Award shall specify a cash-denominated payment amount, formula, or payment ranges as determined by the Committee. Payment, if any, with respect to a Cash-Based Award shall be made in accordance with the terms of the Award and may be made in cash or in Shares, as the Committee determines.</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12.  STOCK PURCHASE RIGHTS</w:t>
      </w:r>
    </w:p>
    <w:p>
      <w:pPr>
        <w:spacing w:after="0" w:line="192" w:lineRule="exact"/>
        <w:rPr>
          <w:sz w:val="20"/>
          <w:szCs w:val="20"/>
          <w:color w:val="auto"/>
        </w:rPr>
      </w:pPr>
    </w:p>
    <w:p>
      <w:pPr>
        <w:ind w:left="660" w:right="720"/>
        <w:spacing w:after="0" w:line="265" w:lineRule="auto"/>
        <w:rPr>
          <w:sz w:val="20"/>
          <w:szCs w:val="20"/>
          <w:color w:val="auto"/>
        </w:rPr>
      </w:pPr>
      <w:r>
        <w:rPr>
          <w:rFonts w:ascii="Arial" w:cs="Arial" w:eastAsia="Arial" w:hAnsi="Arial"/>
          <w:sz w:val="16"/>
          <w:szCs w:val="16"/>
          <w:color w:val="auto"/>
        </w:rPr>
        <w:t xml:space="preserve">The Committee may, in its sole discretion, grant Stock Purchase Rights under the Plan to any Participant that is an Employee in such number or amount and upon such terms, and subject to such conditions, as set forth in the ESPP Addendum. To the extent any term of the ESPP Addendum conflicts with this Plan, the terms of the ESPP Addendum shall control;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notwithstanding the foregoing, the issuance of Stock Purchase Rights pursuant to the ESPP Addendum and the purchase of Shares thereunder shall be subject to the terms, conditions and limitations set forth in Section 5 of the Plan, including but not limited to the maximum number of Shares that may be issued pursuant to the ESPP Addendum. The ESPP Addendum is intended to comply with the requirements of Section 423 of the Code to the maximum extent permitted by law as further set forth in the ESPP Addendum. The Committee may adopt such additional documents referenced in the ESPP Addendum, and may adopt such rules and conditions related to the ESPP Addendum, as the Committee deems necessary and advisable to administer the ESPP Addendum in accordance with its terms. The Committee may further take such actions and adopt such documents with respect to the ESPP Addendum as required for the ESPP Addendum to satisfy the requirements of Section 423 of the Code to the extent required by appliable law and as set forth in the ESPP Addendum. Payment with respect to a Stock Purchase Right shall be made in accordance with the terms of the ESPP Addendum and any other documents governing such Stock Purchase Rights adopted by the Committee. Shares issued under the ESPP Addendum shall reduce the number of Shares available under Section 5.</w:t>
      </w:r>
    </w:p>
    <w:p>
      <w:pPr>
        <w:spacing w:after="0" w:line="200" w:lineRule="exact"/>
        <w:rPr>
          <w:sz w:val="20"/>
          <w:szCs w:val="20"/>
          <w:color w:val="auto"/>
        </w:rPr>
      </w:pPr>
    </w:p>
    <w:p>
      <w:pPr>
        <w:spacing w:after="0" w:line="20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13.  ADJUSTMENT OF SHARES.</w:t>
      </w:r>
    </w:p>
    <w:p>
      <w:pPr>
        <w:spacing w:after="0" w:line="176" w:lineRule="exact"/>
        <w:rPr>
          <w:sz w:val="20"/>
          <w:szCs w:val="20"/>
          <w:color w:val="auto"/>
        </w:rPr>
      </w:pPr>
    </w:p>
    <w:p>
      <w:pPr>
        <w:ind w:left="660" w:right="1080" w:hanging="6"/>
        <w:spacing w:after="0" w:line="275" w:lineRule="auto"/>
        <w:tabs>
          <w:tab w:leader="none" w:pos="987"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Adjustments</w:t>
      </w:r>
      <w:r>
        <w:rPr>
          <w:rFonts w:ascii="Arial" w:cs="Arial" w:eastAsia="Arial" w:hAnsi="Arial"/>
          <w:sz w:val="16"/>
          <w:szCs w:val="16"/>
          <w:color w:val="auto"/>
        </w:rPr>
        <w:t>. In the event of a subdivision of the outstanding Stock, a declaration of a dividend payable in Shares, a</w:t>
      </w:r>
      <w:r>
        <w:rPr>
          <w:rFonts w:ascii="Arial" w:cs="Arial" w:eastAsia="Arial" w:hAnsi="Arial"/>
          <w:sz w:val="16"/>
          <w:szCs w:val="16"/>
          <w:i w:val="1"/>
          <w:iCs w:val="1"/>
          <w:color w:val="auto"/>
        </w:rPr>
        <w:t xml:space="preserve"> </w:t>
      </w:r>
      <w:r>
        <w:rPr>
          <w:rFonts w:ascii="Arial" w:cs="Arial" w:eastAsia="Arial" w:hAnsi="Arial"/>
          <w:sz w:val="16"/>
          <w:szCs w:val="16"/>
          <w:color w:val="auto"/>
        </w:rPr>
        <w:t>declaration of a dividend payable in a form other than Shares in an amount that has a material effect on the price of Shares, a combination or consolidation of the outstanding Stock (by reclassification or otherwise) into a lesser number of Shares, a recapitalization, a spin-off or a similar occurrence, the Committee shall make appropriate and equitable adjustments in:</w:t>
      </w:r>
    </w:p>
    <w:p>
      <w:pPr>
        <w:spacing w:after="0" w:line="185" w:lineRule="exact"/>
        <w:rPr>
          <w:rFonts w:ascii="Arial" w:cs="Arial" w:eastAsia="Arial" w:hAnsi="Arial"/>
          <w:sz w:val="16"/>
          <w:szCs w:val="16"/>
          <w:color w:val="auto"/>
        </w:rPr>
      </w:pPr>
    </w:p>
    <w:p>
      <w:pPr>
        <w:ind w:left="1460" w:hanging="446"/>
        <w:spacing w:after="0"/>
        <w:tabs>
          <w:tab w:leader="none" w:pos="1460"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 class(es) and number of securities available for future Awards and the limitations set forth under Section 5;</w:t>
      </w:r>
    </w:p>
    <w:p>
      <w:pPr>
        <w:spacing w:after="0" w:line="221" w:lineRule="exact"/>
        <w:rPr>
          <w:rFonts w:ascii="Arial" w:cs="Arial" w:eastAsia="Arial" w:hAnsi="Arial"/>
          <w:sz w:val="16"/>
          <w:szCs w:val="16"/>
          <w:color w:val="auto"/>
        </w:rPr>
      </w:pPr>
    </w:p>
    <w:p>
      <w:pPr>
        <w:ind w:left="1460" w:hanging="446"/>
        <w:spacing w:after="0"/>
        <w:tabs>
          <w:tab w:leader="none" w:pos="1460"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 class(es) and number of securities covered by each outstanding Award;</w:t>
      </w:r>
    </w:p>
    <w:p>
      <w:pPr>
        <w:spacing w:after="0" w:line="221" w:lineRule="exact"/>
        <w:rPr>
          <w:rFonts w:ascii="Arial" w:cs="Arial" w:eastAsia="Arial" w:hAnsi="Arial"/>
          <w:sz w:val="16"/>
          <w:szCs w:val="16"/>
          <w:color w:val="auto"/>
        </w:rPr>
      </w:pPr>
    </w:p>
    <w:p>
      <w:pPr>
        <w:ind w:left="1460" w:hanging="446"/>
        <w:spacing w:after="0"/>
        <w:tabs>
          <w:tab w:leader="none" w:pos="1460"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 Exercise Price under each outstanding Option and SAR; and</w:t>
      </w:r>
    </w:p>
    <w:p>
      <w:pPr>
        <w:spacing w:after="0" w:line="221" w:lineRule="exact"/>
        <w:rPr>
          <w:rFonts w:ascii="Arial" w:cs="Arial" w:eastAsia="Arial" w:hAnsi="Arial"/>
          <w:sz w:val="16"/>
          <w:szCs w:val="16"/>
          <w:color w:val="auto"/>
        </w:rPr>
      </w:pPr>
    </w:p>
    <w:p>
      <w:pPr>
        <w:ind w:left="1460" w:hanging="446"/>
        <w:spacing w:after="0"/>
        <w:tabs>
          <w:tab w:leader="none" w:pos="1460" w:val="left"/>
        </w:tabs>
        <w:numPr>
          <w:ilvl w:val="1"/>
          <w:numId w:val="75"/>
        </w:numPr>
        <w:rPr>
          <w:rFonts w:ascii="Arial" w:cs="Arial" w:eastAsia="Arial" w:hAnsi="Arial"/>
          <w:sz w:val="16"/>
          <w:szCs w:val="16"/>
          <w:color w:val="auto"/>
        </w:rPr>
      </w:pPr>
      <w:r>
        <w:rPr>
          <w:rFonts w:ascii="Arial" w:cs="Arial" w:eastAsia="Arial" w:hAnsi="Arial"/>
          <w:sz w:val="16"/>
          <w:szCs w:val="16"/>
          <w:color w:val="auto"/>
        </w:rPr>
        <w:t>Stock Purchase Rights to the extent set forth in the ESPP Addendum.</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Committee will make such adjustments, and its determination will be final, binding and conclusive.</w:t>
      </w:r>
    </w:p>
    <w:p>
      <w:pPr>
        <w:spacing w:after="0" w:line="219" w:lineRule="exact"/>
        <w:rPr>
          <w:sz w:val="20"/>
          <w:szCs w:val="20"/>
          <w:color w:val="auto"/>
        </w:rPr>
      </w:pPr>
    </w:p>
    <w:p>
      <w:pPr>
        <w:ind w:left="660" w:right="800" w:hanging="6"/>
        <w:spacing w:after="0" w:line="281" w:lineRule="auto"/>
        <w:tabs>
          <w:tab w:leader="none" w:pos="993"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Dissolution or Liquidation</w:t>
      </w:r>
      <w:r>
        <w:rPr>
          <w:rFonts w:ascii="Arial" w:cs="Arial" w:eastAsia="Arial" w:hAnsi="Arial"/>
          <w:sz w:val="16"/>
          <w:szCs w:val="16"/>
          <w:color w:val="auto"/>
        </w:rPr>
        <w:t>. To the extent not previously exercised or settled, Options, SARs, and Restricted Stock Units shall</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 immediately prior to the dissolution or liquidation of the Company and Stock Purchase Rights shall be subject to such treatment as set forth in the ESPP Addendum.</w:t>
      </w:r>
    </w:p>
    <w:p>
      <w:pPr>
        <w:spacing w:after="0" w:line="177" w:lineRule="exact"/>
        <w:rPr>
          <w:rFonts w:ascii="Arial" w:cs="Arial" w:eastAsia="Arial" w:hAnsi="Arial"/>
          <w:sz w:val="16"/>
          <w:szCs w:val="16"/>
          <w:color w:val="auto"/>
        </w:rPr>
      </w:pPr>
    </w:p>
    <w:p>
      <w:pPr>
        <w:ind w:left="660" w:right="800" w:hanging="6"/>
        <w:spacing w:after="0" w:line="281" w:lineRule="auto"/>
        <w:tabs>
          <w:tab w:leader="none" w:pos="984"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Merger or Reorganization</w:t>
      </w:r>
      <w:r>
        <w:rPr>
          <w:rFonts w:ascii="Arial" w:cs="Arial" w:eastAsia="Arial" w:hAnsi="Arial"/>
          <w:sz w:val="16"/>
          <w:szCs w:val="16"/>
          <w:color w:val="auto"/>
        </w:rPr>
        <w:t>. In the event that the Company is a party to a merger or other reorganization, outstanding Awards</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subject to the agreement of merger or reorganization. Subject to compliance with Section 409A, such agreement may provide for one or more of the following with respect to Awards other than Stock Purchase Rights, without limitation:</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840" w:type="dxa"/>
            <w:vAlign w:val="bottom"/>
          </w:tcPr>
          <w:p>
            <w:pPr>
              <w:ind w:left="660"/>
              <w:spacing w:after="0"/>
              <w:rPr>
                <w:sz w:val="20"/>
                <w:szCs w:val="20"/>
                <w:color w:val="auto"/>
              </w:rPr>
            </w:pPr>
            <w:r>
              <w:rPr>
                <w:rFonts w:ascii="Arial" w:cs="Arial" w:eastAsia="Arial" w:hAnsi="Arial"/>
                <w:sz w:val="13"/>
                <w:szCs w:val="13"/>
                <w:color w:val="auto"/>
              </w:rPr>
              <w:t>2022 Proxy Statement</w:t>
            </w:r>
          </w:p>
        </w:tc>
        <w:tc>
          <w:tcPr>
            <w:tcW w:w="4880" w:type="dxa"/>
            <w:vAlign w:val="bottom"/>
          </w:tcPr>
          <w:p>
            <w:pPr>
              <w:ind w:left="3920"/>
              <w:spacing w:after="0"/>
              <w:rPr>
                <w:sz w:val="20"/>
                <w:szCs w:val="20"/>
                <w:color w:val="auto"/>
              </w:rPr>
            </w:pPr>
            <w:r>
              <w:rPr>
                <w:rFonts w:ascii="Arial" w:cs="Arial" w:eastAsia="Arial" w:hAnsi="Arial"/>
                <w:sz w:val="13"/>
                <w:szCs w:val="13"/>
                <w:b w:val="1"/>
                <w:bCs w:val="1"/>
                <w:color w:val="auto"/>
              </w:rPr>
              <w:t>A-11</w:t>
            </w:r>
          </w:p>
        </w:tc>
      </w:tr>
      <w:tr>
        <w:trPr>
          <w:trHeight w:val="172"/>
        </w:trPr>
        <w:tc>
          <w:tcPr>
            <w:tcW w:w="5840" w:type="dxa"/>
            <w:vAlign w:val="bottom"/>
            <w:tcBorders>
              <w:bottom w:val="single" w:sz="8" w:color="9A9A9A"/>
            </w:tcBorders>
          </w:tcPr>
          <w:p>
            <w:pPr>
              <w:spacing w:after="0"/>
              <w:rPr>
                <w:sz w:val="14"/>
                <w:szCs w:val="14"/>
                <w:color w:val="auto"/>
              </w:rPr>
            </w:pPr>
          </w:p>
        </w:tc>
        <w:tc>
          <w:tcPr>
            <w:tcW w:w="488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97" w:name="page98"/>
    <w:bookmarkEnd w:id="97"/>
    <w:p>
      <w:pPr>
        <w:spacing w:after="0"/>
        <w:rPr>
          <w:rFonts w:ascii="Arial" w:cs="Arial" w:eastAsia="Arial" w:hAnsi="Arial"/>
          <w:sz w:val="14"/>
          <w:szCs w:val="14"/>
          <w:color w:val="003366"/>
        </w:rPr>
      </w:pPr>
      <w:hyperlink w:anchor="page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460" w:hanging="446"/>
        <w:spacing w:after="0"/>
        <w:tabs>
          <w:tab w:leader="none" w:pos="1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continuation of the outstanding Awards by the Company, if the Company is a surviving corporation;</w:t>
      </w:r>
    </w:p>
    <w:p>
      <w:pPr>
        <w:spacing w:after="0" w:line="248" w:lineRule="exact"/>
        <w:rPr>
          <w:rFonts w:ascii="Arial" w:cs="Arial" w:eastAsia="Arial" w:hAnsi="Arial"/>
          <w:sz w:val="16"/>
          <w:szCs w:val="16"/>
          <w:color w:val="auto"/>
        </w:rPr>
      </w:pPr>
    </w:p>
    <w:p>
      <w:pPr>
        <w:ind w:left="1460" w:hanging="446"/>
        <w:spacing w:after="0"/>
        <w:tabs>
          <w:tab w:leader="none" w:pos="1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assumption of the outstanding Awards by the surviving corporation or its parent or subsidiary;</w:t>
      </w:r>
    </w:p>
    <w:p>
      <w:pPr>
        <w:spacing w:after="0" w:line="248" w:lineRule="exact"/>
        <w:rPr>
          <w:rFonts w:ascii="Arial" w:cs="Arial" w:eastAsia="Arial" w:hAnsi="Arial"/>
          <w:sz w:val="16"/>
          <w:szCs w:val="16"/>
          <w:color w:val="auto"/>
        </w:rPr>
      </w:pPr>
    </w:p>
    <w:p>
      <w:pPr>
        <w:ind w:left="1460" w:hanging="446"/>
        <w:spacing w:after="0"/>
        <w:tabs>
          <w:tab w:leader="none" w:pos="1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substitution by the surviving corporation or its parent or subsidiary of its own awards for the outstanding Awards;</w:t>
      </w:r>
    </w:p>
    <w:p>
      <w:pPr>
        <w:spacing w:after="0" w:line="248" w:lineRule="exact"/>
        <w:rPr>
          <w:rFonts w:ascii="Arial" w:cs="Arial" w:eastAsia="Arial" w:hAnsi="Arial"/>
          <w:sz w:val="16"/>
          <w:szCs w:val="16"/>
          <w:color w:val="auto"/>
        </w:rPr>
      </w:pPr>
    </w:p>
    <w:p>
      <w:pPr>
        <w:ind w:left="1460" w:hanging="446"/>
        <w:spacing w:after="0" w:line="295" w:lineRule="auto"/>
        <w:tabs>
          <w:tab w:leader="none" w:pos="1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Immediate vesting, exercisability, or settlement of outstanding Awards followed by the cancellation of such Awards upon or immediately prior to the effectiveness of such transaction;</w:t>
      </w:r>
    </w:p>
    <w:p>
      <w:pPr>
        <w:spacing w:after="0" w:line="209" w:lineRule="exact"/>
        <w:rPr>
          <w:rFonts w:ascii="Arial" w:cs="Arial" w:eastAsia="Arial" w:hAnsi="Arial"/>
          <w:sz w:val="16"/>
          <w:szCs w:val="16"/>
          <w:color w:val="auto"/>
        </w:rPr>
      </w:pPr>
    </w:p>
    <w:p>
      <w:pPr>
        <w:ind w:left="1460" w:right="140" w:hanging="446"/>
        <w:spacing w:after="0" w:line="288" w:lineRule="auto"/>
        <w:tabs>
          <w:tab w:leader="none" w:pos="1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Cancellation of the Award, to the extent not vested or not exercised prior to the effective time of the merger or reorganization, in exchange for such cash or equity consideration (including no consideration) as the Committee, in its sole discretion, may consider appropriate; or</w:t>
      </w:r>
    </w:p>
    <w:p>
      <w:pPr>
        <w:spacing w:after="0" w:line="201" w:lineRule="exact"/>
        <w:rPr>
          <w:rFonts w:ascii="Arial" w:cs="Arial" w:eastAsia="Arial" w:hAnsi="Arial"/>
          <w:sz w:val="16"/>
          <w:szCs w:val="16"/>
          <w:color w:val="auto"/>
        </w:rPr>
      </w:pPr>
    </w:p>
    <w:p>
      <w:pPr>
        <w:ind w:left="1460" w:right="20" w:hanging="446"/>
        <w:spacing w:after="0" w:line="283" w:lineRule="auto"/>
        <w:tabs>
          <w:tab w:leader="none" w:pos="1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Settlement of the intrinsic value of the outstanding Awards (whether or not then vested or exercisable) in cash or cash equivalents or equity (including cash or equity subject to deferred vesting and delivery consistent with the vesting restrictions applicable to such Awards or the underlying Shares) followed by the cancellation of such Awards (and, for the avoidance of doubt, if as of the date of the occurrence of the transaction the Committee determines in good faith that no amount would have been attained upon the exercise of such Award or realization of the Participant’s rights, then such Award may be terminated by the Company without payment), provided that any such amount may be delayed to the same extent that payment of consideration to the holders of Stock in connection with the merger or reorganization is delayed as a result of escrows, earnouts, holdbacks or other contingencies;</w:t>
      </w:r>
    </w:p>
    <w:p>
      <w:pPr>
        <w:spacing w:after="0" w:line="208" w:lineRule="exact"/>
        <w:rPr>
          <w:sz w:val="20"/>
          <w:szCs w:val="20"/>
          <w:color w:val="auto"/>
        </w:rPr>
      </w:pPr>
    </w:p>
    <w:p>
      <w:pPr>
        <w:ind w:left="660" w:right="260"/>
        <w:spacing w:after="0" w:line="286" w:lineRule="auto"/>
        <w:rPr>
          <w:sz w:val="20"/>
          <w:szCs w:val="20"/>
          <w:color w:val="auto"/>
        </w:rPr>
      </w:pPr>
      <w:r>
        <w:rPr>
          <w:rFonts w:ascii="Arial" w:cs="Arial" w:eastAsia="Arial" w:hAnsi="Arial"/>
          <w:sz w:val="16"/>
          <w:szCs w:val="16"/>
          <w:color w:val="auto"/>
        </w:rPr>
        <w:t>in each case without the Participant’s consent. Any acceleration of payment of an amount that is subject to Section 409A will be delayed, if necessary, until the earliest time that such payment would be permissible under Section 409A without triggering any additional taxes applicable under Section 409A. In addition, in the event that the Company is a party to a merger or other reorganization, outstanding Stock Purchase Rights shall be subject to the terms of the ESPP Addendum.</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will have no obligation to treat all Awards, all Awards held by a Participant, or all Awards of the same type, similarly.</w:t>
      </w:r>
    </w:p>
    <w:p>
      <w:pPr>
        <w:spacing w:after="0" w:line="232" w:lineRule="exact"/>
        <w:rPr>
          <w:sz w:val="20"/>
          <w:szCs w:val="20"/>
          <w:color w:val="auto"/>
        </w:rPr>
      </w:pPr>
    </w:p>
    <w:p>
      <w:pPr>
        <w:ind w:left="660" w:right="60" w:hanging="6"/>
        <w:spacing w:after="0" w:line="283" w:lineRule="auto"/>
        <w:tabs>
          <w:tab w:leader="none" w:pos="993"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Change in Control</w:t>
      </w:r>
      <w:r>
        <w:rPr>
          <w:rFonts w:ascii="Arial" w:cs="Arial" w:eastAsia="Arial" w:hAnsi="Arial"/>
          <w:sz w:val="16"/>
          <w:szCs w:val="16"/>
          <w:color w:val="auto"/>
        </w:rPr>
        <w:t>. In addition to (and without limiting) the actions that may be taken under Section 12(c), in the event of a</w:t>
      </w:r>
      <w:r>
        <w:rPr>
          <w:rFonts w:ascii="Arial" w:cs="Arial" w:eastAsia="Arial" w:hAnsi="Arial"/>
          <w:sz w:val="16"/>
          <w:szCs w:val="16"/>
          <w:i w:val="1"/>
          <w:iCs w:val="1"/>
          <w:color w:val="auto"/>
        </w:rPr>
        <w:t xml:space="preserve"> </w:t>
      </w:r>
      <w:r>
        <w:rPr>
          <w:rFonts w:ascii="Arial" w:cs="Arial" w:eastAsia="Arial" w:hAnsi="Arial"/>
          <w:sz w:val="16"/>
          <w:szCs w:val="16"/>
          <w:color w:val="auto"/>
        </w:rPr>
        <w:t>Change in Control in which the surviving corporation or acquiring corporation (or the surviving or acquiring corporation’s parent company) does not continue, assume or settle (subject to vesting) outstanding Awards (other than Stock Purchase Rights), or substitute similar stock awards for outstanding Awards (other than Stock Purchase Rights), then with respect to any such Awards that have not been continued, assumed, settled or substituted, the Committee may determine, at the time of granting an Award or thereafter, that the vesting (and exercisability, if applicable) of any such Awards (or portion thereof) will be accelerated in full (and with respect to any such Awards subject to performance-based vesting, that vesting shall be deemed satisfied at the target level or based on actual performance measured in accordance with the applicable performance goals as of the date of the Change in Control, or the greater thereof) to a date prior to the effective time of the Change in Control (contingent upon the closing or completion of the Change in Control) as the Committee will determine (or, if the Committee does not determine such a date, to the date that is five days prior to the effective time of the Change in Control), and any reacquisition or repurchase rights held by the Company with respect to such vested Awards will lapse (contingent upon the closing or completion of the Change in Control). In addition, the Committee may determine, at the time of granting an Award (other than Stock Purchase Rights) or thereafter, that such Award shall become exercisable or vested as to all or part of the Shares subject to such Award in the event that a Change in Control occurs with respect to the Company. The Committee will have no obligation to treat all Awards, all Awards held by a Participant, or all Awards of the same type, similarly. Notwithstanding the foregoing, upon a Change in Control Stock Purchase Rights shall be subject to the terms of the ESPP Addendum.</w:t>
      </w:r>
    </w:p>
    <w:p>
      <w:pPr>
        <w:spacing w:after="0" w:line="199" w:lineRule="exact"/>
        <w:rPr>
          <w:rFonts w:ascii="Arial" w:cs="Arial" w:eastAsia="Arial" w:hAnsi="Arial"/>
          <w:sz w:val="16"/>
          <w:szCs w:val="16"/>
          <w:color w:val="auto"/>
        </w:rPr>
      </w:pPr>
    </w:p>
    <w:p>
      <w:pPr>
        <w:ind w:left="660" w:right="20" w:hanging="6"/>
        <w:spacing w:after="0" w:line="286" w:lineRule="auto"/>
        <w:tabs>
          <w:tab w:leader="none" w:pos="993"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Reservation of Rights</w:t>
      </w:r>
      <w:r>
        <w:rPr>
          <w:rFonts w:ascii="Arial" w:cs="Arial" w:eastAsia="Arial" w:hAnsi="Arial"/>
          <w:sz w:val="16"/>
          <w:szCs w:val="16"/>
          <w:color w:val="auto"/>
        </w:rPr>
        <w:t>. Except as provided in this Section 13, a Participant shall have no rights by reason of any subdivision</w:t>
      </w:r>
      <w:r>
        <w:rPr>
          <w:rFonts w:ascii="Arial" w:cs="Arial" w:eastAsia="Arial" w:hAnsi="Arial"/>
          <w:sz w:val="16"/>
          <w:szCs w:val="16"/>
          <w:i w:val="1"/>
          <w:iCs w:val="1"/>
          <w:color w:val="auto"/>
        </w:rPr>
        <w:t xml:space="preserve"> </w:t>
      </w:r>
      <w:r>
        <w:rPr>
          <w:rFonts w:ascii="Arial" w:cs="Arial" w:eastAsia="Arial" w:hAnsi="Arial"/>
          <w:sz w:val="16"/>
          <w:szCs w:val="16"/>
          <w:color w:val="auto"/>
        </w:rPr>
        <w:t>or consolidation of Shares of stock of any class, the payment of any dividend or any other increase or decrease in the number of Shares of stock of any class. Any issue by the Company of Shares of stock of any class, or securities convertible into Shares of stock of any class, shall not affect, and no adjustment by reason thereof shall be made with respect to, the number or Exercise Price (or purchase price with respect to any Stock Purchase Right) of Shares subject to an Award. The grant of an Award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 In the event of any change affecting the Shares or the Exercise Price (or purchase price with respect to any Stock Purchase Right) of Shares subject to an Award, including a merger or other reorganization, for reasons of administrative</w:t>
      </w:r>
    </w:p>
    <w:p>
      <w:pPr>
        <w:sectPr>
          <w:pgSz w:w="11900" w:h="16838" w:orient="portrait"/>
          <w:cols w:equalWidth="0" w:num="1">
            <w:col w:w="10040"/>
          </w:cols>
          <w:pgMar w:left="580" w:top="131" w:right="1279" w:bottom="1440" w:gutter="0" w:footer="0" w:header="0"/>
        </w:sectPr>
      </w:pPr>
    </w:p>
    <w:p>
      <w:pPr>
        <w:spacing w:after="0" w:line="368"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3"/>
          <w:szCs w:val="13"/>
          <w:b w:val="1"/>
          <w:bCs w:val="1"/>
          <w:color w:val="auto"/>
        </w:rPr>
        <w:t>A-12</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1" w:right="1279" w:bottom="1440" w:gutter="0" w:footer="0" w:header="0"/>
          <w:type w:val="continuous"/>
        </w:sectPr>
      </w:pPr>
    </w:p>
    <w:bookmarkStart w:id="98" w:name="page99"/>
    <w:bookmarkEnd w:id="98"/>
    <w:p>
      <w:pPr>
        <w:spacing w:after="0"/>
        <w:rPr>
          <w:rFonts w:ascii="Arial" w:cs="Arial" w:eastAsia="Arial" w:hAnsi="Arial"/>
          <w:sz w:val="14"/>
          <w:szCs w:val="14"/>
          <w:color w:val="003366"/>
        </w:rPr>
      </w:pPr>
      <w:hyperlink w:anchor="page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left="660" w:right="900"/>
        <w:spacing w:after="0" w:line="271" w:lineRule="auto"/>
        <w:rPr>
          <w:sz w:val="20"/>
          <w:szCs w:val="20"/>
          <w:color w:val="auto"/>
        </w:rPr>
      </w:pPr>
      <w:r>
        <w:rPr>
          <w:rFonts w:ascii="Arial" w:cs="Arial" w:eastAsia="Arial" w:hAnsi="Arial"/>
          <w:sz w:val="16"/>
          <w:szCs w:val="16"/>
          <w:color w:val="auto"/>
        </w:rPr>
        <w:t>convenience, the Company in its sole discretion may refuse to permit the exercise of any Award during a period of up to 30 days prior to the occurrence of such event. Notwithstanding the foregoing, Stock Purchase Rights shall be subject to the terms of the ESPP Addendum.</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14.  DEFERRAL OF AWARDS.</w:t>
      </w:r>
    </w:p>
    <w:p>
      <w:pPr>
        <w:spacing w:after="0" w:line="176" w:lineRule="exact"/>
        <w:rPr>
          <w:sz w:val="20"/>
          <w:szCs w:val="20"/>
          <w:color w:val="auto"/>
        </w:rPr>
      </w:pPr>
    </w:p>
    <w:p>
      <w:pPr>
        <w:ind w:left="660" w:right="820" w:hanging="6"/>
        <w:spacing w:after="0" w:line="298" w:lineRule="auto"/>
        <w:tabs>
          <w:tab w:leader="none" w:pos="993"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Committee Powers</w:t>
      </w:r>
      <w:r>
        <w:rPr>
          <w:rFonts w:ascii="Arial" w:cs="Arial" w:eastAsia="Arial" w:hAnsi="Arial"/>
          <w:sz w:val="16"/>
          <w:szCs w:val="16"/>
          <w:color w:val="auto"/>
        </w:rPr>
        <w:t>. Subject to compliance with Section 409A, the Committee (in its sole discretion) may permit or require a</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to:</w:t>
      </w:r>
    </w:p>
    <w:p>
      <w:pPr>
        <w:spacing w:after="0" w:line="193" w:lineRule="exact"/>
        <w:rPr>
          <w:rFonts w:ascii="Arial" w:cs="Arial" w:eastAsia="Arial" w:hAnsi="Arial"/>
          <w:sz w:val="16"/>
          <w:szCs w:val="16"/>
          <w:color w:val="auto"/>
        </w:rPr>
      </w:pPr>
    </w:p>
    <w:p>
      <w:pPr>
        <w:ind w:left="1460" w:right="800" w:hanging="446"/>
        <w:spacing w:after="0" w:line="288" w:lineRule="auto"/>
        <w:tabs>
          <w:tab w:leader="none" w:pos="1460" w:val="left"/>
        </w:tabs>
        <w:numPr>
          <w:ilvl w:val="1"/>
          <w:numId w:val="79"/>
        </w:numPr>
        <w:rPr>
          <w:rFonts w:ascii="Arial" w:cs="Arial" w:eastAsia="Arial" w:hAnsi="Arial"/>
          <w:sz w:val="16"/>
          <w:szCs w:val="16"/>
          <w:color w:val="auto"/>
        </w:rPr>
      </w:pPr>
      <w:r>
        <w:rPr>
          <w:rFonts w:ascii="Arial" w:cs="Arial" w:eastAsia="Arial" w:hAnsi="Arial"/>
          <w:sz w:val="16"/>
          <w:szCs w:val="16"/>
          <w:color w:val="auto"/>
        </w:rPr>
        <w:t>Have cash that otherwise would be paid to such Participant as a result of the exercise of a SAR or the settlement of Restricted Stock Units credited to a deferred compensation account established for such Participant by the Committee as an entry on the Company’s books;</w:t>
      </w:r>
    </w:p>
    <w:p>
      <w:pPr>
        <w:spacing w:after="0" w:line="201" w:lineRule="exact"/>
        <w:rPr>
          <w:rFonts w:ascii="Arial" w:cs="Arial" w:eastAsia="Arial" w:hAnsi="Arial"/>
          <w:sz w:val="16"/>
          <w:szCs w:val="16"/>
          <w:color w:val="auto"/>
        </w:rPr>
      </w:pPr>
    </w:p>
    <w:p>
      <w:pPr>
        <w:ind w:left="1460" w:right="1100" w:hanging="446"/>
        <w:spacing w:after="0" w:line="295" w:lineRule="auto"/>
        <w:tabs>
          <w:tab w:leader="none" w:pos="1460" w:val="left"/>
        </w:tabs>
        <w:numPr>
          <w:ilvl w:val="1"/>
          <w:numId w:val="79"/>
        </w:numPr>
        <w:rPr>
          <w:rFonts w:ascii="Arial" w:cs="Arial" w:eastAsia="Arial" w:hAnsi="Arial"/>
          <w:sz w:val="16"/>
          <w:szCs w:val="16"/>
          <w:color w:val="auto"/>
        </w:rPr>
      </w:pPr>
      <w:r>
        <w:rPr>
          <w:rFonts w:ascii="Arial" w:cs="Arial" w:eastAsia="Arial" w:hAnsi="Arial"/>
          <w:sz w:val="16"/>
          <w:szCs w:val="16"/>
          <w:color w:val="auto"/>
        </w:rPr>
        <w:t>Have Shares that otherwise would be delivered to such Participant as a result of the exercise of an Option or SAR converted into an equal number of Restricted Stock Units; or</w:t>
      </w:r>
    </w:p>
    <w:p>
      <w:pPr>
        <w:spacing w:after="0" w:line="195" w:lineRule="exact"/>
        <w:rPr>
          <w:rFonts w:ascii="Arial" w:cs="Arial" w:eastAsia="Arial" w:hAnsi="Arial"/>
          <w:sz w:val="16"/>
          <w:szCs w:val="16"/>
          <w:color w:val="auto"/>
        </w:rPr>
      </w:pPr>
    </w:p>
    <w:p>
      <w:pPr>
        <w:ind w:left="1460" w:right="920" w:hanging="446"/>
        <w:spacing w:after="0" w:line="288" w:lineRule="auto"/>
        <w:tabs>
          <w:tab w:leader="none" w:pos="1460" w:val="left"/>
        </w:tabs>
        <w:numPr>
          <w:ilvl w:val="1"/>
          <w:numId w:val="79"/>
        </w:numPr>
        <w:rPr>
          <w:rFonts w:ascii="Arial" w:cs="Arial" w:eastAsia="Arial" w:hAnsi="Arial"/>
          <w:sz w:val="16"/>
          <w:szCs w:val="16"/>
          <w:color w:val="auto"/>
        </w:rPr>
      </w:pPr>
      <w:r>
        <w:rPr>
          <w:rFonts w:ascii="Arial" w:cs="Arial" w:eastAsia="Arial" w:hAnsi="Arial"/>
          <w:sz w:val="16"/>
          <w:szCs w:val="16"/>
          <w:color w:val="auto"/>
        </w:rPr>
        <w:t>Have Shares that otherwise would be delivered to such Participant as a result of the exercise of an Option or SAR or the settlement of Restricted Stock Units converted into amounts credited to a deferred compensation account established for such Participant by the Committee as an entry on the Company’s books.</w:t>
      </w:r>
    </w:p>
    <w:p>
      <w:pPr>
        <w:spacing w:after="0" w:line="188" w:lineRule="exact"/>
        <w:rPr>
          <w:sz w:val="20"/>
          <w:szCs w:val="20"/>
          <w:color w:val="auto"/>
        </w:rPr>
      </w:pPr>
    </w:p>
    <w:p>
      <w:pPr>
        <w:ind w:left="660" w:right="720"/>
        <w:spacing w:after="0" w:line="278" w:lineRule="auto"/>
        <w:rPr>
          <w:sz w:val="20"/>
          <w:szCs w:val="20"/>
          <w:color w:val="auto"/>
        </w:rPr>
      </w:pPr>
      <w:r>
        <w:rPr>
          <w:rFonts w:ascii="Arial" w:cs="Arial" w:eastAsia="Arial" w:hAnsi="Arial"/>
          <w:sz w:val="16"/>
          <w:szCs w:val="16"/>
          <w:color w:val="auto"/>
        </w:rPr>
        <w:t>Such amounts shall be determined by reference to the Fair Market Value of such Shares as of the date when they otherwise would have been delivered to such Participant.</w:t>
      </w:r>
    </w:p>
    <w:p>
      <w:pPr>
        <w:spacing w:after="0" w:line="179" w:lineRule="exact"/>
        <w:rPr>
          <w:sz w:val="20"/>
          <w:szCs w:val="20"/>
          <w:color w:val="auto"/>
        </w:rPr>
      </w:pPr>
    </w:p>
    <w:p>
      <w:pPr>
        <w:ind w:left="660" w:right="780" w:hanging="6"/>
        <w:spacing w:after="0" w:line="269" w:lineRule="auto"/>
        <w:tabs>
          <w:tab w:leader="none" w:pos="993"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General Rules</w:t>
      </w:r>
      <w:r>
        <w:rPr>
          <w:rFonts w:ascii="Arial" w:cs="Arial" w:eastAsia="Arial" w:hAnsi="Arial"/>
          <w:sz w:val="16"/>
          <w:szCs w:val="16"/>
          <w:color w:val="auto"/>
        </w:rPr>
        <w:t>. A deferred compensation account established under this Section 14 may be credited with interest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forms of investment return, as determined by the Committee. A Participant for whom such an account is established shall have no rights other than those of a general creditor of the Company. Such an account shall represent an unfunded and unsecured obligation of the Company and shall be subject to the terms and conditions of the applicable agreement between such Participant and the Company. If the deferral or conversion of Awards is permitted or required, the Committee (in its sole discretion) may establish rules, procedures, and forms pertaining to such Awards, including (without limitation) the settlement of deferred compensation accounts established under this Section 14.</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15.  AWARDS UNDER OTHER PLANS.</w:t>
      </w:r>
    </w:p>
    <w:p>
      <w:pPr>
        <w:spacing w:after="0" w:line="192" w:lineRule="exact"/>
        <w:rPr>
          <w:sz w:val="20"/>
          <w:szCs w:val="20"/>
          <w:color w:val="auto"/>
        </w:rPr>
      </w:pPr>
    </w:p>
    <w:p>
      <w:pPr>
        <w:jc w:val="both"/>
        <w:ind w:left="660" w:right="840"/>
        <w:spacing w:after="0" w:line="271" w:lineRule="auto"/>
        <w:rPr>
          <w:sz w:val="20"/>
          <w:szCs w:val="20"/>
          <w:color w:val="auto"/>
        </w:rPr>
      </w:pPr>
      <w:r>
        <w:rPr>
          <w:rFonts w:ascii="Arial" w:cs="Arial" w:eastAsia="Arial" w:hAnsi="Arial"/>
          <w:sz w:val="16"/>
          <w:szCs w:val="16"/>
          <w:color w:val="auto"/>
        </w:rPr>
        <w:t>The Company may grant awards under other plans or programs. Such awards may be settled in the form of Shares issued under the Plan. Such Shares shall be treated for all purposes under the Plan like Shares issued in settlement of Restricted Stock Units and shall, when issued, reduce the number of Shares available under Section 5.</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16.  PAYMENT OF DIRECTOR’S FEES IN SECURITIES.</w:t>
      </w:r>
    </w:p>
    <w:p>
      <w:pPr>
        <w:spacing w:after="0" w:line="176" w:lineRule="exact"/>
        <w:rPr>
          <w:sz w:val="20"/>
          <w:szCs w:val="20"/>
          <w:color w:val="auto"/>
        </w:rPr>
      </w:pPr>
    </w:p>
    <w:p>
      <w:pPr>
        <w:ind w:left="660" w:right="1060" w:hanging="6"/>
        <w:spacing w:after="0" w:line="298" w:lineRule="auto"/>
        <w:tabs>
          <w:tab w:leader="none" w:pos="993"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Effective Date</w:t>
      </w:r>
      <w:r>
        <w:rPr>
          <w:rFonts w:ascii="Arial" w:cs="Arial" w:eastAsia="Arial" w:hAnsi="Arial"/>
          <w:sz w:val="16"/>
          <w:szCs w:val="16"/>
          <w:color w:val="auto"/>
        </w:rPr>
        <w:t>. No provision of this Section 16 shall be effective unless and until the Board has determined to implement</w:t>
      </w:r>
      <w:r>
        <w:rPr>
          <w:rFonts w:ascii="Arial" w:cs="Arial" w:eastAsia="Arial" w:hAnsi="Arial"/>
          <w:sz w:val="16"/>
          <w:szCs w:val="16"/>
          <w:i w:val="1"/>
          <w:iCs w:val="1"/>
          <w:color w:val="auto"/>
        </w:rPr>
        <w:t xml:space="preserve"> </w:t>
      </w:r>
      <w:r>
        <w:rPr>
          <w:rFonts w:ascii="Arial" w:cs="Arial" w:eastAsia="Arial" w:hAnsi="Arial"/>
          <w:sz w:val="16"/>
          <w:szCs w:val="16"/>
          <w:color w:val="auto"/>
        </w:rPr>
        <w:t>such provision.</w:t>
      </w:r>
    </w:p>
    <w:p>
      <w:pPr>
        <w:spacing w:after="0" w:line="164" w:lineRule="exact"/>
        <w:rPr>
          <w:rFonts w:ascii="Arial" w:cs="Arial" w:eastAsia="Arial" w:hAnsi="Arial"/>
          <w:sz w:val="16"/>
          <w:szCs w:val="16"/>
          <w:color w:val="auto"/>
        </w:rPr>
      </w:pPr>
    </w:p>
    <w:p>
      <w:pPr>
        <w:ind w:left="660" w:right="680" w:hanging="6"/>
        <w:spacing w:after="0" w:line="272" w:lineRule="auto"/>
        <w:tabs>
          <w:tab w:leader="none" w:pos="993"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Elections to Receive NSOs, SARs, Restricted Shares, or Restricted Stock Units</w:t>
      </w:r>
      <w:r>
        <w:rPr>
          <w:rFonts w:ascii="Arial" w:cs="Arial" w:eastAsia="Arial" w:hAnsi="Arial"/>
          <w:sz w:val="16"/>
          <w:szCs w:val="16"/>
          <w:color w:val="auto"/>
        </w:rPr>
        <w:t>. An Outside Director may elect to receive his</w:t>
      </w:r>
      <w:r>
        <w:rPr>
          <w:rFonts w:ascii="Arial" w:cs="Arial" w:eastAsia="Arial" w:hAnsi="Arial"/>
          <w:sz w:val="16"/>
          <w:szCs w:val="16"/>
          <w:i w:val="1"/>
          <w:iCs w:val="1"/>
          <w:color w:val="auto"/>
        </w:rPr>
        <w:t xml:space="preserve"> </w:t>
      </w:r>
      <w:r>
        <w:rPr>
          <w:rFonts w:ascii="Arial" w:cs="Arial" w:eastAsia="Arial" w:hAnsi="Arial"/>
          <w:sz w:val="16"/>
          <w:szCs w:val="16"/>
          <w:color w:val="auto"/>
        </w:rPr>
        <w:t>or her annual retainer payments and/or meeting fees from the Company in the form of cash, NSOs, SARs, Restricted Shares, Restricted Stock Units, or a combination thereof, as determined by the Board. Alternatively, the Board may mandate payment in any of such alternative forms. Such NSOs, SARs, Restricted Shares, and Restricted Stock Units shall be issued under the Plan. An election under this Section 16 shall be filed with the Company on the prescribed form.</w:t>
      </w:r>
    </w:p>
    <w:p>
      <w:pPr>
        <w:spacing w:after="0" w:line="185" w:lineRule="exact"/>
        <w:rPr>
          <w:rFonts w:ascii="Arial" w:cs="Arial" w:eastAsia="Arial" w:hAnsi="Arial"/>
          <w:sz w:val="16"/>
          <w:szCs w:val="16"/>
          <w:color w:val="auto"/>
        </w:rPr>
      </w:pPr>
    </w:p>
    <w:p>
      <w:pPr>
        <w:ind w:left="660" w:right="960" w:hanging="6"/>
        <w:spacing w:after="0" w:line="275" w:lineRule="auto"/>
        <w:tabs>
          <w:tab w:leader="none" w:pos="984"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Number and Terms of NSOs, SARs, Restricted Shares or Restricted Stock Units</w:t>
      </w:r>
      <w:r>
        <w:rPr>
          <w:rFonts w:ascii="Arial" w:cs="Arial" w:eastAsia="Arial" w:hAnsi="Arial"/>
          <w:sz w:val="16"/>
          <w:szCs w:val="16"/>
          <w:color w:val="auto"/>
        </w:rPr>
        <w:t>. The number of NSOs, SARs,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or Restricted Stock Units to be granted to Outside Directors in lieu of annual retainers and meeting fees that would otherwise be paid in cash shall be calculated in a manner determined by the Board. The terms of such NSOs, SARs, Restricted Shares, or Restricted Stock Units shall also be determined by the Board.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17.  LEGAL AND REGULATORY REQUIREMENTS.</w:t>
      </w:r>
    </w:p>
    <w:p>
      <w:pPr>
        <w:spacing w:after="0" w:line="192" w:lineRule="exact"/>
        <w:rPr>
          <w:sz w:val="20"/>
          <w:szCs w:val="20"/>
          <w:color w:val="auto"/>
        </w:rPr>
      </w:pPr>
    </w:p>
    <w:p>
      <w:pPr>
        <w:ind w:left="660" w:right="800"/>
        <w:spacing w:after="0" w:line="271" w:lineRule="auto"/>
        <w:rPr>
          <w:sz w:val="20"/>
          <w:szCs w:val="20"/>
          <w:color w:val="auto"/>
        </w:rPr>
      </w:pPr>
      <w:r>
        <w:rPr>
          <w:rFonts w:ascii="Arial" w:cs="Arial" w:eastAsia="Arial" w:hAnsi="Arial"/>
          <w:sz w:val="16"/>
          <w:szCs w:val="16"/>
          <w:color w:val="auto"/>
        </w:rPr>
        <w:t>Shares shall not be issued under the Plan unless the issuance and delivery of such Shares complies with (or is exempt from) all applicable requirements of law, including (without limitation) the United States Securities Act, state securities laws and regulations and the regulations of any stock exchange on which the Company’s securities may then be listed, and the Company has obtained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840" w:type="dxa"/>
            <w:vAlign w:val="bottom"/>
          </w:tcPr>
          <w:p>
            <w:pPr>
              <w:ind w:left="660"/>
              <w:spacing w:after="0"/>
              <w:rPr>
                <w:sz w:val="20"/>
                <w:szCs w:val="20"/>
                <w:color w:val="auto"/>
              </w:rPr>
            </w:pPr>
            <w:r>
              <w:rPr>
                <w:rFonts w:ascii="Arial" w:cs="Arial" w:eastAsia="Arial" w:hAnsi="Arial"/>
                <w:sz w:val="13"/>
                <w:szCs w:val="13"/>
                <w:color w:val="auto"/>
              </w:rPr>
              <w:t>2022 Proxy Statement</w:t>
            </w:r>
          </w:p>
        </w:tc>
        <w:tc>
          <w:tcPr>
            <w:tcW w:w="4880" w:type="dxa"/>
            <w:vAlign w:val="bottom"/>
          </w:tcPr>
          <w:p>
            <w:pPr>
              <w:ind w:left="3920"/>
              <w:spacing w:after="0"/>
              <w:rPr>
                <w:sz w:val="20"/>
                <w:szCs w:val="20"/>
                <w:color w:val="auto"/>
              </w:rPr>
            </w:pPr>
            <w:r>
              <w:rPr>
                <w:rFonts w:ascii="Arial" w:cs="Arial" w:eastAsia="Arial" w:hAnsi="Arial"/>
                <w:sz w:val="13"/>
                <w:szCs w:val="13"/>
                <w:b w:val="1"/>
                <w:bCs w:val="1"/>
                <w:color w:val="auto"/>
              </w:rPr>
              <w:t>A-13</w:t>
            </w:r>
          </w:p>
        </w:tc>
      </w:tr>
      <w:tr>
        <w:trPr>
          <w:trHeight w:val="172"/>
        </w:trPr>
        <w:tc>
          <w:tcPr>
            <w:tcW w:w="5840" w:type="dxa"/>
            <w:vAlign w:val="bottom"/>
            <w:tcBorders>
              <w:bottom w:val="single" w:sz="8" w:color="9A9A9A"/>
            </w:tcBorders>
          </w:tcPr>
          <w:p>
            <w:pPr>
              <w:spacing w:after="0"/>
              <w:rPr>
                <w:sz w:val="14"/>
                <w:szCs w:val="14"/>
                <w:color w:val="auto"/>
              </w:rPr>
            </w:pPr>
          </w:p>
        </w:tc>
        <w:tc>
          <w:tcPr>
            <w:tcW w:w="488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99" w:name="page100"/>
    <w:bookmarkEnd w:id="99"/>
    <w:p>
      <w:pPr>
        <w:spacing w:after="0"/>
        <w:rPr>
          <w:rFonts w:ascii="Arial" w:cs="Arial" w:eastAsia="Arial" w:hAnsi="Arial"/>
          <w:sz w:val="14"/>
          <w:szCs w:val="14"/>
          <w:color w:val="003366"/>
        </w:rPr>
      </w:pPr>
      <w:hyperlink w:anchor="page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60" w:right="40"/>
        <w:spacing w:after="0" w:line="267" w:lineRule="auto"/>
        <w:rPr>
          <w:sz w:val="20"/>
          <w:szCs w:val="20"/>
          <w:color w:val="auto"/>
        </w:rPr>
      </w:pPr>
      <w:r>
        <w:rPr>
          <w:rFonts w:ascii="Arial" w:cs="Arial" w:eastAsia="Arial" w:hAnsi="Arial"/>
          <w:sz w:val="16"/>
          <w:szCs w:val="16"/>
          <w:color w:val="auto"/>
        </w:rPr>
        <w:t>the approval or favorable ruling from any governmental agency which the Company determines is necessary or advisable. The Company shall not be liable to a Participant or other persons as to: (a) the non-issuance or sale of Shares as to which the Company has not obtained from any regulatory body having jurisdiction the authority deemed by the Company’s counsel to be necessary to the lawful issuance and sale of any Shares under the Plan; and (b) any tax consequences expected, but not realized, by any Participant or other person due to the receipt, exercise or settlement of any Award granted under the Plan.</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18.  TAXES.</w:t>
      </w:r>
    </w:p>
    <w:p>
      <w:pPr>
        <w:spacing w:after="0" w:line="176" w:lineRule="exact"/>
        <w:rPr>
          <w:sz w:val="20"/>
          <w:szCs w:val="20"/>
          <w:color w:val="auto"/>
        </w:rPr>
      </w:pPr>
    </w:p>
    <w:p>
      <w:pPr>
        <w:ind w:left="660" w:right="80" w:hanging="6"/>
        <w:spacing w:after="0" w:line="275" w:lineRule="auto"/>
        <w:tabs>
          <w:tab w:leader="none" w:pos="993"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Withholding Taxes</w:t>
      </w:r>
      <w:r>
        <w:rPr>
          <w:rFonts w:ascii="Arial" w:cs="Arial" w:eastAsia="Arial" w:hAnsi="Arial"/>
          <w:sz w:val="16"/>
          <w:szCs w:val="16"/>
          <w:color w:val="auto"/>
        </w:rPr>
        <w:t>. To the extent required by applicable federal, state, local, or foreign law, a Participant or his or her</w:t>
      </w:r>
      <w:r>
        <w:rPr>
          <w:rFonts w:ascii="Arial" w:cs="Arial" w:eastAsia="Arial" w:hAnsi="Arial"/>
          <w:sz w:val="16"/>
          <w:szCs w:val="16"/>
          <w:i w:val="1"/>
          <w:iCs w:val="1"/>
          <w:color w:val="auto"/>
        </w:rPr>
        <w:t xml:space="preserve"> </w:t>
      </w:r>
      <w:r>
        <w:rPr>
          <w:rFonts w:ascii="Arial" w:cs="Arial" w:eastAsia="Arial" w:hAnsi="Arial"/>
          <w:sz w:val="16"/>
          <w:szCs w:val="16"/>
          <w:color w:val="auto"/>
        </w:rPr>
        <w:t>successor shall make arrangements satisfactory to the Company for the satisfaction of any withholding tax obligations that arise in connection with the Plan. The Company shall not be required to issue any Shares or make any cash payment under the Plan until such obligations are satisfied.</w:t>
      </w:r>
    </w:p>
    <w:p>
      <w:pPr>
        <w:spacing w:after="0" w:line="182" w:lineRule="exact"/>
        <w:rPr>
          <w:rFonts w:ascii="Arial" w:cs="Arial" w:eastAsia="Arial" w:hAnsi="Arial"/>
          <w:sz w:val="16"/>
          <w:szCs w:val="16"/>
          <w:color w:val="auto"/>
        </w:rPr>
      </w:pPr>
    </w:p>
    <w:p>
      <w:pPr>
        <w:ind w:left="660" w:right="60" w:hanging="6"/>
        <w:spacing w:after="0" w:line="272" w:lineRule="auto"/>
        <w:tabs>
          <w:tab w:leader="none" w:pos="993"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Share Withholding</w:t>
      </w:r>
      <w:r>
        <w:rPr>
          <w:rFonts w:ascii="Arial" w:cs="Arial" w:eastAsia="Arial" w:hAnsi="Arial"/>
          <w:sz w:val="16"/>
          <w:szCs w:val="16"/>
          <w:color w:val="auto"/>
        </w:rPr>
        <w:t>. The Committee may permit a Participant to satisfy all or part of his or her withholding or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by having the Company withhold all or a portion of any Shares that otherwise would be issued to him or her or by surrendering all or a portion of any Shares that he or she previously acquired. Such Shares shall be valued at their Fair Market Value on the date when taxes otherwise would be withheld in cash. In no event may a Participant have Shares withheld that would otherwise be issued to him or her in excess of the number necessary to satisfy the maximum legally required tax withholding.</w:t>
      </w:r>
    </w:p>
    <w:p>
      <w:pPr>
        <w:spacing w:after="0" w:line="185" w:lineRule="exact"/>
        <w:rPr>
          <w:rFonts w:ascii="Arial" w:cs="Arial" w:eastAsia="Arial" w:hAnsi="Arial"/>
          <w:sz w:val="16"/>
          <w:szCs w:val="16"/>
          <w:color w:val="auto"/>
        </w:rPr>
      </w:pPr>
    </w:p>
    <w:p>
      <w:pPr>
        <w:ind w:left="660" w:right="160" w:hanging="6"/>
        <w:spacing w:after="0" w:line="271" w:lineRule="auto"/>
        <w:tabs>
          <w:tab w:leader="none" w:pos="984"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Section 409A</w:t>
      </w:r>
      <w:r>
        <w:rPr>
          <w:rFonts w:ascii="Arial" w:cs="Arial" w:eastAsia="Arial" w:hAnsi="Arial"/>
          <w:sz w:val="16"/>
          <w:szCs w:val="16"/>
          <w:color w:val="auto"/>
        </w:rPr>
        <w:t>. Each Award that provides for “nonqualified deferred compensation” within the meaning of Section 409A shall</w:t>
      </w:r>
      <w:r>
        <w:rPr>
          <w:rFonts w:ascii="Arial" w:cs="Arial" w:eastAsia="Arial" w:hAnsi="Arial"/>
          <w:sz w:val="16"/>
          <w:szCs w:val="16"/>
          <w:i w:val="1"/>
          <w:iCs w:val="1"/>
          <w:color w:val="auto"/>
        </w:rPr>
        <w:t xml:space="preserve"> </w:t>
      </w:r>
      <w:r>
        <w:rPr>
          <w:rFonts w:ascii="Arial" w:cs="Arial" w:eastAsia="Arial" w:hAnsi="Arial"/>
          <w:sz w:val="16"/>
          <w:szCs w:val="16"/>
          <w:color w:val="auto"/>
        </w:rPr>
        <w:t>be subject to such additional rules and requirements as specified by the Committee from time to time in order to comply with Section 409A. If any amount under such an Award is payable upon a “separation from service” (within the meaning of</w:t>
      </w:r>
    </w:p>
    <w:p>
      <w:pPr>
        <w:ind w:left="660" w:right="40"/>
        <w:spacing w:after="0" w:line="267" w:lineRule="auto"/>
        <w:rPr>
          <w:rFonts w:ascii="Arial" w:cs="Arial" w:eastAsia="Arial" w:hAnsi="Arial"/>
          <w:sz w:val="16"/>
          <w:szCs w:val="16"/>
          <w:color w:val="auto"/>
        </w:rPr>
      </w:pPr>
      <w:r>
        <w:rPr>
          <w:rFonts w:ascii="Arial" w:cs="Arial" w:eastAsia="Arial" w:hAnsi="Arial"/>
          <w:sz w:val="16"/>
          <w:szCs w:val="16"/>
          <w:color w:val="auto"/>
        </w:rPr>
        <w:t>Section 409A) to a Participant who is then considered a “specified employee” (within the meaning of Section 409A), then no such payment shall be made prior to the date that is the earlier of (i) six months and one day after the Participant’s separation from service, or (ii) the Participant’s death, but only to the extent such delay is necessary to prevent such payment from being subject to interest, penalties, and/or additional tax imposed pursuant to Section 409A. In addition, the settlement of any such Award may not be accelerated except to the extent permitted by Section 409A.</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19.  TRANSFERABILITY.</w:t>
      </w:r>
    </w:p>
    <w:p>
      <w:pPr>
        <w:spacing w:after="0" w:line="192" w:lineRule="exact"/>
        <w:rPr>
          <w:sz w:val="20"/>
          <w:szCs w:val="20"/>
          <w:color w:val="auto"/>
        </w:rPr>
      </w:pPr>
    </w:p>
    <w:p>
      <w:pPr>
        <w:ind w:left="660"/>
        <w:spacing w:after="0" w:line="266" w:lineRule="auto"/>
        <w:rPr>
          <w:sz w:val="20"/>
          <w:szCs w:val="20"/>
          <w:color w:val="auto"/>
        </w:rPr>
      </w:pPr>
      <w:r>
        <w:rPr>
          <w:rFonts w:ascii="Arial" w:cs="Arial" w:eastAsia="Arial" w:hAnsi="Arial"/>
          <w:sz w:val="16"/>
          <w:szCs w:val="16"/>
          <w:color w:val="auto"/>
        </w:rPr>
        <w:t>Unless the agreement evidencing an Award (or an amendment thereto authorized by the Committee) expressly provides otherwise, no Award granted under the Plan, nor any interest in such Award, may be sold, assigned, conveyed, gifted, pledged, hypothecated, or otherwise transferred in any manner (prior to the vesting and lapse of any and all restrictions applicable to Shares issued under such Award), other than by will or the laws of descent and distribution; provided, however, that an ISO may be transferred or assigned only to the extent consistent with Section 422 of the Code. Any purported assignment, transfer, or encumbrance in violation of this Section 19 shall be void and unenforceable against the Company.</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20.  PERFORMANCE BASED AWARDS.</w:t>
      </w:r>
    </w:p>
    <w:p>
      <w:pPr>
        <w:spacing w:after="0" w:line="192" w:lineRule="exact"/>
        <w:rPr>
          <w:sz w:val="20"/>
          <w:szCs w:val="20"/>
          <w:color w:val="auto"/>
        </w:rPr>
      </w:pPr>
    </w:p>
    <w:p>
      <w:pPr>
        <w:ind w:left="660" w:right="440"/>
        <w:spacing w:after="0" w:line="271" w:lineRule="auto"/>
        <w:rPr>
          <w:sz w:val="20"/>
          <w:szCs w:val="20"/>
          <w:color w:val="auto"/>
        </w:rPr>
      </w:pPr>
      <w:r>
        <w:rPr>
          <w:rFonts w:ascii="Arial" w:cs="Arial" w:eastAsia="Arial" w:hAnsi="Arial"/>
          <w:sz w:val="16"/>
          <w:szCs w:val="16"/>
          <w:color w:val="auto"/>
        </w:rPr>
        <w:t>The number of Shares or other benefits granted, issued, retained, and/or vested under an Award may be made subject to the attainment of performance goals. The Committee may utilize any performance criteria selected by it in its sole discretion to establish performance goals.</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21.  FORFEITURE, CANCELLATION OR RECOUPMENT OF AWARDS.</w:t>
      </w:r>
    </w:p>
    <w:p>
      <w:pPr>
        <w:spacing w:after="0" w:line="192" w:lineRule="exact"/>
        <w:rPr>
          <w:sz w:val="20"/>
          <w:szCs w:val="20"/>
          <w:color w:val="auto"/>
        </w:rPr>
      </w:pPr>
    </w:p>
    <w:p>
      <w:pPr>
        <w:ind w:left="660"/>
        <w:spacing w:after="0" w:line="266" w:lineRule="auto"/>
        <w:rPr>
          <w:sz w:val="20"/>
          <w:szCs w:val="20"/>
          <w:color w:val="auto"/>
        </w:rPr>
      </w:pPr>
      <w:r>
        <w:rPr>
          <w:rFonts w:ascii="Arial" w:cs="Arial" w:eastAsia="Arial" w:hAnsi="Arial"/>
          <w:sz w:val="16"/>
          <w:szCs w:val="16"/>
          <w:color w:val="auto"/>
        </w:rPr>
        <w:t>The Committee shall have the authority, to the extent permitted by applicable law, to specify in an Award Agreement, exercise notice or share purchase agreement that the Participant’s rights, payments and benefits with respect to an Award shall be subject to reduction, cancellation, forfeiture, or recoupment upon the occurrence of specified events, in addition to any otherwise applicable vesting or performance conditions of an Award. Such events may include, but shall not be limited to, in each case to the extent permitted by applicable law, termination of Service for Cause or any act by a Participant, whether before or after termination of Service, that would constitute Cause for termination of Service, a Participant’s noncompliance with applicable restrictive covenants and conditions, and any other events set forth in a clawback, recoupment or similar policy adopted by the Company. Notwithstanding the foregoing, Stock Purchase Rights shall be subject to the terms of the ESPP Addendum.</w:t>
      </w:r>
    </w:p>
    <w:p>
      <w:pPr>
        <w:spacing w:after="0" w:line="205" w:lineRule="exact"/>
        <w:rPr>
          <w:sz w:val="20"/>
          <w:szCs w:val="20"/>
          <w:color w:val="auto"/>
        </w:rPr>
      </w:pPr>
    </w:p>
    <w:p>
      <w:pPr>
        <w:ind w:left="660" w:right="140"/>
        <w:spacing w:after="0" w:line="268" w:lineRule="auto"/>
        <w:rPr>
          <w:sz w:val="20"/>
          <w:szCs w:val="20"/>
          <w:color w:val="auto"/>
        </w:rPr>
      </w:pPr>
      <w:r>
        <w:rPr>
          <w:rFonts w:ascii="Arial" w:cs="Arial" w:eastAsia="Arial" w:hAnsi="Arial"/>
          <w:sz w:val="16"/>
          <w:szCs w:val="16"/>
          <w:color w:val="auto"/>
        </w:rPr>
        <w:t>In the event that the Company is required to prepare restated financial results owing to an executive officer’s intentional misconduct or grossly negligent conduct, the Committee shall have the authority, to the extent permitted by applicable law, to require reimbursement or forfeiture to the Company of the amount of bonus or incentive compensation (whether cash-based or equity-based) such executive officer received during the three fiscal years preceding the year the restatement is determined to be</w:t>
      </w:r>
    </w:p>
    <w:p>
      <w:pPr>
        <w:spacing w:after="0" w:line="383"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3"/>
          <w:szCs w:val="13"/>
          <w:b w:val="1"/>
          <w:bCs w:val="1"/>
          <w:color w:val="auto"/>
        </w:rPr>
        <w:t>A-14</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1" w:right="1279" w:bottom="1440" w:gutter="0" w:footer="0" w:header="0"/>
        </w:sectPr>
      </w:pPr>
    </w:p>
    <w:bookmarkStart w:id="100" w:name="page101"/>
    <w:bookmarkEnd w:id="100"/>
    <w:p>
      <w:pPr>
        <w:spacing w:after="0"/>
        <w:rPr>
          <w:rFonts w:ascii="Arial" w:cs="Arial" w:eastAsia="Arial" w:hAnsi="Arial"/>
          <w:sz w:val="14"/>
          <w:szCs w:val="14"/>
          <w:color w:val="003366"/>
        </w:rPr>
      </w:pPr>
      <w:hyperlink w:anchor="page8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60" w:right="60"/>
        <w:spacing w:after="0" w:line="266" w:lineRule="auto"/>
        <w:rPr>
          <w:sz w:val="20"/>
          <w:szCs w:val="20"/>
          <w:color w:val="auto"/>
        </w:rPr>
      </w:pPr>
      <w:r>
        <w:rPr>
          <w:rFonts w:ascii="Arial" w:cs="Arial" w:eastAsia="Arial" w:hAnsi="Arial"/>
          <w:sz w:val="16"/>
          <w:szCs w:val="16"/>
          <w:color w:val="auto"/>
        </w:rPr>
        <w:t>required, to the extent that such bonus or incentive compensation exceeds what the officer would have received based on an applicable restated performance measure or target. The Company will recoup incentive-based compensation from executive officers to the extent required under the Dodd-Frank Wall Street Reform and Consumer Protection Act and any rules, regulations and listing standards that may be issued under that act. Any right of recoupment under this provision will be in addition to, and not in lieu of, any other rights of recoupment that may be available to the Company. No recovery of compensation under any clawback policy or this Section 21 will be an event giving rise to a right to resign for “good reason” or “constructive termination” (or similar term) under any agreement with the Company or any of its Subsidiaries or Affiliates.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22.  NO EMPLOYMENT RIGHTS.</w:t>
      </w:r>
    </w:p>
    <w:p>
      <w:pPr>
        <w:spacing w:after="0" w:line="192" w:lineRule="exact"/>
        <w:rPr>
          <w:sz w:val="20"/>
          <w:szCs w:val="20"/>
          <w:color w:val="auto"/>
        </w:rPr>
      </w:pPr>
    </w:p>
    <w:p>
      <w:pPr>
        <w:ind w:left="660" w:right="140"/>
        <w:spacing w:after="0" w:line="271" w:lineRule="auto"/>
        <w:rPr>
          <w:sz w:val="20"/>
          <w:szCs w:val="20"/>
          <w:color w:val="auto"/>
        </w:rPr>
      </w:pPr>
      <w:r>
        <w:rPr>
          <w:rFonts w:ascii="Arial" w:cs="Arial" w:eastAsia="Arial" w:hAnsi="Arial"/>
          <w:sz w:val="16"/>
          <w:szCs w:val="16"/>
          <w:color w:val="auto"/>
        </w:rPr>
        <w:t>No provision of the Plan, nor any Award granted under the Plan, shall be construed to give any person any right to become, to be treated as, or to remain an Employee, Outside Director or Consultant. The Company and its Subsidiaries reserve the right to terminate any person’s Service at any time and for any reason, with or without notice.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23.  DURATION AND AMENDMENTS.</w:t>
      </w:r>
    </w:p>
    <w:p>
      <w:pPr>
        <w:spacing w:after="0" w:line="189" w:lineRule="exact"/>
        <w:rPr>
          <w:sz w:val="20"/>
          <w:szCs w:val="20"/>
          <w:color w:val="auto"/>
        </w:rPr>
      </w:pPr>
    </w:p>
    <w:p>
      <w:pPr>
        <w:ind w:left="980" w:hanging="326"/>
        <w:spacing w:after="0"/>
        <w:tabs>
          <w:tab w:leader="none" w:pos="980"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Term of the Plan</w:t>
      </w:r>
      <w:r>
        <w:rPr>
          <w:rFonts w:ascii="Arial" w:cs="Arial" w:eastAsia="Arial" w:hAnsi="Arial"/>
          <w:sz w:val="16"/>
          <w:szCs w:val="16"/>
          <w:color w:val="auto"/>
        </w:rPr>
        <w:t>.  The Plan, as set forth herein, shall come into existence on the date of its adoption by the Board; provided,</w:t>
      </w:r>
    </w:p>
    <w:p>
      <w:pPr>
        <w:spacing w:after="0" w:line="48" w:lineRule="exact"/>
        <w:rPr>
          <w:rFonts w:ascii="Arial" w:cs="Arial" w:eastAsia="Arial" w:hAnsi="Arial"/>
          <w:sz w:val="16"/>
          <w:szCs w:val="16"/>
          <w:color w:val="auto"/>
        </w:rPr>
      </w:pPr>
    </w:p>
    <w:p>
      <w:pPr>
        <w:ind w:left="660" w:right="120"/>
        <w:spacing w:after="0" w:line="246" w:lineRule="auto"/>
        <w:rPr>
          <w:rFonts w:ascii="Arial" w:cs="Arial" w:eastAsia="Arial" w:hAnsi="Arial"/>
          <w:sz w:val="16"/>
          <w:szCs w:val="16"/>
          <w:color w:val="auto"/>
        </w:rPr>
      </w:pPr>
      <w:r>
        <w:rPr>
          <w:rFonts w:ascii="Arial" w:cs="Arial" w:eastAsia="Arial" w:hAnsi="Arial"/>
          <w:sz w:val="16"/>
          <w:szCs w:val="16"/>
          <w:color w:val="auto"/>
        </w:rPr>
        <w:t>however, that no Award may be granted hereunder prior to the Effective Date. The Board may suspend or terminate the Plan at any time. No ISOs may be granted after the tenth (10</w:t>
      </w:r>
      <w:r>
        <w:rPr>
          <w:rFonts w:ascii="Arial" w:cs="Arial" w:eastAsia="Arial" w:hAnsi="Arial"/>
          <w:sz w:val="25"/>
          <w:szCs w:val="25"/>
          <w:color w:val="auto"/>
          <w:vertAlign w:val="superscript"/>
        </w:rPr>
        <w:t>th</w:t>
      </w:r>
      <w:r>
        <w:rPr>
          <w:rFonts w:ascii="Arial" w:cs="Arial" w:eastAsia="Arial" w:hAnsi="Arial"/>
          <w:sz w:val="16"/>
          <w:szCs w:val="16"/>
          <w:color w:val="auto"/>
        </w:rPr>
        <w:t>) anniversary of the earlier of (i) the date the Plan is adopted by the Board, or (ii) the date the Plan is approved by the stockholders of the Company. The grant of Stock Purchase Rights shall be subject to such further restrictions as set forth in the ESPP Addendum.</w:t>
      </w:r>
    </w:p>
    <w:p>
      <w:pPr>
        <w:spacing w:after="0" w:line="217" w:lineRule="exact"/>
        <w:rPr>
          <w:rFonts w:ascii="Arial" w:cs="Arial" w:eastAsia="Arial" w:hAnsi="Arial"/>
          <w:sz w:val="16"/>
          <w:szCs w:val="16"/>
          <w:color w:val="auto"/>
        </w:rPr>
      </w:pPr>
    </w:p>
    <w:p>
      <w:pPr>
        <w:ind w:left="660" w:right="120" w:hanging="6"/>
        <w:spacing w:after="0" w:line="293" w:lineRule="auto"/>
        <w:tabs>
          <w:tab w:leader="none" w:pos="993"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Right to Amend the Plan</w:t>
      </w:r>
      <w:r>
        <w:rPr>
          <w:rFonts w:ascii="Arial" w:cs="Arial" w:eastAsia="Arial" w:hAnsi="Arial"/>
          <w:sz w:val="16"/>
          <w:szCs w:val="16"/>
          <w:color w:val="auto"/>
        </w:rPr>
        <w:t>. The Board may amend the Plan or the ESPP Addendum at any time and from time to time. Rights</w:t>
      </w:r>
      <w:r>
        <w:rPr>
          <w:rFonts w:ascii="Arial" w:cs="Arial" w:eastAsia="Arial" w:hAnsi="Arial"/>
          <w:sz w:val="16"/>
          <w:szCs w:val="16"/>
          <w:i w:val="1"/>
          <w:iCs w:val="1"/>
          <w:color w:val="auto"/>
        </w:rPr>
        <w:t xml:space="preserve"> </w:t>
      </w:r>
      <w:r>
        <w:rPr>
          <w:rFonts w:ascii="Arial" w:cs="Arial" w:eastAsia="Arial" w:hAnsi="Arial"/>
          <w:sz w:val="16"/>
          <w:szCs w:val="16"/>
          <w:color w:val="auto"/>
        </w:rPr>
        <w:t>and obligations under any Award granted before amendment of the Plan shall not be materially impaired by such amendment, except with consent of the Participant. An amendment of the Plan (and the ESPP Addendum) shall be subject to the approval of the Company’s stockholders only to the extent required by applicable laws, regulations or rules.</w:t>
      </w:r>
    </w:p>
    <w:p>
      <w:pPr>
        <w:spacing w:after="0" w:line="181" w:lineRule="exact"/>
        <w:rPr>
          <w:rFonts w:ascii="Arial" w:cs="Arial" w:eastAsia="Arial" w:hAnsi="Arial"/>
          <w:sz w:val="16"/>
          <w:szCs w:val="16"/>
          <w:color w:val="auto"/>
        </w:rPr>
      </w:pPr>
    </w:p>
    <w:p>
      <w:pPr>
        <w:ind w:left="660" w:right="240" w:hanging="6"/>
        <w:spacing w:after="0" w:line="316" w:lineRule="auto"/>
        <w:tabs>
          <w:tab w:leader="none" w:pos="984"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Effect of Termination</w:t>
      </w:r>
      <w:r>
        <w:rPr>
          <w:rFonts w:ascii="Arial" w:cs="Arial" w:eastAsia="Arial" w:hAnsi="Arial"/>
          <w:sz w:val="16"/>
          <w:szCs w:val="16"/>
          <w:color w:val="auto"/>
        </w:rPr>
        <w:t>. No Awards shall be granted under the Plan after the termination thereof. The termination of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shall not affect Awards previously granted under the Plan.</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24.  AWARDS TO NON-U.S. PARTICIPANTS.</w:t>
      </w:r>
    </w:p>
    <w:p>
      <w:pPr>
        <w:spacing w:after="0" w:line="205" w:lineRule="exact"/>
        <w:rPr>
          <w:sz w:val="20"/>
          <w:szCs w:val="20"/>
          <w:color w:val="auto"/>
        </w:rPr>
      </w:pPr>
    </w:p>
    <w:p>
      <w:pPr>
        <w:ind w:left="660" w:right="20"/>
        <w:spacing w:after="0" w:line="284" w:lineRule="auto"/>
        <w:rPr>
          <w:sz w:val="20"/>
          <w:szCs w:val="20"/>
          <w:color w:val="auto"/>
        </w:rPr>
      </w:pPr>
      <w:r>
        <w:rPr>
          <w:rFonts w:ascii="Arial" w:cs="Arial" w:eastAsia="Arial" w:hAnsi="Arial"/>
          <w:sz w:val="16"/>
          <w:szCs w:val="16"/>
          <w:color w:val="auto"/>
        </w:rPr>
        <w:t>Awards may be granted to Participants who are non-United States nationals or employed or providing services outside the United States, or both, on such terms and conditions different from those applicable to Awards to Participants who are employed or providing services in the United States as may, in the judgment of the Committee, be necessary or desirable to recognize differences in local law, tax policy, or custom. The Committee also may impose conditions on the exercise, vesting, or settlement of Awards in order to minimize the Company’s obligation with respect to tax equalization for Participants on assignments outside their home country.</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25.  GOVERNING LAW.</w:t>
      </w:r>
    </w:p>
    <w:p>
      <w:pPr>
        <w:spacing w:after="0" w:line="205" w:lineRule="exact"/>
        <w:rPr>
          <w:sz w:val="20"/>
          <w:szCs w:val="20"/>
          <w:color w:val="auto"/>
        </w:rPr>
      </w:pPr>
    </w:p>
    <w:p>
      <w:pPr>
        <w:ind w:left="660" w:right="520"/>
        <w:spacing w:after="0" w:line="295" w:lineRule="auto"/>
        <w:rPr>
          <w:sz w:val="20"/>
          <w:szCs w:val="20"/>
          <w:color w:val="auto"/>
        </w:rPr>
      </w:pPr>
      <w:r>
        <w:rPr>
          <w:rFonts w:ascii="Arial" w:cs="Arial" w:eastAsia="Arial" w:hAnsi="Arial"/>
          <w:sz w:val="16"/>
          <w:szCs w:val="16"/>
          <w:color w:val="auto"/>
        </w:rPr>
        <w:t>The Plan, the ESPP Addendum and each Award Agreement shall be governed by the laws of the state of Delaware, without application of the conflicts of law principles thereof.</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26.  SUCCESSORS AND ASSIGNS.</w:t>
      </w:r>
    </w:p>
    <w:p>
      <w:pPr>
        <w:spacing w:after="0" w:line="205" w:lineRule="exact"/>
        <w:rPr>
          <w:sz w:val="20"/>
          <w:szCs w:val="20"/>
          <w:color w:val="auto"/>
        </w:rPr>
      </w:pPr>
    </w:p>
    <w:p>
      <w:pPr>
        <w:ind w:left="660" w:right="520"/>
        <w:spacing w:after="0" w:line="295" w:lineRule="auto"/>
        <w:rPr>
          <w:sz w:val="20"/>
          <w:szCs w:val="20"/>
          <w:color w:val="auto"/>
        </w:rPr>
      </w:pPr>
      <w:r>
        <w:rPr>
          <w:rFonts w:ascii="Arial" w:cs="Arial" w:eastAsia="Arial" w:hAnsi="Arial"/>
          <w:sz w:val="16"/>
          <w:szCs w:val="16"/>
          <w:color w:val="auto"/>
        </w:rPr>
        <w:t>The terms of the Plan shall be binding upon and inure to the benefit of the Company and any successor entity, including any successor entity contemplated by Section 13(c).</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27.  EXECUTION.</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record the adoption of the Plan by the Board, the Company has caused its authorized officer to execute the same.</w:t>
      </w:r>
    </w:p>
    <w:p>
      <w:pPr>
        <w:spacing w:after="0" w:line="228" w:lineRule="exact"/>
        <w:rPr>
          <w:sz w:val="20"/>
          <w:szCs w:val="20"/>
          <w:color w:val="auto"/>
        </w:rPr>
      </w:pPr>
    </w:p>
    <w:p>
      <w:pPr>
        <w:ind w:left="5840"/>
        <w:spacing w:after="0"/>
        <w:rPr>
          <w:sz w:val="20"/>
          <w:szCs w:val="20"/>
          <w:color w:val="auto"/>
        </w:rPr>
      </w:pPr>
      <w:r>
        <w:rPr>
          <w:rFonts w:ascii="Arial" w:cs="Arial" w:eastAsia="Arial" w:hAnsi="Arial"/>
          <w:sz w:val="16"/>
          <w:szCs w:val="16"/>
          <w:b w:val="1"/>
          <w:bCs w:val="1"/>
          <w:color w:val="auto"/>
        </w:rPr>
        <w:t>LUCID GROUP, INC.</w:t>
      </w:r>
    </w:p>
    <w:p>
      <w:pPr>
        <w:spacing w:after="0" w:line="268"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3860165</wp:posOffset>
            </wp:positionH>
            <wp:positionV relativeFrom="paragraph">
              <wp:posOffset>53340</wp:posOffset>
            </wp:positionV>
            <wp:extent cx="252031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147"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Name :</w:t>
      </w:r>
    </w:p>
    <w:p>
      <w:pPr>
        <w:spacing w:after="0" w:line="32"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Title:</w:t>
      </w:r>
    </w:p>
    <w:p>
      <w:pPr>
        <w:sectPr>
          <w:pgSz w:w="11900" w:h="16838" w:orient="portrait"/>
          <w:cols w:equalWidth="0" w:num="1">
            <w:col w:w="10040"/>
          </w:cols>
          <w:pgMar w:left="580" w:top="131" w:right="127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660"/>
        <w:spacing w:after="0"/>
        <w:tabs>
          <w:tab w:leader="none" w:pos="9740" w:val="left"/>
        </w:tabs>
        <w:rPr>
          <w:sz w:val="20"/>
          <w:szCs w:val="20"/>
          <w:color w:val="auto"/>
        </w:rPr>
      </w:pPr>
      <w:r>
        <w:rPr>
          <w:rFonts w:ascii="Arial" w:cs="Arial" w:eastAsia="Arial" w:hAnsi="Arial"/>
          <w:sz w:val="13"/>
          <w:szCs w:val="13"/>
          <w:color w:val="auto"/>
        </w:rPr>
        <w:t>2022 Proxy Statement</w:t>
      </w:r>
      <w:r>
        <w:rPr>
          <w:sz w:val="20"/>
          <w:szCs w:val="20"/>
          <w:color w:val="auto"/>
        </w:rPr>
        <w:tab/>
      </w:r>
      <w:r>
        <w:rPr>
          <w:rFonts w:ascii="Arial" w:cs="Arial" w:eastAsia="Arial" w:hAnsi="Arial"/>
          <w:sz w:val="12"/>
          <w:szCs w:val="12"/>
          <w:b w:val="1"/>
          <w:bCs w:val="1"/>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1" w:right="1279" w:bottom="1440" w:gutter="0" w:footer="0" w:header="0"/>
          <w:type w:val="continuous"/>
        </w:sectPr>
      </w:pPr>
    </w:p>
    <w:bookmarkStart w:id="101" w:name="page102"/>
    <w:bookmarkEnd w:id="101"/>
    <w:p>
      <w:pPr>
        <w:spacing w:after="0"/>
        <w:rPr>
          <w:rFonts w:ascii="Arial" w:cs="Arial" w:eastAsia="Arial" w:hAnsi="Arial"/>
          <w:sz w:val="14"/>
          <w:szCs w:val="14"/>
          <w:color w:val="003366"/>
        </w:rPr>
      </w:pPr>
      <w:hyperlink w:anchor="page8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Exhibit A</w:t>
      </w:r>
    </w:p>
    <w:p>
      <w:pPr>
        <w:spacing w:after="0" w:line="140"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ESPP Addendum</w:t>
      </w:r>
    </w:p>
    <w:p>
      <w:pPr>
        <w:spacing w:after="0" w:line="160" w:lineRule="exact"/>
        <w:rPr>
          <w:sz w:val="20"/>
          <w:szCs w:val="20"/>
          <w:color w:val="auto"/>
        </w:rPr>
      </w:pPr>
    </w:p>
    <w:p>
      <w:pPr>
        <w:jc w:val="center"/>
        <w:ind w:right="-679"/>
        <w:spacing w:after="0"/>
        <w:rPr>
          <w:sz w:val="20"/>
          <w:szCs w:val="20"/>
          <w:color w:val="auto"/>
        </w:rPr>
      </w:pPr>
      <w:r>
        <w:rPr>
          <w:rFonts w:ascii="Arial" w:cs="Arial" w:eastAsia="Arial" w:hAnsi="Arial"/>
          <w:sz w:val="16"/>
          <w:szCs w:val="16"/>
          <w:color w:val="auto"/>
        </w:rPr>
        <w:t>(see attached)</w:t>
      </w:r>
    </w:p>
    <w:p>
      <w:pPr>
        <w:sectPr>
          <w:pgSz w:w="11900" w:h="16838" w:orient="portrait"/>
          <w:cols w:equalWidth="0" w:num="1">
            <w:col w:w="10040"/>
          </w:cols>
          <w:pgMar w:left="580" w:top="131"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3"/>
          <w:szCs w:val="13"/>
          <w:b w:val="1"/>
          <w:bCs w:val="1"/>
          <w:color w:val="auto"/>
        </w:rPr>
        <w:t>A-16</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1" w:right="1279" w:bottom="1440" w:gutter="0" w:footer="0" w:header="0"/>
          <w:type w:val="continuous"/>
        </w:sectPr>
      </w:pPr>
    </w:p>
    <w:bookmarkStart w:id="102" w:name="page103"/>
    <w:bookmarkEnd w:id="102"/>
    <w:p>
      <w:pPr>
        <w:spacing w:after="0"/>
        <w:rPr>
          <w:rFonts w:ascii="Arial" w:cs="Arial" w:eastAsia="Arial" w:hAnsi="Arial"/>
          <w:sz w:val="14"/>
          <w:szCs w:val="14"/>
          <w:color w:val="003366"/>
        </w:rPr>
      </w:pPr>
      <w:hyperlink w:anchor="page8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659"/>
        <w:spacing w:after="0"/>
        <w:rPr>
          <w:sz w:val="20"/>
          <w:szCs w:val="20"/>
          <w:color w:val="auto"/>
        </w:rPr>
      </w:pPr>
      <w:r>
        <w:rPr>
          <w:rFonts w:ascii="Arial" w:cs="Arial" w:eastAsia="Arial" w:hAnsi="Arial"/>
          <w:sz w:val="16"/>
          <w:szCs w:val="16"/>
          <w:b w:val="1"/>
          <w:bCs w:val="1"/>
          <w:color w:val="auto"/>
        </w:rPr>
        <w:t>ADDENDUM TO</w:t>
      </w:r>
    </w:p>
    <w:p>
      <w:pPr>
        <w:spacing w:after="0" w:line="140" w:lineRule="exact"/>
        <w:rPr>
          <w:sz w:val="20"/>
          <w:szCs w:val="20"/>
          <w:color w:val="auto"/>
        </w:rPr>
      </w:pPr>
    </w:p>
    <w:p>
      <w:pPr>
        <w:jc w:val="center"/>
        <w:ind w:right="-659"/>
        <w:spacing w:after="0"/>
        <w:rPr>
          <w:sz w:val="20"/>
          <w:szCs w:val="20"/>
          <w:color w:val="auto"/>
        </w:rPr>
      </w:pPr>
      <w:r>
        <w:rPr>
          <w:rFonts w:ascii="Arial" w:cs="Arial" w:eastAsia="Arial" w:hAnsi="Arial"/>
          <w:sz w:val="16"/>
          <w:szCs w:val="16"/>
          <w:b w:val="1"/>
          <w:bCs w:val="1"/>
          <w:color w:val="auto"/>
        </w:rPr>
        <w:t>LUCID GROUP, INC. 2021 STOCK INCENTIVE PLAN</w:t>
      </w:r>
    </w:p>
    <w:p>
      <w:pPr>
        <w:spacing w:after="0" w:line="140" w:lineRule="exact"/>
        <w:rPr>
          <w:sz w:val="20"/>
          <w:szCs w:val="20"/>
          <w:color w:val="auto"/>
        </w:rPr>
      </w:pPr>
    </w:p>
    <w:p>
      <w:pPr>
        <w:jc w:val="center"/>
        <w:ind w:right="-659"/>
        <w:spacing w:after="0"/>
        <w:rPr>
          <w:sz w:val="20"/>
          <w:szCs w:val="20"/>
          <w:color w:val="auto"/>
        </w:rPr>
      </w:pPr>
      <w:r>
        <w:rPr>
          <w:rFonts w:ascii="Arial" w:cs="Arial" w:eastAsia="Arial" w:hAnsi="Arial"/>
          <w:sz w:val="16"/>
          <w:szCs w:val="16"/>
          <w:b w:val="1"/>
          <w:bCs w:val="1"/>
          <w:color w:val="auto"/>
        </w:rPr>
        <w:t>2021 EMPLOYEE STOCK PURCHASE PLAN</w:t>
      </w:r>
    </w:p>
    <w:p>
      <w:pPr>
        <w:spacing w:after="0" w:line="160" w:lineRule="exact"/>
        <w:rPr>
          <w:sz w:val="20"/>
          <w:szCs w:val="20"/>
          <w:color w:val="auto"/>
        </w:rPr>
      </w:pPr>
    </w:p>
    <w:p>
      <w:pPr>
        <w:jc w:val="center"/>
        <w:ind w:right="-659"/>
        <w:spacing w:after="0"/>
        <w:rPr>
          <w:sz w:val="20"/>
          <w:szCs w:val="20"/>
          <w:color w:val="auto"/>
        </w:rPr>
      </w:pPr>
      <w:r>
        <w:rPr>
          <w:rFonts w:ascii="Arial" w:cs="Arial" w:eastAsia="Arial" w:hAnsi="Arial"/>
          <w:sz w:val="16"/>
          <w:szCs w:val="16"/>
          <w:color w:val="auto"/>
        </w:rPr>
        <w:t>(Adopted by the Board of Directors on February 22, 2021)</w:t>
      </w:r>
    </w:p>
    <w:p>
      <w:pPr>
        <w:spacing w:after="0" w:line="140" w:lineRule="exact"/>
        <w:rPr>
          <w:sz w:val="20"/>
          <w:szCs w:val="20"/>
          <w:color w:val="auto"/>
        </w:rPr>
      </w:pPr>
    </w:p>
    <w:p>
      <w:pPr>
        <w:jc w:val="center"/>
        <w:ind w:right="-659"/>
        <w:spacing w:after="0"/>
        <w:rPr>
          <w:sz w:val="20"/>
          <w:szCs w:val="20"/>
          <w:color w:val="auto"/>
        </w:rPr>
      </w:pPr>
      <w:r>
        <w:rPr>
          <w:rFonts w:ascii="Arial" w:cs="Arial" w:eastAsia="Arial" w:hAnsi="Arial"/>
          <w:sz w:val="16"/>
          <w:szCs w:val="16"/>
          <w:color w:val="auto"/>
        </w:rPr>
        <w:t>(Approved by the Stockholders on July 22, 2021)</w:t>
      </w:r>
    </w:p>
    <w:p>
      <w:pPr>
        <w:spacing w:after="0" w:line="140" w:lineRule="exact"/>
        <w:rPr>
          <w:sz w:val="20"/>
          <w:szCs w:val="20"/>
          <w:color w:val="auto"/>
        </w:rPr>
      </w:pPr>
    </w:p>
    <w:p>
      <w:pPr>
        <w:jc w:val="center"/>
        <w:ind w:right="-659"/>
        <w:spacing w:after="0"/>
        <w:rPr>
          <w:sz w:val="20"/>
          <w:szCs w:val="20"/>
          <w:color w:val="auto"/>
        </w:rPr>
      </w:pPr>
      <w:r>
        <w:rPr>
          <w:rFonts w:ascii="Arial" w:cs="Arial" w:eastAsia="Arial" w:hAnsi="Arial"/>
          <w:sz w:val="16"/>
          <w:szCs w:val="16"/>
          <w:color w:val="auto"/>
        </w:rPr>
        <w:t>(Effective on July 23, 2021)</w:t>
      </w:r>
    </w:p>
    <w:p>
      <w:pPr>
        <w:sectPr>
          <w:pgSz w:w="11900" w:h="16838" w:orient="portrait"/>
          <w:cols w:equalWidth="0" w:num="1">
            <w:col w:w="10040"/>
          </w:cols>
          <w:pgMar w:left="580" w:top="131"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spacing w:after="0"/>
        <w:tabs>
          <w:tab w:leader="none" w:pos="9740" w:val="left"/>
        </w:tabs>
        <w:rPr>
          <w:sz w:val="20"/>
          <w:szCs w:val="20"/>
          <w:color w:val="auto"/>
        </w:rPr>
      </w:pPr>
      <w:r>
        <w:rPr>
          <w:rFonts w:ascii="Arial" w:cs="Arial" w:eastAsia="Arial" w:hAnsi="Arial"/>
          <w:sz w:val="13"/>
          <w:szCs w:val="13"/>
          <w:color w:val="auto"/>
        </w:rPr>
        <w:t>2022 Proxy Statement</w:t>
      </w:r>
      <w:r>
        <w:rPr>
          <w:sz w:val="20"/>
          <w:szCs w:val="20"/>
          <w:color w:val="auto"/>
        </w:rPr>
        <w:tab/>
      </w:r>
      <w:r>
        <w:rPr>
          <w:rFonts w:ascii="Arial" w:cs="Arial" w:eastAsia="Arial" w:hAnsi="Arial"/>
          <w:sz w:val="12"/>
          <w:szCs w:val="12"/>
          <w:b w:val="1"/>
          <w:bCs w:val="1"/>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1" w:right="1279" w:bottom="1440" w:gutter="0" w:footer="0" w:header="0"/>
          <w:type w:val="continuous"/>
        </w:sectPr>
      </w:pPr>
    </w:p>
    <w:bookmarkStart w:id="103" w:name="page104"/>
    <w:bookmarkEnd w:id="103"/>
    <w:p>
      <w:pPr>
        <w:spacing w:after="0"/>
        <w:rPr>
          <w:rFonts w:ascii="Arial" w:cs="Arial" w:eastAsia="Arial" w:hAnsi="Arial"/>
          <w:sz w:val="14"/>
          <w:szCs w:val="14"/>
          <w:color w:val="003366"/>
        </w:rPr>
      </w:pPr>
      <w:hyperlink w:anchor="page8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8"/>
              </w:rPr>
              <w:t>Table of Contents</w:t>
            </w:r>
          </w:p>
        </w:tc>
        <w:tc>
          <w:tcPr>
            <w:tcW w:w="3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423"/>
        </w:trPr>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80" w:type="dxa"/>
            <w:vAlign w:val="bottom"/>
          </w:tcPr>
          <w:p>
            <w:pPr>
              <w:ind w:left="20"/>
              <w:spacing w:after="0"/>
              <w:rPr>
                <w:sz w:val="20"/>
                <w:szCs w:val="20"/>
                <w:color w:val="auto"/>
              </w:rPr>
            </w:pPr>
            <w:r>
              <w:rPr>
                <w:rFonts w:ascii="Arial" w:cs="Arial" w:eastAsia="Arial" w:hAnsi="Arial"/>
                <w:sz w:val="13"/>
                <w:szCs w:val="13"/>
                <w:b w:val="1"/>
                <w:bCs w:val="1"/>
                <w:color w:val="auto"/>
              </w:rPr>
              <w:t>Page</w:t>
            </w:r>
          </w:p>
        </w:tc>
        <w:tc>
          <w:tcPr>
            <w:tcW w:w="680" w:type="dxa"/>
            <w:vAlign w:val="bottom"/>
          </w:tcPr>
          <w:p>
            <w:pPr>
              <w:spacing w:after="0"/>
              <w:rPr>
                <w:sz w:val="24"/>
                <w:szCs w:val="24"/>
                <w:color w:val="auto"/>
              </w:rPr>
            </w:pPr>
          </w:p>
        </w:tc>
      </w:tr>
      <w:tr>
        <w:trPr>
          <w:trHeight w:val="43"/>
        </w:trPr>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30"/>
        </w:trPr>
        <w:tc>
          <w:tcPr>
            <w:tcW w:w="66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7"/>
            <w:shd w:val="clear" w:color="auto" w:fill="CCEEFF"/>
          </w:tcPr>
          <w:p>
            <w:pPr>
              <w:jc w:val="right"/>
              <w:ind w:right="120"/>
              <w:spacing w:after="0"/>
              <w:rPr>
                <w:rFonts w:ascii="Arial" w:cs="Arial" w:eastAsia="Arial" w:hAnsi="Arial"/>
                <w:sz w:val="16"/>
                <w:szCs w:val="16"/>
                <w:color w:val="0000EE"/>
                <w:w w:val="99"/>
              </w:rPr>
            </w:pPr>
            <w:hyperlink w:anchor="page105">
              <w:r>
                <w:rPr>
                  <w:rFonts w:ascii="Arial" w:cs="Arial" w:eastAsia="Arial" w:hAnsi="Arial"/>
                  <w:sz w:val="16"/>
                  <w:szCs w:val="16"/>
                  <w:color w:val="0000EE"/>
                  <w:w w:val="99"/>
                </w:rPr>
                <w:t>SECTION 1</w:t>
              </w:r>
            </w:hyperlink>
          </w:p>
        </w:tc>
        <w:tc>
          <w:tcPr>
            <w:tcW w:w="4260" w:type="dxa"/>
            <w:vAlign w:val="bottom"/>
            <w:gridSpan w:val="34"/>
            <w:shd w:val="clear" w:color="auto" w:fill="CCEEFF"/>
          </w:tcPr>
          <w:p>
            <w:pPr>
              <w:ind w:left="100"/>
              <w:spacing w:after="0"/>
              <w:rPr>
                <w:rFonts w:ascii="Arial" w:cs="Arial" w:eastAsia="Arial" w:hAnsi="Arial"/>
                <w:sz w:val="16"/>
                <w:szCs w:val="16"/>
                <w:color w:val="0000EE"/>
              </w:rPr>
            </w:pPr>
            <w:hyperlink w:anchor="page105">
              <w:r>
                <w:rPr>
                  <w:rFonts w:ascii="Arial" w:cs="Arial" w:eastAsia="Arial" w:hAnsi="Arial"/>
                  <w:sz w:val="16"/>
                  <w:szCs w:val="16"/>
                  <w:color w:val="0000EE"/>
                </w:rPr>
                <w:t>Purpose of the Plan.</w:t>
              </w:r>
            </w:hyperlink>
          </w:p>
        </w:tc>
        <w:tc>
          <w:tcPr>
            <w:tcW w:w="4060" w:type="dxa"/>
            <w:vAlign w:val="bottom"/>
            <w:tcBorders>
              <w:right w:val="single" w:sz="8" w:color="CCEEFF"/>
            </w:tcBorders>
            <w:gridSpan w:val="2"/>
            <w:shd w:val="clear" w:color="auto" w:fill="CCEEFF"/>
          </w:tcPr>
          <w:p>
            <w:pPr>
              <w:ind w:left="3680"/>
              <w:spacing w:after="0"/>
              <w:rPr>
                <w:rFonts w:ascii="Arial" w:cs="Arial" w:eastAsia="Arial" w:hAnsi="Arial"/>
                <w:sz w:val="16"/>
                <w:szCs w:val="16"/>
                <w:color w:val="0000EE"/>
              </w:rPr>
            </w:pPr>
            <w:hyperlink w:anchor="page105">
              <w:r>
                <w:rPr>
                  <w:rFonts w:ascii="Arial" w:cs="Arial" w:eastAsia="Arial" w:hAnsi="Arial"/>
                  <w:sz w:val="16"/>
                  <w:szCs w:val="16"/>
                  <w:color w:val="0000EE"/>
                </w:rPr>
                <w:t>A-20</w:t>
              </w:r>
            </w:hyperlink>
          </w:p>
        </w:tc>
        <w:tc>
          <w:tcPr>
            <w:tcW w:w="68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36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right w:val="single" w:sz="8" w:color="CCEEFF"/>
            </w:tcBorders>
            <w:shd w:val="clear" w:color="auto" w:fill="CCEEFF"/>
          </w:tcPr>
          <w:p>
            <w:pPr>
              <w:spacing w:after="0"/>
              <w:rPr>
                <w:sz w:val="2"/>
                <w:szCs w:val="2"/>
                <w:color w:val="auto"/>
              </w:rPr>
            </w:pPr>
          </w:p>
        </w:tc>
        <w:tc>
          <w:tcPr>
            <w:tcW w:w="680" w:type="dxa"/>
            <w:vAlign w:val="bottom"/>
          </w:tcPr>
          <w:p>
            <w:pPr>
              <w:spacing w:after="0"/>
              <w:rPr>
                <w:sz w:val="2"/>
                <w:szCs w:val="2"/>
                <w:color w:val="auto"/>
              </w:rPr>
            </w:pPr>
          </w:p>
        </w:tc>
      </w:tr>
      <w:tr>
        <w:trPr>
          <w:trHeight w:val="230"/>
        </w:trPr>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7"/>
          </w:tcPr>
          <w:p>
            <w:pPr>
              <w:jc w:val="right"/>
              <w:ind w:right="120"/>
              <w:spacing w:after="0"/>
              <w:rPr>
                <w:rFonts w:ascii="Arial" w:cs="Arial" w:eastAsia="Arial" w:hAnsi="Arial"/>
                <w:sz w:val="16"/>
                <w:szCs w:val="16"/>
                <w:color w:val="0000EE"/>
                <w:w w:val="99"/>
              </w:rPr>
            </w:pPr>
            <w:hyperlink w:anchor="page105">
              <w:r>
                <w:rPr>
                  <w:rFonts w:ascii="Arial" w:cs="Arial" w:eastAsia="Arial" w:hAnsi="Arial"/>
                  <w:sz w:val="16"/>
                  <w:szCs w:val="16"/>
                  <w:color w:val="0000EE"/>
                  <w:w w:val="99"/>
                </w:rPr>
                <w:t>SECTION 2</w:t>
              </w:r>
            </w:hyperlink>
          </w:p>
        </w:tc>
        <w:tc>
          <w:tcPr>
            <w:tcW w:w="4260" w:type="dxa"/>
            <w:vAlign w:val="bottom"/>
            <w:gridSpan w:val="34"/>
          </w:tcPr>
          <w:p>
            <w:pPr>
              <w:ind w:left="100"/>
              <w:spacing w:after="0"/>
              <w:rPr>
                <w:rFonts w:ascii="Arial" w:cs="Arial" w:eastAsia="Arial" w:hAnsi="Arial"/>
                <w:sz w:val="16"/>
                <w:szCs w:val="16"/>
                <w:color w:val="0000EE"/>
              </w:rPr>
            </w:pPr>
            <w:hyperlink w:anchor="page105">
              <w:r>
                <w:rPr>
                  <w:rFonts w:ascii="Arial" w:cs="Arial" w:eastAsia="Arial" w:hAnsi="Arial"/>
                  <w:sz w:val="16"/>
                  <w:szCs w:val="16"/>
                  <w:color w:val="0000EE"/>
                </w:rPr>
                <w:t>Definitions.</w:t>
              </w:r>
            </w:hyperlink>
          </w:p>
        </w:tc>
        <w:tc>
          <w:tcPr>
            <w:tcW w:w="4060" w:type="dxa"/>
            <w:vAlign w:val="bottom"/>
            <w:gridSpan w:val="2"/>
          </w:tcPr>
          <w:p>
            <w:pPr>
              <w:ind w:left="3680"/>
              <w:spacing w:after="0"/>
              <w:rPr>
                <w:rFonts w:ascii="Arial" w:cs="Arial" w:eastAsia="Arial" w:hAnsi="Arial"/>
                <w:sz w:val="16"/>
                <w:szCs w:val="16"/>
                <w:color w:val="0000EE"/>
              </w:rPr>
            </w:pPr>
            <w:hyperlink w:anchor="page105">
              <w:r>
                <w:rPr>
                  <w:rFonts w:ascii="Arial" w:cs="Arial" w:eastAsia="Arial" w:hAnsi="Arial"/>
                  <w:sz w:val="16"/>
                  <w:szCs w:val="16"/>
                  <w:color w:val="0000EE"/>
                </w:rPr>
                <w:t>A-20</w:t>
              </w:r>
            </w:hyperlink>
          </w:p>
        </w:tc>
        <w:tc>
          <w:tcPr>
            <w:tcW w:w="68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80" w:type="dxa"/>
            <w:vAlign w:val="bottom"/>
          </w:tcPr>
          <w:p>
            <w:pPr>
              <w:spacing w:after="0"/>
              <w:rPr>
                <w:sz w:val="2"/>
                <w:szCs w:val="2"/>
                <w:color w:val="auto"/>
              </w:rPr>
            </w:pPr>
          </w:p>
        </w:tc>
      </w:tr>
      <w:tr>
        <w:trPr>
          <w:trHeight w:val="229"/>
        </w:trPr>
        <w:tc>
          <w:tcPr>
            <w:tcW w:w="66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gridSpan w:val="5"/>
            <w:shd w:val="clear" w:color="auto" w:fill="CCEEFF"/>
          </w:tcPr>
          <w:p>
            <w:pPr>
              <w:jc w:val="right"/>
              <w:ind w:right="120"/>
              <w:spacing w:after="0"/>
              <w:rPr>
                <w:rFonts w:ascii="Arial" w:cs="Arial" w:eastAsia="Arial" w:hAnsi="Arial"/>
                <w:sz w:val="16"/>
                <w:szCs w:val="16"/>
                <w:color w:val="0000EE"/>
                <w:w w:val="91"/>
              </w:rPr>
            </w:pPr>
            <w:hyperlink w:anchor="page105">
              <w:r>
                <w:rPr>
                  <w:rFonts w:ascii="Arial" w:cs="Arial" w:eastAsia="Arial" w:hAnsi="Arial"/>
                  <w:sz w:val="16"/>
                  <w:szCs w:val="16"/>
                  <w:color w:val="0000EE"/>
                  <w:w w:val="91"/>
                </w:rPr>
                <w:t>(a)</w:t>
              </w:r>
            </w:hyperlink>
          </w:p>
        </w:tc>
        <w:tc>
          <w:tcPr>
            <w:tcW w:w="4260" w:type="dxa"/>
            <w:vAlign w:val="bottom"/>
            <w:gridSpan w:val="34"/>
            <w:shd w:val="clear" w:color="auto" w:fill="CCEEFF"/>
          </w:tcPr>
          <w:p>
            <w:pPr>
              <w:ind w:left="100"/>
              <w:spacing w:after="0"/>
              <w:rPr>
                <w:rFonts w:ascii="Arial" w:cs="Arial" w:eastAsia="Arial" w:hAnsi="Arial"/>
                <w:sz w:val="16"/>
                <w:szCs w:val="16"/>
                <w:color w:val="0000EE"/>
              </w:rPr>
            </w:pPr>
            <w:hyperlink w:anchor="page105">
              <w:r>
                <w:rPr>
                  <w:rFonts w:ascii="Arial" w:cs="Arial" w:eastAsia="Arial" w:hAnsi="Arial"/>
                  <w:sz w:val="16"/>
                  <w:szCs w:val="16"/>
                  <w:color w:val="0000EE"/>
                </w:rPr>
                <w:t>“Committee”</w:t>
              </w:r>
            </w:hyperlink>
          </w:p>
        </w:tc>
        <w:tc>
          <w:tcPr>
            <w:tcW w:w="4060" w:type="dxa"/>
            <w:vAlign w:val="bottom"/>
            <w:tcBorders>
              <w:right w:val="single" w:sz="8" w:color="CCEEFF"/>
            </w:tcBorders>
            <w:gridSpan w:val="2"/>
            <w:shd w:val="clear" w:color="auto" w:fill="CCEEFF"/>
          </w:tcPr>
          <w:p>
            <w:pPr>
              <w:ind w:left="3680"/>
              <w:spacing w:after="0"/>
              <w:rPr>
                <w:rFonts w:ascii="Arial" w:cs="Arial" w:eastAsia="Arial" w:hAnsi="Arial"/>
                <w:sz w:val="16"/>
                <w:szCs w:val="16"/>
                <w:color w:val="0000EE"/>
              </w:rPr>
            </w:pPr>
            <w:hyperlink w:anchor="page105">
              <w:r>
                <w:rPr>
                  <w:rFonts w:ascii="Arial" w:cs="Arial" w:eastAsia="Arial" w:hAnsi="Arial"/>
                  <w:sz w:val="16"/>
                  <w:szCs w:val="16"/>
                  <w:color w:val="0000EE"/>
                </w:rPr>
                <w:t>A-20</w:t>
              </w:r>
            </w:hyperlink>
          </w:p>
        </w:tc>
        <w:tc>
          <w:tcPr>
            <w:tcW w:w="68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36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right w:val="single" w:sz="8" w:color="CCEEFF"/>
            </w:tcBorders>
            <w:shd w:val="clear" w:color="auto" w:fill="CCEEFF"/>
          </w:tcPr>
          <w:p>
            <w:pPr>
              <w:spacing w:after="0"/>
              <w:rPr>
                <w:sz w:val="2"/>
                <w:szCs w:val="2"/>
                <w:color w:val="auto"/>
              </w:rPr>
            </w:pPr>
          </w:p>
        </w:tc>
        <w:tc>
          <w:tcPr>
            <w:tcW w:w="680" w:type="dxa"/>
            <w:vAlign w:val="bottom"/>
          </w:tcPr>
          <w:p>
            <w:pPr>
              <w:spacing w:after="0"/>
              <w:rPr>
                <w:sz w:val="2"/>
                <w:szCs w:val="2"/>
                <w:color w:val="auto"/>
              </w:rPr>
            </w:pPr>
          </w:p>
        </w:tc>
      </w:tr>
      <w:tr>
        <w:trPr>
          <w:trHeight w:val="229"/>
        </w:trPr>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gridSpan w:val="5"/>
          </w:tcPr>
          <w:p>
            <w:pPr>
              <w:jc w:val="right"/>
              <w:ind w:right="120"/>
              <w:spacing w:after="0"/>
              <w:rPr>
                <w:rFonts w:ascii="Arial" w:cs="Arial" w:eastAsia="Arial" w:hAnsi="Arial"/>
                <w:sz w:val="16"/>
                <w:szCs w:val="16"/>
                <w:color w:val="0000EE"/>
                <w:w w:val="91"/>
              </w:rPr>
            </w:pPr>
            <w:hyperlink w:anchor="page105">
              <w:r>
                <w:rPr>
                  <w:rFonts w:ascii="Arial" w:cs="Arial" w:eastAsia="Arial" w:hAnsi="Arial"/>
                  <w:sz w:val="16"/>
                  <w:szCs w:val="16"/>
                  <w:color w:val="0000EE"/>
                  <w:w w:val="91"/>
                </w:rPr>
                <w:t>(b)</w:t>
              </w:r>
            </w:hyperlink>
          </w:p>
        </w:tc>
        <w:tc>
          <w:tcPr>
            <w:tcW w:w="4260" w:type="dxa"/>
            <w:vAlign w:val="bottom"/>
            <w:gridSpan w:val="34"/>
          </w:tcPr>
          <w:p>
            <w:pPr>
              <w:ind w:left="100"/>
              <w:spacing w:after="0"/>
              <w:rPr>
                <w:rFonts w:ascii="Arial" w:cs="Arial" w:eastAsia="Arial" w:hAnsi="Arial"/>
                <w:sz w:val="16"/>
                <w:szCs w:val="16"/>
                <w:color w:val="0000EE"/>
              </w:rPr>
            </w:pPr>
            <w:hyperlink w:anchor="page105">
              <w:r>
                <w:rPr>
                  <w:rFonts w:ascii="Arial" w:cs="Arial" w:eastAsia="Arial" w:hAnsi="Arial"/>
                  <w:sz w:val="16"/>
                  <w:szCs w:val="16"/>
                  <w:color w:val="0000EE"/>
                </w:rPr>
                <w:t>“Compensation”</w:t>
              </w:r>
            </w:hyperlink>
          </w:p>
        </w:tc>
        <w:tc>
          <w:tcPr>
            <w:tcW w:w="4060" w:type="dxa"/>
            <w:vAlign w:val="bottom"/>
            <w:gridSpan w:val="2"/>
          </w:tcPr>
          <w:p>
            <w:pPr>
              <w:ind w:left="3680"/>
              <w:spacing w:after="0"/>
              <w:rPr>
                <w:rFonts w:ascii="Arial" w:cs="Arial" w:eastAsia="Arial" w:hAnsi="Arial"/>
                <w:sz w:val="16"/>
                <w:szCs w:val="16"/>
                <w:color w:val="0000EE"/>
              </w:rPr>
            </w:pPr>
            <w:hyperlink w:anchor="page105">
              <w:r>
                <w:rPr>
                  <w:rFonts w:ascii="Arial" w:cs="Arial" w:eastAsia="Arial" w:hAnsi="Arial"/>
                  <w:sz w:val="16"/>
                  <w:szCs w:val="16"/>
                  <w:color w:val="0000EE"/>
                </w:rPr>
                <w:t>A-20</w:t>
              </w:r>
            </w:hyperlink>
          </w:p>
        </w:tc>
        <w:tc>
          <w:tcPr>
            <w:tcW w:w="68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80" w:type="dxa"/>
            <w:vAlign w:val="bottom"/>
          </w:tcPr>
          <w:p>
            <w:pPr>
              <w:spacing w:after="0"/>
              <w:rPr>
                <w:sz w:val="2"/>
                <w:szCs w:val="2"/>
                <w:color w:val="auto"/>
              </w:rPr>
            </w:pPr>
          </w:p>
        </w:tc>
      </w:tr>
      <w:tr>
        <w:trPr>
          <w:trHeight w:val="229"/>
        </w:trPr>
        <w:tc>
          <w:tcPr>
            <w:tcW w:w="66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gridSpan w:val="5"/>
            <w:shd w:val="clear" w:color="auto" w:fill="CCEEFF"/>
          </w:tcPr>
          <w:p>
            <w:pPr>
              <w:jc w:val="right"/>
              <w:ind w:right="120"/>
              <w:spacing w:after="0"/>
              <w:rPr>
                <w:rFonts w:ascii="Arial" w:cs="Arial" w:eastAsia="Arial" w:hAnsi="Arial"/>
                <w:sz w:val="16"/>
                <w:szCs w:val="16"/>
                <w:color w:val="0000EE"/>
                <w:w w:val="96"/>
              </w:rPr>
            </w:pPr>
            <w:hyperlink w:anchor="page105">
              <w:r>
                <w:rPr>
                  <w:rFonts w:ascii="Arial" w:cs="Arial" w:eastAsia="Arial" w:hAnsi="Arial"/>
                  <w:sz w:val="16"/>
                  <w:szCs w:val="16"/>
                  <w:color w:val="0000EE"/>
                  <w:w w:val="96"/>
                </w:rPr>
                <w:t>(c)</w:t>
              </w:r>
            </w:hyperlink>
          </w:p>
        </w:tc>
        <w:tc>
          <w:tcPr>
            <w:tcW w:w="4260" w:type="dxa"/>
            <w:vAlign w:val="bottom"/>
            <w:gridSpan w:val="34"/>
            <w:shd w:val="clear" w:color="auto" w:fill="CCEEFF"/>
          </w:tcPr>
          <w:p>
            <w:pPr>
              <w:ind w:left="100"/>
              <w:spacing w:after="0"/>
              <w:rPr>
                <w:rFonts w:ascii="Arial" w:cs="Arial" w:eastAsia="Arial" w:hAnsi="Arial"/>
                <w:sz w:val="16"/>
                <w:szCs w:val="16"/>
                <w:color w:val="0000EE"/>
              </w:rPr>
            </w:pPr>
            <w:hyperlink w:anchor="page105">
              <w:r>
                <w:rPr>
                  <w:rFonts w:ascii="Arial" w:cs="Arial" w:eastAsia="Arial" w:hAnsi="Arial"/>
                  <w:sz w:val="16"/>
                  <w:szCs w:val="16"/>
                  <w:color w:val="0000EE"/>
                </w:rPr>
                <w:t>“Corporate Reorganization”</w:t>
              </w:r>
            </w:hyperlink>
          </w:p>
        </w:tc>
        <w:tc>
          <w:tcPr>
            <w:tcW w:w="4060" w:type="dxa"/>
            <w:vAlign w:val="bottom"/>
            <w:tcBorders>
              <w:right w:val="single" w:sz="8" w:color="CCEEFF"/>
            </w:tcBorders>
            <w:gridSpan w:val="2"/>
            <w:shd w:val="clear" w:color="auto" w:fill="CCEEFF"/>
          </w:tcPr>
          <w:p>
            <w:pPr>
              <w:ind w:left="3680"/>
              <w:spacing w:after="0"/>
              <w:rPr>
                <w:rFonts w:ascii="Arial" w:cs="Arial" w:eastAsia="Arial" w:hAnsi="Arial"/>
                <w:sz w:val="16"/>
                <w:szCs w:val="16"/>
                <w:color w:val="0000EE"/>
              </w:rPr>
            </w:pPr>
            <w:hyperlink w:anchor="page105">
              <w:r>
                <w:rPr>
                  <w:rFonts w:ascii="Arial" w:cs="Arial" w:eastAsia="Arial" w:hAnsi="Arial"/>
                  <w:sz w:val="16"/>
                  <w:szCs w:val="16"/>
                  <w:color w:val="0000EE"/>
                </w:rPr>
                <w:t>A-20</w:t>
              </w:r>
            </w:hyperlink>
          </w:p>
        </w:tc>
        <w:tc>
          <w:tcPr>
            <w:tcW w:w="68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36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right w:val="single" w:sz="8" w:color="CCEEFF"/>
            </w:tcBorders>
            <w:shd w:val="clear" w:color="auto" w:fill="CCEEFF"/>
          </w:tcPr>
          <w:p>
            <w:pPr>
              <w:spacing w:after="0"/>
              <w:rPr>
                <w:sz w:val="2"/>
                <w:szCs w:val="2"/>
                <w:color w:val="auto"/>
              </w:rPr>
            </w:pPr>
          </w:p>
        </w:tc>
        <w:tc>
          <w:tcPr>
            <w:tcW w:w="680" w:type="dxa"/>
            <w:vAlign w:val="bottom"/>
          </w:tcPr>
          <w:p>
            <w:pPr>
              <w:spacing w:after="0"/>
              <w:rPr>
                <w:sz w:val="2"/>
                <w:szCs w:val="2"/>
                <w:color w:val="auto"/>
              </w:rPr>
            </w:pPr>
          </w:p>
        </w:tc>
      </w:tr>
      <w:tr>
        <w:trPr>
          <w:trHeight w:val="229"/>
        </w:trPr>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gridSpan w:val="5"/>
          </w:tcPr>
          <w:p>
            <w:pPr>
              <w:jc w:val="right"/>
              <w:ind w:right="120"/>
              <w:spacing w:after="0"/>
              <w:rPr>
                <w:rFonts w:ascii="Arial" w:cs="Arial" w:eastAsia="Arial" w:hAnsi="Arial"/>
                <w:sz w:val="16"/>
                <w:szCs w:val="16"/>
                <w:color w:val="0000EE"/>
                <w:w w:val="91"/>
              </w:rPr>
            </w:pPr>
            <w:hyperlink w:anchor="page105">
              <w:r>
                <w:rPr>
                  <w:rFonts w:ascii="Arial" w:cs="Arial" w:eastAsia="Arial" w:hAnsi="Arial"/>
                  <w:sz w:val="16"/>
                  <w:szCs w:val="16"/>
                  <w:color w:val="0000EE"/>
                  <w:w w:val="91"/>
                </w:rPr>
                <w:t>(d)</w:t>
              </w:r>
            </w:hyperlink>
          </w:p>
        </w:tc>
        <w:tc>
          <w:tcPr>
            <w:tcW w:w="4260" w:type="dxa"/>
            <w:vAlign w:val="bottom"/>
            <w:gridSpan w:val="34"/>
          </w:tcPr>
          <w:p>
            <w:pPr>
              <w:ind w:left="100"/>
              <w:spacing w:after="0"/>
              <w:rPr>
                <w:rFonts w:ascii="Arial" w:cs="Arial" w:eastAsia="Arial" w:hAnsi="Arial"/>
                <w:sz w:val="16"/>
                <w:szCs w:val="16"/>
                <w:color w:val="0000EE"/>
              </w:rPr>
            </w:pPr>
            <w:hyperlink w:anchor="page105">
              <w:r>
                <w:rPr>
                  <w:rFonts w:ascii="Arial" w:cs="Arial" w:eastAsia="Arial" w:hAnsi="Arial"/>
                  <w:sz w:val="16"/>
                  <w:szCs w:val="16"/>
                  <w:color w:val="0000EE"/>
                </w:rPr>
                <w:t>“Effective Date”</w:t>
              </w:r>
            </w:hyperlink>
          </w:p>
        </w:tc>
        <w:tc>
          <w:tcPr>
            <w:tcW w:w="4060" w:type="dxa"/>
            <w:vAlign w:val="bottom"/>
            <w:gridSpan w:val="2"/>
          </w:tcPr>
          <w:p>
            <w:pPr>
              <w:ind w:left="3680"/>
              <w:spacing w:after="0"/>
              <w:rPr>
                <w:rFonts w:ascii="Arial" w:cs="Arial" w:eastAsia="Arial" w:hAnsi="Arial"/>
                <w:sz w:val="16"/>
                <w:szCs w:val="16"/>
                <w:color w:val="0000EE"/>
              </w:rPr>
            </w:pPr>
            <w:hyperlink w:anchor="page105">
              <w:r>
                <w:rPr>
                  <w:rFonts w:ascii="Arial" w:cs="Arial" w:eastAsia="Arial" w:hAnsi="Arial"/>
                  <w:sz w:val="16"/>
                  <w:szCs w:val="16"/>
                  <w:color w:val="0000EE"/>
                </w:rPr>
                <w:t>A-20</w:t>
              </w:r>
            </w:hyperlink>
          </w:p>
        </w:tc>
        <w:tc>
          <w:tcPr>
            <w:tcW w:w="68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80" w:type="dxa"/>
            <w:vAlign w:val="bottom"/>
          </w:tcPr>
          <w:p>
            <w:pPr>
              <w:spacing w:after="0"/>
              <w:rPr>
                <w:sz w:val="2"/>
                <w:szCs w:val="2"/>
                <w:color w:val="auto"/>
              </w:rPr>
            </w:pPr>
          </w:p>
        </w:tc>
      </w:tr>
      <w:tr>
        <w:trPr>
          <w:trHeight w:val="230"/>
        </w:trPr>
        <w:tc>
          <w:tcPr>
            <w:tcW w:w="66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gridSpan w:val="5"/>
            <w:shd w:val="clear" w:color="auto" w:fill="CCEEFF"/>
          </w:tcPr>
          <w:p>
            <w:pPr>
              <w:jc w:val="right"/>
              <w:ind w:right="120"/>
              <w:spacing w:after="0"/>
              <w:rPr>
                <w:rFonts w:ascii="Arial" w:cs="Arial" w:eastAsia="Arial" w:hAnsi="Arial"/>
                <w:sz w:val="16"/>
                <w:szCs w:val="16"/>
                <w:color w:val="0000EE"/>
                <w:w w:val="91"/>
              </w:rPr>
            </w:pPr>
            <w:hyperlink w:anchor="page105">
              <w:r>
                <w:rPr>
                  <w:rFonts w:ascii="Arial" w:cs="Arial" w:eastAsia="Arial" w:hAnsi="Arial"/>
                  <w:sz w:val="16"/>
                  <w:szCs w:val="16"/>
                  <w:color w:val="0000EE"/>
                  <w:w w:val="91"/>
                </w:rPr>
                <w:t>(e)</w:t>
              </w:r>
            </w:hyperlink>
          </w:p>
        </w:tc>
        <w:tc>
          <w:tcPr>
            <w:tcW w:w="4260" w:type="dxa"/>
            <w:vAlign w:val="bottom"/>
            <w:gridSpan w:val="34"/>
            <w:shd w:val="clear" w:color="auto" w:fill="CCEEFF"/>
          </w:tcPr>
          <w:p>
            <w:pPr>
              <w:ind w:left="100"/>
              <w:spacing w:after="0"/>
              <w:rPr>
                <w:rFonts w:ascii="Arial" w:cs="Arial" w:eastAsia="Arial" w:hAnsi="Arial"/>
                <w:sz w:val="16"/>
                <w:szCs w:val="16"/>
                <w:color w:val="0000EE"/>
              </w:rPr>
            </w:pPr>
            <w:hyperlink w:anchor="page105">
              <w:r>
                <w:rPr>
                  <w:rFonts w:ascii="Arial" w:cs="Arial" w:eastAsia="Arial" w:hAnsi="Arial"/>
                  <w:sz w:val="16"/>
                  <w:szCs w:val="16"/>
                  <w:color w:val="0000EE"/>
                </w:rPr>
                <w:t>“Eligible Employee”</w:t>
              </w:r>
            </w:hyperlink>
          </w:p>
        </w:tc>
        <w:tc>
          <w:tcPr>
            <w:tcW w:w="4060" w:type="dxa"/>
            <w:vAlign w:val="bottom"/>
            <w:tcBorders>
              <w:right w:val="single" w:sz="8" w:color="CCEEFF"/>
            </w:tcBorders>
            <w:gridSpan w:val="2"/>
            <w:shd w:val="clear" w:color="auto" w:fill="CCEEFF"/>
          </w:tcPr>
          <w:p>
            <w:pPr>
              <w:ind w:left="3680"/>
              <w:spacing w:after="0"/>
              <w:rPr>
                <w:rFonts w:ascii="Arial" w:cs="Arial" w:eastAsia="Arial" w:hAnsi="Arial"/>
                <w:sz w:val="16"/>
                <w:szCs w:val="16"/>
                <w:color w:val="0000EE"/>
              </w:rPr>
            </w:pPr>
            <w:hyperlink w:anchor="page105">
              <w:r>
                <w:rPr>
                  <w:rFonts w:ascii="Arial" w:cs="Arial" w:eastAsia="Arial" w:hAnsi="Arial"/>
                  <w:sz w:val="16"/>
                  <w:szCs w:val="16"/>
                  <w:color w:val="0000EE"/>
                </w:rPr>
                <w:t>A-20</w:t>
              </w:r>
            </w:hyperlink>
          </w:p>
        </w:tc>
        <w:tc>
          <w:tcPr>
            <w:tcW w:w="68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36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right w:val="single" w:sz="8" w:color="CCEEFF"/>
            </w:tcBorders>
            <w:shd w:val="clear" w:color="auto" w:fill="CCEEFF"/>
          </w:tcPr>
          <w:p>
            <w:pPr>
              <w:spacing w:after="0"/>
              <w:rPr>
                <w:sz w:val="2"/>
                <w:szCs w:val="2"/>
                <w:color w:val="auto"/>
              </w:rPr>
            </w:pPr>
          </w:p>
        </w:tc>
        <w:tc>
          <w:tcPr>
            <w:tcW w:w="680" w:type="dxa"/>
            <w:vAlign w:val="bottom"/>
          </w:tcPr>
          <w:p>
            <w:pPr>
              <w:spacing w:after="0"/>
              <w:rPr>
                <w:sz w:val="2"/>
                <w:szCs w:val="2"/>
                <w:color w:val="auto"/>
              </w:rPr>
            </w:pPr>
          </w:p>
        </w:tc>
      </w:tr>
      <w:tr>
        <w:trPr>
          <w:trHeight w:val="230"/>
        </w:trPr>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tcPr>
          <w:p>
            <w:pPr>
              <w:jc w:val="right"/>
              <w:ind w:right="120"/>
              <w:spacing w:after="0"/>
              <w:rPr>
                <w:rFonts w:ascii="Arial" w:cs="Arial" w:eastAsia="Arial" w:hAnsi="Arial"/>
                <w:sz w:val="16"/>
                <w:szCs w:val="16"/>
                <w:color w:val="0000EE"/>
                <w:w w:val="79"/>
              </w:rPr>
            </w:pPr>
            <w:hyperlink w:anchor="page105">
              <w:r>
                <w:rPr>
                  <w:rFonts w:ascii="Arial" w:cs="Arial" w:eastAsia="Arial" w:hAnsi="Arial"/>
                  <w:sz w:val="16"/>
                  <w:szCs w:val="16"/>
                  <w:color w:val="0000EE"/>
                  <w:w w:val="79"/>
                </w:rPr>
                <w:t>(f)</w:t>
              </w:r>
            </w:hyperlink>
          </w:p>
        </w:tc>
        <w:tc>
          <w:tcPr>
            <w:tcW w:w="4260" w:type="dxa"/>
            <w:vAlign w:val="bottom"/>
            <w:gridSpan w:val="34"/>
          </w:tcPr>
          <w:p>
            <w:pPr>
              <w:ind w:left="100"/>
              <w:spacing w:after="0"/>
              <w:rPr>
                <w:rFonts w:ascii="Arial" w:cs="Arial" w:eastAsia="Arial" w:hAnsi="Arial"/>
                <w:sz w:val="16"/>
                <w:szCs w:val="16"/>
                <w:color w:val="0000EE"/>
              </w:rPr>
            </w:pPr>
            <w:hyperlink w:anchor="page105">
              <w:r>
                <w:rPr>
                  <w:rFonts w:ascii="Arial" w:cs="Arial" w:eastAsia="Arial" w:hAnsi="Arial"/>
                  <w:sz w:val="16"/>
                  <w:szCs w:val="16"/>
                  <w:color w:val="0000EE"/>
                </w:rPr>
                <w:t>“Fair Market Value”</w:t>
              </w:r>
            </w:hyperlink>
          </w:p>
        </w:tc>
        <w:tc>
          <w:tcPr>
            <w:tcW w:w="4060" w:type="dxa"/>
            <w:vAlign w:val="bottom"/>
            <w:gridSpan w:val="2"/>
          </w:tcPr>
          <w:p>
            <w:pPr>
              <w:ind w:left="3680"/>
              <w:spacing w:after="0"/>
              <w:rPr>
                <w:rFonts w:ascii="Arial" w:cs="Arial" w:eastAsia="Arial" w:hAnsi="Arial"/>
                <w:sz w:val="16"/>
                <w:szCs w:val="16"/>
                <w:color w:val="0000EE"/>
              </w:rPr>
            </w:pPr>
            <w:hyperlink w:anchor="page105">
              <w:r>
                <w:rPr>
                  <w:rFonts w:ascii="Arial" w:cs="Arial" w:eastAsia="Arial" w:hAnsi="Arial"/>
                  <w:sz w:val="16"/>
                  <w:szCs w:val="16"/>
                  <w:color w:val="0000EE"/>
                </w:rPr>
                <w:t>A-20</w:t>
              </w:r>
            </w:hyperlink>
          </w:p>
        </w:tc>
        <w:tc>
          <w:tcPr>
            <w:tcW w:w="68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80" w:type="dxa"/>
            <w:vAlign w:val="bottom"/>
          </w:tcPr>
          <w:p>
            <w:pPr>
              <w:spacing w:after="0"/>
              <w:rPr>
                <w:sz w:val="2"/>
                <w:szCs w:val="2"/>
                <w:color w:val="auto"/>
              </w:rPr>
            </w:pPr>
          </w:p>
        </w:tc>
      </w:tr>
      <w:tr>
        <w:trPr>
          <w:trHeight w:val="229"/>
        </w:trPr>
        <w:tc>
          <w:tcPr>
            <w:tcW w:w="66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gridSpan w:val="5"/>
            <w:shd w:val="clear" w:color="auto" w:fill="CCEEFF"/>
          </w:tcPr>
          <w:p>
            <w:pPr>
              <w:jc w:val="right"/>
              <w:ind w:right="120"/>
              <w:spacing w:after="0"/>
              <w:rPr>
                <w:rFonts w:ascii="Arial" w:cs="Arial" w:eastAsia="Arial" w:hAnsi="Arial"/>
                <w:sz w:val="16"/>
                <w:szCs w:val="16"/>
                <w:color w:val="0000EE"/>
                <w:w w:val="91"/>
              </w:rPr>
            </w:pPr>
            <w:hyperlink w:anchor="page106">
              <w:r>
                <w:rPr>
                  <w:rFonts w:ascii="Arial" w:cs="Arial" w:eastAsia="Arial" w:hAnsi="Arial"/>
                  <w:sz w:val="16"/>
                  <w:szCs w:val="16"/>
                  <w:color w:val="0000EE"/>
                  <w:w w:val="91"/>
                </w:rPr>
                <w:t>(g)</w:t>
              </w:r>
            </w:hyperlink>
          </w:p>
        </w:tc>
        <w:tc>
          <w:tcPr>
            <w:tcW w:w="4260" w:type="dxa"/>
            <w:vAlign w:val="bottom"/>
            <w:gridSpan w:val="34"/>
            <w:shd w:val="clear" w:color="auto" w:fill="CCEEFF"/>
          </w:tcPr>
          <w:p>
            <w:pPr>
              <w:ind w:left="100"/>
              <w:spacing w:after="0"/>
              <w:rPr>
                <w:rFonts w:ascii="Arial" w:cs="Arial" w:eastAsia="Arial" w:hAnsi="Arial"/>
                <w:sz w:val="16"/>
                <w:szCs w:val="16"/>
                <w:color w:val="0000EE"/>
              </w:rPr>
            </w:pPr>
            <w:hyperlink w:anchor="page106">
              <w:r>
                <w:rPr>
                  <w:rFonts w:ascii="Arial" w:cs="Arial" w:eastAsia="Arial" w:hAnsi="Arial"/>
                  <w:sz w:val="16"/>
                  <w:szCs w:val="16"/>
                  <w:color w:val="0000EE"/>
                </w:rPr>
                <w:t>“Offering”</w:t>
              </w:r>
            </w:hyperlink>
          </w:p>
        </w:tc>
        <w:tc>
          <w:tcPr>
            <w:tcW w:w="4060" w:type="dxa"/>
            <w:vAlign w:val="bottom"/>
            <w:tcBorders>
              <w:right w:val="single" w:sz="8" w:color="CCEEFF"/>
            </w:tcBorders>
            <w:gridSpan w:val="2"/>
            <w:shd w:val="clear" w:color="auto" w:fill="CCEEFF"/>
          </w:tcPr>
          <w:p>
            <w:pPr>
              <w:ind w:left="3680"/>
              <w:spacing w:after="0"/>
              <w:rPr>
                <w:rFonts w:ascii="Arial" w:cs="Arial" w:eastAsia="Arial" w:hAnsi="Arial"/>
                <w:sz w:val="16"/>
                <w:szCs w:val="16"/>
                <w:color w:val="0000EE"/>
              </w:rPr>
            </w:pPr>
            <w:hyperlink w:anchor="page106">
              <w:r>
                <w:rPr>
                  <w:rFonts w:ascii="Arial" w:cs="Arial" w:eastAsia="Arial" w:hAnsi="Arial"/>
                  <w:sz w:val="16"/>
                  <w:szCs w:val="16"/>
                  <w:color w:val="0000EE"/>
                </w:rPr>
                <w:t>A-21</w:t>
              </w:r>
            </w:hyperlink>
          </w:p>
        </w:tc>
        <w:tc>
          <w:tcPr>
            <w:tcW w:w="68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36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right w:val="single" w:sz="8" w:color="CCEEFF"/>
            </w:tcBorders>
            <w:shd w:val="clear" w:color="auto" w:fill="CCEEFF"/>
          </w:tcPr>
          <w:p>
            <w:pPr>
              <w:spacing w:after="0"/>
              <w:rPr>
                <w:sz w:val="2"/>
                <w:szCs w:val="2"/>
                <w:color w:val="auto"/>
              </w:rPr>
            </w:pPr>
          </w:p>
        </w:tc>
        <w:tc>
          <w:tcPr>
            <w:tcW w:w="680" w:type="dxa"/>
            <w:vAlign w:val="bottom"/>
          </w:tcPr>
          <w:p>
            <w:pPr>
              <w:spacing w:after="0"/>
              <w:rPr>
                <w:sz w:val="2"/>
                <w:szCs w:val="2"/>
                <w:color w:val="auto"/>
              </w:rPr>
            </w:pPr>
          </w:p>
        </w:tc>
      </w:tr>
      <w:tr>
        <w:trPr>
          <w:trHeight w:val="229"/>
        </w:trPr>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gridSpan w:val="5"/>
          </w:tcPr>
          <w:p>
            <w:pPr>
              <w:jc w:val="right"/>
              <w:ind w:right="120"/>
              <w:spacing w:after="0"/>
              <w:rPr>
                <w:rFonts w:ascii="Arial" w:cs="Arial" w:eastAsia="Arial" w:hAnsi="Arial"/>
                <w:sz w:val="16"/>
                <w:szCs w:val="16"/>
                <w:color w:val="0000EE"/>
                <w:w w:val="91"/>
              </w:rPr>
            </w:pPr>
            <w:hyperlink w:anchor="page106">
              <w:r>
                <w:rPr>
                  <w:rFonts w:ascii="Arial" w:cs="Arial" w:eastAsia="Arial" w:hAnsi="Arial"/>
                  <w:sz w:val="16"/>
                  <w:szCs w:val="16"/>
                  <w:color w:val="0000EE"/>
                  <w:w w:val="91"/>
                </w:rPr>
                <w:t>(h)</w:t>
              </w:r>
            </w:hyperlink>
          </w:p>
        </w:tc>
        <w:tc>
          <w:tcPr>
            <w:tcW w:w="4260" w:type="dxa"/>
            <w:vAlign w:val="bottom"/>
            <w:gridSpan w:val="34"/>
          </w:tcPr>
          <w:p>
            <w:pPr>
              <w:ind w:left="100"/>
              <w:spacing w:after="0"/>
              <w:rPr>
                <w:rFonts w:ascii="Arial" w:cs="Arial" w:eastAsia="Arial" w:hAnsi="Arial"/>
                <w:sz w:val="16"/>
                <w:szCs w:val="16"/>
                <w:color w:val="0000EE"/>
              </w:rPr>
            </w:pPr>
            <w:hyperlink w:anchor="page106">
              <w:r>
                <w:rPr>
                  <w:rFonts w:ascii="Arial" w:cs="Arial" w:eastAsia="Arial" w:hAnsi="Arial"/>
                  <w:sz w:val="16"/>
                  <w:szCs w:val="16"/>
                  <w:color w:val="0000EE"/>
                </w:rPr>
                <w:t>“Offering Date”</w:t>
              </w:r>
            </w:hyperlink>
          </w:p>
        </w:tc>
        <w:tc>
          <w:tcPr>
            <w:tcW w:w="4060" w:type="dxa"/>
            <w:vAlign w:val="bottom"/>
            <w:gridSpan w:val="2"/>
          </w:tcPr>
          <w:p>
            <w:pPr>
              <w:ind w:left="3680"/>
              <w:spacing w:after="0"/>
              <w:rPr>
                <w:rFonts w:ascii="Arial" w:cs="Arial" w:eastAsia="Arial" w:hAnsi="Arial"/>
                <w:sz w:val="16"/>
                <w:szCs w:val="16"/>
                <w:color w:val="0000EE"/>
              </w:rPr>
            </w:pPr>
            <w:hyperlink w:anchor="page106">
              <w:r>
                <w:rPr>
                  <w:rFonts w:ascii="Arial" w:cs="Arial" w:eastAsia="Arial" w:hAnsi="Arial"/>
                  <w:sz w:val="16"/>
                  <w:szCs w:val="16"/>
                  <w:color w:val="0000EE"/>
                </w:rPr>
                <w:t>A-21</w:t>
              </w:r>
            </w:hyperlink>
          </w:p>
        </w:tc>
        <w:tc>
          <w:tcPr>
            <w:tcW w:w="68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80" w:type="dxa"/>
            <w:vAlign w:val="bottom"/>
          </w:tcPr>
          <w:p>
            <w:pPr>
              <w:spacing w:after="0"/>
              <w:rPr>
                <w:sz w:val="2"/>
                <w:szCs w:val="2"/>
                <w:color w:val="auto"/>
              </w:rPr>
            </w:pPr>
          </w:p>
        </w:tc>
      </w:tr>
      <w:tr>
        <w:trPr>
          <w:trHeight w:val="229"/>
        </w:trPr>
        <w:tc>
          <w:tcPr>
            <w:tcW w:w="66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20"/>
              <w:spacing w:after="0"/>
              <w:rPr>
                <w:rFonts w:ascii="Arial" w:cs="Arial" w:eastAsia="Arial" w:hAnsi="Arial"/>
                <w:sz w:val="16"/>
                <w:szCs w:val="16"/>
                <w:color w:val="0000EE"/>
                <w:w w:val="84"/>
              </w:rPr>
            </w:pPr>
            <w:hyperlink w:anchor="page106">
              <w:r>
                <w:rPr>
                  <w:rFonts w:ascii="Arial" w:cs="Arial" w:eastAsia="Arial" w:hAnsi="Arial"/>
                  <w:sz w:val="16"/>
                  <w:szCs w:val="16"/>
                  <w:color w:val="0000EE"/>
                  <w:w w:val="84"/>
                </w:rPr>
                <w:t>(i)</w:t>
              </w:r>
            </w:hyperlink>
          </w:p>
        </w:tc>
        <w:tc>
          <w:tcPr>
            <w:tcW w:w="4260" w:type="dxa"/>
            <w:vAlign w:val="bottom"/>
            <w:gridSpan w:val="34"/>
            <w:shd w:val="clear" w:color="auto" w:fill="CCEEFF"/>
          </w:tcPr>
          <w:p>
            <w:pPr>
              <w:ind w:left="100"/>
              <w:spacing w:after="0"/>
              <w:rPr>
                <w:rFonts w:ascii="Arial" w:cs="Arial" w:eastAsia="Arial" w:hAnsi="Arial"/>
                <w:sz w:val="16"/>
                <w:szCs w:val="16"/>
                <w:color w:val="0000EE"/>
              </w:rPr>
            </w:pPr>
            <w:hyperlink w:anchor="page106">
              <w:r>
                <w:rPr>
                  <w:rFonts w:ascii="Arial" w:cs="Arial" w:eastAsia="Arial" w:hAnsi="Arial"/>
                  <w:sz w:val="16"/>
                  <w:szCs w:val="16"/>
                  <w:color w:val="0000EE"/>
                </w:rPr>
                <w:t>“Offering Period”</w:t>
              </w:r>
            </w:hyperlink>
          </w:p>
        </w:tc>
        <w:tc>
          <w:tcPr>
            <w:tcW w:w="4060" w:type="dxa"/>
            <w:vAlign w:val="bottom"/>
            <w:tcBorders>
              <w:right w:val="single" w:sz="8" w:color="CCEEFF"/>
            </w:tcBorders>
            <w:gridSpan w:val="2"/>
            <w:shd w:val="clear" w:color="auto" w:fill="CCEEFF"/>
          </w:tcPr>
          <w:p>
            <w:pPr>
              <w:ind w:left="3680"/>
              <w:spacing w:after="0"/>
              <w:rPr>
                <w:rFonts w:ascii="Arial" w:cs="Arial" w:eastAsia="Arial" w:hAnsi="Arial"/>
                <w:sz w:val="16"/>
                <w:szCs w:val="16"/>
                <w:color w:val="0000EE"/>
              </w:rPr>
            </w:pPr>
            <w:hyperlink w:anchor="page106">
              <w:r>
                <w:rPr>
                  <w:rFonts w:ascii="Arial" w:cs="Arial" w:eastAsia="Arial" w:hAnsi="Arial"/>
                  <w:sz w:val="16"/>
                  <w:szCs w:val="16"/>
                  <w:color w:val="0000EE"/>
                </w:rPr>
                <w:t>A-21</w:t>
              </w:r>
            </w:hyperlink>
          </w:p>
        </w:tc>
        <w:tc>
          <w:tcPr>
            <w:tcW w:w="68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36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right w:val="single" w:sz="8" w:color="CCEEFF"/>
            </w:tcBorders>
            <w:shd w:val="clear" w:color="auto" w:fill="CCEEFF"/>
          </w:tcPr>
          <w:p>
            <w:pPr>
              <w:spacing w:after="0"/>
              <w:rPr>
                <w:sz w:val="2"/>
                <w:szCs w:val="2"/>
                <w:color w:val="auto"/>
              </w:rPr>
            </w:pPr>
          </w:p>
        </w:tc>
        <w:tc>
          <w:tcPr>
            <w:tcW w:w="680" w:type="dxa"/>
            <w:vAlign w:val="bottom"/>
          </w:tcPr>
          <w:p>
            <w:pPr>
              <w:spacing w:after="0"/>
              <w:rPr>
                <w:sz w:val="2"/>
                <w:szCs w:val="2"/>
                <w:color w:val="auto"/>
              </w:rPr>
            </w:pPr>
          </w:p>
        </w:tc>
      </w:tr>
      <w:tr>
        <w:trPr>
          <w:trHeight w:val="229"/>
        </w:trPr>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tcPr>
          <w:p>
            <w:pPr>
              <w:jc w:val="right"/>
              <w:ind w:right="120"/>
              <w:spacing w:after="0"/>
              <w:rPr>
                <w:rFonts w:ascii="Arial" w:cs="Arial" w:eastAsia="Arial" w:hAnsi="Arial"/>
                <w:sz w:val="16"/>
                <w:szCs w:val="16"/>
                <w:color w:val="0000EE"/>
                <w:w w:val="84"/>
              </w:rPr>
            </w:pPr>
            <w:hyperlink w:anchor="page106">
              <w:r>
                <w:rPr>
                  <w:rFonts w:ascii="Arial" w:cs="Arial" w:eastAsia="Arial" w:hAnsi="Arial"/>
                  <w:sz w:val="16"/>
                  <w:szCs w:val="16"/>
                  <w:color w:val="0000EE"/>
                  <w:w w:val="84"/>
                </w:rPr>
                <w:t>(j)</w:t>
              </w:r>
            </w:hyperlink>
          </w:p>
        </w:tc>
        <w:tc>
          <w:tcPr>
            <w:tcW w:w="4260" w:type="dxa"/>
            <w:vAlign w:val="bottom"/>
            <w:gridSpan w:val="34"/>
          </w:tcPr>
          <w:p>
            <w:pPr>
              <w:ind w:left="100"/>
              <w:spacing w:after="0"/>
              <w:rPr>
                <w:rFonts w:ascii="Arial" w:cs="Arial" w:eastAsia="Arial" w:hAnsi="Arial"/>
                <w:sz w:val="16"/>
                <w:szCs w:val="16"/>
                <w:color w:val="0000EE"/>
              </w:rPr>
            </w:pPr>
            <w:hyperlink w:anchor="page106">
              <w:r>
                <w:rPr>
                  <w:rFonts w:ascii="Arial" w:cs="Arial" w:eastAsia="Arial" w:hAnsi="Arial"/>
                  <w:sz w:val="16"/>
                  <w:szCs w:val="16"/>
                  <w:color w:val="0000EE"/>
                </w:rPr>
                <w:t>“Participant”</w:t>
              </w:r>
            </w:hyperlink>
          </w:p>
        </w:tc>
        <w:tc>
          <w:tcPr>
            <w:tcW w:w="4060" w:type="dxa"/>
            <w:vAlign w:val="bottom"/>
            <w:gridSpan w:val="2"/>
          </w:tcPr>
          <w:p>
            <w:pPr>
              <w:ind w:left="3680"/>
              <w:spacing w:after="0"/>
              <w:rPr>
                <w:rFonts w:ascii="Arial" w:cs="Arial" w:eastAsia="Arial" w:hAnsi="Arial"/>
                <w:sz w:val="16"/>
                <w:szCs w:val="16"/>
                <w:color w:val="0000EE"/>
              </w:rPr>
            </w:pPr>
            <w:hyperlink w:anchor="page106">
              <w:r>
                <w:rPr>
                  <w:rFonts w:ascii="Arial" w:cs="Arial" w:eastAsia="Arial" w:hAnsi="Arial"/>
                  <w:sz w:val="16"/>
                  <w:szCs w:val="16"/>
                  <w:color w:val="0000EE"/>
                </w:rPr>
                <w:t>A-21</w:t>
              </w:r>
            </w:hyperlink>
          </w:p>
        </w:tc>
        <w:tc>
          <w:tcPr>
            <w:tcW w:w="68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80" w:type="dxa"/>
            <w:vAlign w:val="bottom"/>
          </w:tcPr>
          <w:p>
            <w:pPr>
              <w:spacing w:after="0"/>
              <w:rPr>
                <w:sz w:val="2"/>
                <w:szCs w:val="2"/>
                <w:color w:val="auto"/>
              </w:rPr>
            </w:pPr>
          </w:p>
        </w:tc>
      </w:tr>
      <w:tr>
        <w:trPr>
          <w:trHeight w:val="230"/>
        </w:trPr>
        <w:tc>
          <w:tcPr>
            <w:tcW w:w="66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gridSpan w:val="5"/>
            <w:shd w:val="clear" w:color="auto" w:fill="CCEEFF"/>
          </w:tcPr>
          <w:p>
            <w:pPr>
              <w:jc w:val="right"/>
              <w:ind w:right="120"/>
              <w:spacing w:after="0"/>
              <w:rPr>
                <w:rFonts w:ascii="Arial" w:cs="Arial" w:eastAsia="Arial" w:hAnsi="Arial"/>
                <w:sz w:val="16"/>
                <w:szCs w:val="16"/>
                <w:color w:val="0000EE"/>
                <w:w w:val="96"/>
              </w:rPr>
            </w:pPr>
            <w:hyperlink w:anchor="page106">
              <w:r>
                <w:rPr>
                  <w:rFonts w:ascii="Arial" w:cs="Arial" w:eastAsia="Arial" w:hAnsi="Arial"/>
                  <w:sz w:val="16"/>
                  <w:szCs w:val="16"/>
                  <w:color w:val="0000EE"/>
                  <w:w w:val="96"/>
                </w:rPr>
                <w:t>(k)</w:t>
              </w:r>
            </w:hyperlink>
          </w:p>
        </w:tc>
        <w:tc>
          <w:tcPr>
            <w:tcW w:w="4260" w:type="dxa"/>
            <w:vAlign w:val="bottom"/>
            <w:gridSpan w:val="34"/>
            <w:shd w:val="clear" w:color="auto" w:fill="CCEEFF"/>
          </w:tcPr>
          <w:p>
            <w:pPr>
              <w:ind w:left="100"/>
              <w:spacing w:after="0"/>
              <w:rPr>
                <w:rFonts w:ascii="Arial" w:cs="Arial" w:eastAsia="Arial" w:hAnsi="Arial"/>
                <w:sz w:val="16"/>
                <w:szCs w:val="16"/>
                <w:color w:val="0000EE"/>
              </w:rPr>
            </w:pPr>
            <w:hyperlink w:anchor="page106">
              <w:r>
                <w:rPr>
                  <w:rFonts w:ascii="Arial" w:cs="Arial" w:eastAsia="Arial" w:hAnsi="Arial"/>
                  <w:sz w:val="16"/>
                  <w:szCs w:val="16"/>
                  <w:color w:val="0000EE"/>
                </w:rPr>
                <w:t>“Participating Company”</w:t>
              </w:r>
            </w:hyperlink>
          </w:p>
        </w:tc>
        <w:tc>
          <w:tcPr>
            <w:tcW w:w="4060" w:type="dxa"/>
            <w:vAlign w:val="bottom"/>
            <w:tcBorders>
              <w:right w:val="single" w:sz="8" w:color="CCEEFF"/>
            </w:tcBorders>
            <w:gridSpan w:val="2"/>
            <w:shd w:val="clear" w:color="auto" w:fill="CCEEFF"/>
          </w:tcPr>
          <w:p>
            <w:pPr>
              <w:ind w:left="3680"/>
              <w:spacing w:after="0"/>
              <w:rPr>
                <w:rFonts w:ascii="Arial" w:cs="Arial" w:eastAsia="Arial" w:hAnsi="Arial"/>
                <w:sz w:val="16"/>
                <w:szCs w:val="16"/>
                <w:color w:val="0000EE"/>
              </w:rPr>
            </w:pPr>
            <w:hyperlink w:anchor="page106">
              <w:r>
                <w:rPr>
                  <w:rFonts w:ascii="Arial" w:cs="Arial" w:eastAsia="Arial" w:hAnsi="Arial"/>
                  <w:sz w:val="16"/>
                  <w:szCs w:val="16"/>
                  <w:color w:val="0000EE"/>
                </w:rPr>
                <w:t>A-21</w:t>
              </w:r>
            </w:hyperlink>
          </w:p>
        </w:tc>
        <w:tc>
          <w:tcPr>
            <w:tcW w:w="68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36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right w:val="single" w:sz="8" w:color="CCEEFF"/>
            </w:tcBorders>
            <w:shd w:val="clear" w:color="auto" w:fill="CCEEFF"/>
          </w:tcPr>
          <w:p>
            <w:pPr>
              <w:spacing w:after="0"/>
              <w:rPr>
                <w:sz w:val="2"/>
                <w:szCs w:val="2"/>
                <w:color w:val="auto"/>
              </w:rPr>
            </w:pPr>
          </w:p>
        </w:tc>
        <w:tc>
          <w:tcPr>
            <w:tcW w:w="680" w:type="dxa"/>
            <w:vAlign w:val="bottom"/>
          </w:tcPr>
          <w:p>
            <w:pPr>
              <w:spacing w:after="0"/>
              <w:rPr>
                <w:sz w:val="2"/>
                <w:szCs w:val="2"/>
                <w:color w:val="auto"/>
              </w:rPr>
            </w:pPr>
          </w:p>
        </w:tc>
      </w:tr>
      <w:tr>
        <w:trPr>
          <w:trHeight w:val="230"/>
        </w:trPr>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tcPr>
          <w:p>
            <w:pPr>
              <w:jc w:val="right"/>
              <w:ind w:right="120"/>
              <w:spacing w:after="0"/>
              <w:rPr>
                <w:rFonts w:ascii="Arial" w:cs="Arial" w:eastAsia="Arial" w:hAnsi="Arial"/>
                <w:sz w:val="16"/>
                <w:szCs w:val="16"/>
                <w:color w:val="0000EE"/>
                <w:w w:val="84"/>
              </w:rPr>
            </w:pPr>
            <w:hyperlink w:anchor="page106">
              <w:r>
                <w:rPr>
                  <w:rFonts w:ascii="Arial" w:cs="Arial" w:eastAsia="Arial" w:hAnsi="Arial"/>
                  <w:sz w:val="16"/>
                  <w:szCs w:val="16"/>
                  <w:color w:val="0000EE"/>
                  <w:w w:val="84"/>
                </w:rPr>
                <w:t>(l)</w:t>
              </w:r>
            </w:hyperlink>
          </w:p>
        </w:tc>
        <w:tc>
          <w:tcPr>
            <w:tcW w:w="4260" w:type="dxa"/>
            <w:vAlign w:val="bottom"/>
            <w:gridSpan w:val="34"/>
          </w:tcPr>
          <w:p>
            <w:pPr>
              <w:ind w:left="100"/>
              <w:spacing w:after="0"/>
              <w:rPr>
                <w:rFonts w:ascii="Arial" w:cs="Arial" w:eastAsia="Arial" w:hAnsi="Arial"/>
                <w:sz w:val="16"/>
                <w:szCs w:val="16"/>
                <w:color w:val="0000EE"/>
              </w:rPr>
            </w:pPr>
            <w:hyperlink w:anchor="page106">
              <w:r>
                <w:rPr>
                  <w:rFonts w:ascii="Arial" w:cs="Arial" w:eastAsia="Arial" w:hAnsi="Arial"/>
                  <w:sz w:val="16"/>
                  <w:szCs w:val="16"/>
                  <w:color w:val="0000EE"/>
                </w:rPr>
                <w:t>“Plan”</w:t>
              </w:r>
            </w:hyperlink>
          </w:p>
        </w:tc>
        <w:tc>
          <w:tcPr>
            <w:tcW w:w="4060" w:type="dxa"/>
            <w:vAlign w:val="bottom"/>
            <w:gridSpan w:val="2"/>
          </w:tcPr>
          <w:p>
            <w:pPr>
              <w:ind w:left="3680"/>
              <w:spacing w:after="0"/>
              <w:rPr>
                <w:rFonts w:ascii="Arial" w:cs="Arial" w:eastAsia="Arial" w:hAnsi="Arial"/>
                <w:sz w:val="16"/>
                <w:szCs w:val="16"/>
                <w:color w:val="0000EE"/>
              </w:rPr>
            </w:pPr>
            <w:hyperlink w:anchor="page106">
              <w:r>
                <w:rPr>
                  <w:rFonts w:ascii="Arial" w:cs="Arial" w:eastAsia="Arial" w:hAnsi="Arial"/>
                  <w:sz w:val="16"/>
                  <w:szCs w:val="16"/>
                  <w:color w:val="0000EE"/>
                </w:rPr>
                <w:t>A-21</w:t>
              </w:r>
            </w:hyperlink>
          </w:p>
        </w:tc>
        <w:tc>
          <w:tcPr>
            <w:tcW w:w="68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80" w:type="dxa"/>
            <w:vAlign w:val="bottom"/>
          </w:tcPr>
          <w:p>
            <w:pPr>
              <w:spacing w:after="0"/>
              <w:rPr>
                <w:sz w:val="2"/>
                <w:szCs w:val="2"/>
                <w:color w:val="auto"/>
              </w:rPr>
            </w:pPr>
          </w:p>
        </w:tc>
      </w:tr>
      <w:tr>
        <w:trPr>
          <w:trHeight w:val="229"/>
        </w:trPr>
        <w:tc>
          <w:tcPr>
            <w:tcW w:w="66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60" w:type="dxa"/>
            <w:vAlign w:val="bottom"/>
            <w:gridSpan w:val="6"/>
            <w:shd w:val="clear" w:color="auto" w:fill="CCEEFF"/>
          </w:tcPr>
          <w:p>
            <w:pPr>
              <w:jc w:val="right"/>
              <w:ind w:right="120"/>
              <w:spacing w:after="0"/>
              <w:rPr>
                <w:rFonts w:ascii="Arial" w:cs="Arial" w:eastAsia="Arial" w:hAnsi="Arial"/>
                <w:sz w:val="16"/>
                <w:szCs w:val="16"/>
                <w:color w:val="0000EE"/>
                <w:w w:val="91"/>
              </w:rPr>
            </w:pPr>
            <w:hyperlink w:anchor="page106">
              <w:r>
                <w:rPr>
                  <w:rFonts w:ascii="Arial" w:cs="Arial" w:eastAsia="Arial" w:hAnsi="Arial"/>
                  <w:sz w:val="16"/>
                  <w:szCs w:val="16"/>
                  <w:color w:val="0000EE"/>
                  <w:w w:val="91"/>
                </w:rPr>
                <w:t>(m)</w:t>
              </w:r>
            </w:hyperlink>
          </w:p>
        </w:tc>
        <w:tc>
          <w:tcPr>
            <w:tcW w:w="4260" w:type="dxa"/>
            <w:vAlign w:val="bottom"/>
            <w:gridSpan w:val="34"/>
            <w:shd w:val="clear" w:color="auto" w:fill="CCEEFF"/>
          </w:tcPr>
          <w:p>
            <w:pPr>
              <w:ind w:left="100"/>
              <w:spacing w:after="0"/>
              <w:rPr>
                <w:rFonts w:ascii="Arial" w:cs="Arial" w:eastAsia="Arial" w:hAnsi="Arial"/>
                <w:sz w:val="16"/>
                <w:szCs w:val="16"/>
                <w:color w:val="0000EE"/>
              </w:rPr>
            </w:pPr>
            <w:hyperlink w:anchor="page106">
              <w:r>
                <w:rPr>
                  <w:rFonts w:ascii="Arial" w:cs="Arial" w:eastAsia="Arial" w:hAnsi="Arial"/>
                  <w:sz w:val="16"/>
                  <w:szCs w:val="16"/>
                  <w:color w:val="0000EE"/>
                </w:rPr>
                <w:t>“Plan Account”</w:t>
              </w:r>
            </w:hyperlink>
          </w:p>
        </w:tc>
        <w:tc>
          <w:tcPr>
            <w:tcW w:w="4060" w:type="dxa"/>
            <w:vAlign w:val="bottom"/>
            <w:tcBorders>
              <w:right w:val="single" w:sz="8" w:color="CCEEFF"/>
            </w:tcBorders>
            <w:gridSpan w:val="2"/>
            <w:shd w:val="clear" w:color="auto" w:fill="CCEEFF"/>
          </w:tcPr>
          <w:p>
            <w:pPr>
              <w:ind w:left="3680"/>
              <w:spacing w:after="0"/>
              <w:rPr>
                <w:rFonts w:ascii="Arial" w:cs="Arial" w:eastAsia="Arial" w:hAnsi="Arial"/>
                <w:sz w:val="16"/>
                <w:szCs w:val="16"/>
                <w:color w:val="0000EE"/>
              </w:rPr>
            </w:pPr>
            <w:hyperlink w:anchor="page106">
              <w:r>
                <w:rPr>
                  <w:rFonts w:ascii="Arial" w:cs="Arial" w:eastAsia="Arial" w:hAnsi="Arial"/>
                  <w:sz w:val="16"/>
                  <w:szCs w:val="16"/>
                  <w:color w:val="0000EE"/>
                </w:rPr>
                <w:t>A-21</w:t>
              </w:r>
            </w:hyperlink>
          </w:p>
        </w:tc>
        <w:tc>
          <w:tcPr>
            <w:tcW w:w="68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36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right w:val="single" w:sz="8" w:color="CCEEFF"/>
            </w:tcBorders>
            <w:shd w:val="clear" w:color="auto" w:fill="CCEEFF"/>
          </w:tcPr>
          <w:p>
            <w:pPr>
              <w:spacing w:after="0"/>
              <w:rPr>
                <w:sz w:val="2"/>
                <w:szCs w:val="2"/>
                <w:color w:val="auto"/>
              </w:rPr>
            </w:pPr>
          </w:p>
        </w:tc>
        <w:tc>
          <w:tcPr>
            <w:tcW w:w="680" w:type="dxa"/>
            <w:vAlign w:val="bottom"/>
          </w:tcPr>
          <w:p>
            <w:pPr>
              <w:spacing w:after="0"/>
              <w:rPr>
                <w:sz w:val="2"/>
                <w:szCs w:val="2"/>
                <w:color w:val="auto"/>
              </w:rPr>
            </w:pPr>
          </w:p>
        </w:tc>
      </w:tr>
      <w:tr>
        <w:trPr>
          <w:trHeight w:val="229"/>
        </w:trPr>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gridSpan w:val="5"/>
          </w:tcPr>
          <w:p>
            <w:pPr>
              <w:jc w:val="right"/>
              <w:ind w:right="120"/>
              <w:spacing w:after="0"/>
              <w:rPr>
                <w:rFonts w:ascii="Arial" w:cs="Arial" w:eastAsia="Arial" w:hAnsi="Arial"/>
                <w:sz w:val="16"/>
                <w:szCs w:val="16"/>
                <w:color w:val="0000EE"/>
                <w:w w:val="91"/>
              </w:rPr>
            </w:pPr>
            <w:hyperlink w:anchor="page106">
              <w:r>
                <w:rPr>
                  <w:rFonts w:ascii="Arial" w:cs="Arial" w:eastAsia="Arial" w:hAnsi="Arial"/>
                  <w:sz w:val="16"/>
                  <w:szCs w:val="16"/>
                  <w:color w:val="0000EE"/>
                  <w:w w:val="91"/>
                </w:rPr>
                <w:t>(n)</w:t>
              </w:r>
            </w:hyperlink>
          </w:p>
        </w:tc>
        <w:tc>
          <w:tcPr>
            <w:tcW w:w="4260" w:type="dxa"/>
            <w:vAlign w:val="bottom"/>
            <w:gridSpan w:val="34"/>
          </w:tcPr>
          <w:p>
            <w:pPr>
              <w:ind w:left="100"/>
              <w:spacing w:after="0"/>
              <w:rPr>
                <w:rFonts w:ascii="Arial" w:cs="Arial" w:eastAsia="Arial" w:hAnsi="Arial"/>
                <w:sz w:val="16"/>
                <w:szCs w:val="16"/>
                <w:color w:val="0000EE"/>
              </w:rPr>
            </w:pPr>
            <w:hyperlink w:anchor="page106">
              <w:r>
                <w:rPr>
                  <w:rFonts w:ascii="Arial" w:cs="Arial" w:eastAsia="Arial" w:hAnsi="Arial"/>
                  <w:sz w:val="16"/>
                  <w:szCs w:val="16"/>
                  <w:color w:val="0000EE"/>
                </w:rPr>
                <w:t>“Purchase Date”</w:t>
              </w:r>
            </w:hyperlink>
          </w:p>
        </w:tc>
        <w:tc>
          <w:tcPr>
            <w:tcW w:w="4060" w:type="dxa"/>
            <w:vAlign w:val="bottom"/>
            <w:gridSpan w:val="2"/>
          </w:tcPr>
          <w:p>
            <w:pPr>
              <w:ind w:left="3680"/>
              <w:spacing w:after="0"/>
              <w:rPr>
                <w:rFonts w:ascii="Arial" w:cs="Arial" w:eastAsia="Arial" w:hAnsi="Arial"/>
                <w:sz w:val="16"/>
                <w:szCs w:val="16"/>
                <w:color w:val="0000EE"/>
              </w:rPr>
            </w:pPr>
            <w:hyperlink w:anchor="page106">
              <w:r>
                <w:rPr>
                  <w:rFonts w:ascii="Arial" w:cs="Arial" w:eastAsia="Arial" w:hAnsi="Arial"/>
                  <w:sz w:val="16"/>
                  <w:szCs w:val="16"/>
                  <w:color w:val="0000EE"/>
                </w:rPr>
                <w:t>A-21</w:t>
              </w:r>
            </w:hyperlink>
          </w:p>
        </w:tc>
        <w:tc>
          <w:tcPr>
            <w:tcW w:w="68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80" w:type="dxa"/>
            <w:vAlign w:val="bottom"/>
          </w:tcPr>
          <w:p>
            <w:pPr>
              <w:spacing w:after="0"/>
              <w:rPr>
                <w:sz w:val="2"/>
                <w:szCs w:val="2"/>
                <w:color w:val="auto"/>
              </w:rPr>
            </w:pPr>
          </w:p>
        </w:tc>
      </w:tr>
      <w:tr>
        <w:trPr>
          <w:trHeight w:val="229"/>
        </w:trPr>
        <w:tc>
          <w:tcPr>
            <w:tcW w:w="66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gridSpan w:val="5"/>
            <w:shd w:val="clear" w:color="auto" w:fill="CCEEFF"/>
          </w:tcPr>
          <w:p>
            <w:pPr>
              <w:jc w:val="right"/>
              <w:ind w:right="120"/>
              <w:spacing w:after="0"/>
              <w:rPr>
                <w:rFonts w:ascii="Arial" w:cs="Arial" w:eastAsia="Arial" w:hAnsi="Arial"/>
                <w:sz w:val="16"/>
                <w:szCs w:val="16"/>
                <w:color w:val="0000EE"/>
                <w:w w:val="91"/>
              </w:rPr>
            </w:pPr>
            <w:hyperlink w:anchor="page106">
              <w:r>
                <w:rPr>
                  <w:rFonts w:ascii="Arial" w:cs="Arial" w:eastAsia="Arial" w:hAnsi="Arial"/>
                  <w:sz w:val="16"/>
                  <w:szCs w:val="16"/>
                  <w:color w:val="0000EE"/>
                  <w:w w:val="91"/>
                </w:rPr>
                <w:t>(o)</w:t>
              </w:r>
            </w:hyperlink>
          </w:p>
        </w:tc>
        <w:tc>
          <w:tcPr>
            <w:tcW w:w="4260" w:type="dxa"/>
            <w:vAlign w:val="bottom"/>
            <w:gridSpan w:val="34"/>
            <w:shd w:val="clear" w:color="auto" w:fill="CCEEFF"/>
          </w:tcPr>
          <w:p>
            <w:pPr>
              <w:ind w:left="100"/>
              <w:spacing w:after="0"/>
              <w:rPr>
                <w:rFonts w:ascii="Arial" w:cs="Arial" w:eastAsia="Arial" w:hAnsi="Arial"/>
                <w:sz w:val="16"/>
                <w:szCs w:val="16"/>
                <w:color w:val="0000EE"/>
              </w:rPr>
            </w:pPr>
            <w:hyperlink w:anchor="page106">
              <w:r>
                <w:rPr>
                  <w:rFonts w:ascii="Arial" w:cs="Arial" w:eastAsia="Arial" w:hAnsi="Arial"/>
                  <w:sz w:val="16"/>
                  <w:szCs w:val="16"/>
                  <w:color w:val="0000EE"/>
                </w:rPr>
                <w:t>“Purchase Period”</w:t>
              </w:r>
            </w:hyperlink>
          </w:p>
        </w:tc>
        <w:tc>
          <w:tcPr>
            <w:tcW w:w="4060" w:type="dxa"/>
            <w:vAlign w:val="bottom"/>
            <w:tcBorders>
              <w:right w:val="single" w:sz="8" w:color="CCEEFF"/>
            </w:tcBorders>
            <w:gridSpan w:val="2"/>
            <w:shd w:val="clear" w:color="auto" w:fill="CCEEFF"/>
          </w:tcPr>
          <w:p>
            <w:pPr>
              <w:ind w:left="3680"/>
              <w:spacing w:after="0"/>
              <w:rPr>
                <w:rFonts w:ascii="Arial" w:cs="Arial" w:eastAsia="Arial" w:hAnsi="Arial"/>
                <w:sz w:val="16"/>
                <w:szCs w:val="16"/>
                <w:color w:val="0000EE"/>
              </w:rPr>
            </w:pPr>
            <w:hyperlink w:anchor="page106">
              <w:r>
                <w:rPr>
                  <w:rFonts w:ascii="Arial" w:cs="Arial" w:eastAsia="Arial" w:hAnsi="Arial"/>
                  <w:sz w:val="16"/>
                  <w:szCs w:val="16"/>
                  <w:color w:val="0000EE"/>
                </w:rPr>
                <w:t>A-21</w:t>
              </w:r>
            </w:hyperlink>
          </w:p>
        </w:tc>
        <w:tc>
          <w:tcPr>
            <w:tcW w:w="68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36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right w:val="single" w:sz="8" w:color="CCEEFF"/>
            </w:tcBorders>
            <w:shd w:val="clear" w:color="auto" w:fill="CCEEFF"/>
          </w:tcPr>
          <w:p>
            <w:pPr>
              <w:spacing w:after="0"/>
              <w:rPr>
                <w:sz w:val="2"/>
                <w:szCs w:val="2"/>
                <w:color w:val="auto"/>
              </w:rPr>
            </w:pPr>
          </w:p>
        </w:tc>
        <w:tc>
          <w:tcPr>
            <w:tcW w:w="680" w:type="dxa"/>
            <w:vAlign w:val="bottom"/>
          </w:tcPr>
          <w:p>
            <w:pPr>
              <w:spacing w:after="0"/>
              <w:rPr>
                <w:sz w:val="2"/>
                <w:szCs w:val="2"/>
                <w:color w:val="auto"/>
              </w:rPr>
            </w:pPr>
          </w:p>
        </w:tc>
      </w:tr>
      <w:tr>
        <w:trPr>
          <w:trHeight w:val="230"/>
        </w:trPr>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gridSpan w:val="5"/>
          </w:tcPr>
          <w:p>
            <w:pPr>
              <w:jc w:val="right"/>
              <w:ind w:right="120"/>
              <w:spacing w:after="0"/>
              <w:rPr>
                <w:rFonts w:ascii="Arial" w:cs="Arial" w:eastAsia="Arial" w:hAnsi="Arial"/>
                <w:sz w:val="16"/>
                <w:szCs w:val="16"/>
                <w:color w:val="0000EE"/>
                <w:w w:val="91"/>
              </w:rPr>
            </w:pPr>
            <w:hyperlink w:anchor="page106">
              <w:r>
                <w:rPr>
                  <w:rFonts w:ascii="Arial" w:cs="Arial" w:eastAsia="Arial" w:hAnsi="Arial"/>
                  <w:sz w:val="16"/>
                  <w:szCs w:val="16"/>
                  <w:color w:val="0000EE"/>
                  <w:w w:val="91"/>
                </w:rPr>
                <w:t>(p)</w:t>
              </w:r>
            </w:hyperlink>
          </w:p>
        </w:tc>
        <w:tc>
          <w:tcPr>
            <w:tcW w:w="4260" w:type="dxa"/>
            <w:vAlign w:val="bottom"/>
            <w:gridSpan w:val="34"/>
          </w:tcPr>
          <w:p>
            <w:pPr>
              <w:ind w:left="100"/>
              <w:spacing w:after="0"/>
              <w:rPr>
                <w:rFonts w:ascii="Arial" w:cs="Arial" w:eastAsia="Arial" w:hAnsi="Arial"/>
                <w:sz w:val="16"/>
                <w:szCs w:val="16"/>
                <w:color w:val="0000EE"/>
              </w:rPr>
            </w:pPr>
            <w:hyperlink w:anchor="page106">
              <w:r>
                <w:rPr>
                  <w:rFonts w:ascii="Arial" w:cs="Arial" w:eastAsia="Arial" w:hAnsi="Arial"/>
                  <w:sz w:val="16"/>
                  <w:szCs w:val="16"/>
                  <w:color w:val="0000EE"/>
                </w:rPr>
                <w:t>“Purchase Price”</w:t>
              </w:r>
            </w:hyperlink>
          </w:p>
        </w:tc>
        <w:tc>
          <w:tcPr>
            <w:tcW w:w="4060" w:type="dxa"/>
            <w:vAlign w:val="bottom"/>
            <w:gridSpan w:val="2"/>
          </w:tcPr>
          <w:p>
            <w:pPr>
              <w:ind w:left="3680"/>
              <w:spacing w:after="0"/>
              <w:rPr>
                <w:rFonts w:ascii="Arial" w:cs="Arial" w:eastAsia="Arial" w:hAnsi="Arial"/>
                <w:sz w:val="16"/>
                <w:szCs w:val="16"/>
                <w:color w:val="0000EE"/>
              </w:rPr>
            </w:pPr>
            <w:hyperlink w:anchor="page106">
              <w:r>
                <w:rPr>
                  <w:rFonts w:ascii="Arial" w:cs="Arial" w:eastAsia="Arial" w:hAnsi="Arial"/>
                  <w:sz w:val="16"/>
                  <w:szCs w:val="16"/>
                  <w:color w:val="0000EE"/>
                </w:rPr>
                <w:t>A-21</w:t>
              </w:r>
            </w:hyperlink>
          </w:p>
        </w:tc>
        <w:tc>
          <w:tcPr>
            <w:tcW w:w="68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80" w:type="dxa"/>
            <w:vAlign w:val="bottom"/>
          </w:tcPr>
          <w:p>
            <w:pPr>
              <w:spacing w:after="0"/>
              <w:rPr>
                <w:sz w:val="2"/>
                <w:szCs w:val="2"/>
                <w:color w:val="auto"/>
              </w:rPr>
            </w:pPr>
          </w:p>
        </w:tc>
      </w:tr>
      <w:tr>
        <w:trPr>
          <w:trHeight w:val="229"/>
        </w:trPr>
        <w:tc>
          <w:tcPr>
            <w:tcW w:w="66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gridSpan w:val="5"/>
            <w:shd w:val="clear" w:color="auto" w:fill="CCEEFF"/>
          </w:tcPr>
          <w:p>
            <w:pPr>
              <w:jc w:val="right"/>
              <w:ind w:right="120"/>
              <w:spacing w:after="0"/>
              <w:rPr>
                <w:rFonts w:ascii="Arial" w:cs="Arial" w:eastAsia="Arial" w:hAnsi="Arial"/>
                <w:sz w:val="16"/>
                <w:szCs w:val="16"/>
                <w:color w:val="0000EE"/>
                <w:w w:val="91"/>
              </w:rPr>
            </w:pPr>
            <w:hyperlink w:anchor="page106">
              <w:r>
                <w:rPr>
                  <w:rFonts w:ascii="Arial" w:cs="Arial" w:eastAsia="Arial" w:hAnsi="Arial"/>
                  <w:sz w:val="16"/>
                  <w:szCs w:val="16"/>
                  <w:color w:val="0000EE"/>
                  <w:w w:val="91"/>
                </w:rPr>
                <w:t>(q)</w:t>
              </w:r>
            </w:hyperlink>
          </w:p>
        </w:tc>
        <w:tc>
          <w:tcPr>
            <w:tcW w:w="4260" w:type="dxa"/>
            <w:vAlign w:val="bottom"/>
            <w:gridSpan w:val="34"/>
            <w:shd w:val="clear" w:color="auto" w:fill="CCEEFF"/>
          </w:tcPr>
          <w:p>
            <w:pPr>
              <w:ind w:left="100"/>
              <w:spacing w:after="0"/>
              <w:rPr>
                <w:rFonts w:ascii="Arial" w:cs="Arial" w:eastAsia="Arial" w:hAnsi="Arial"/>
                <w:sz w:val="16"/>
                <w:szCs w:val="16"/>
                <w:color w:val="0000EE"/>
              </w:rPr>
            </w:pPr>
            <w:hyperlink w:anchor="page106">
              <w:r>
                <w:rPr>
                  <w:rFonts w:ascii="Arial" w:cs="Arial" w:eastAsia="Arial" w:hAnsi="Arial"/>
                  <w:sz w:val="16"/>
                  <w:szCs w:val="16"/>
                  <w:color w:val="0000EE"/>
                </w:rPr>
                <w:t>“Subsidiary”</w:t>
              </w:r>
            </w:hyperlink>
          </w:p>
        </w:tc>
        <w:tc>
          <w:tcPr>
            <w:tcW w:w="4060" w:type="dxa"/>
            <w:vAlign w:val="bottom"/>
            <w:tcBorders>
              <w:right w:val="single" w:sz="8" w:color="CCEEFF"/>
            </w:tcBorders>
            <w:gridSpan w:val="2"/>
            <w:shd w:val="clear" w:color="auto" w:fill="CCEEFF"/>
          </w:tcPr>
          <w:p>
            <w:pPr>
              <w:ind w:left="3680"/>
              <w:spacing w:after="0"/>
              <w:rPr>
                <w:rFonts w:ascii="Arial" w:cs="Arial" w:eastAsia="Arial" w:hAnsi="Arial"/>
                <w:sz w:val="16"/>
                <w:szCs w:val="16"/>
                <w:color w:val="0000EE"/>
              </w:rPr>
            </w:pPr>
            <w:hyperlink w:anchor="page106">
              <w:r>
                <w:rPr>
                  <w:rFonts w:ascii="Arial" w:cs="Arial" w:eastAsia="Arial" w:hAnsi="Arial"/>
                  <w:sz w:val="16"/>
                  <w:szCs w:val="16"/>
                  <w:color w:val="0000EE"/>
                </w:rPr>
                <w:t>A-21</w:t>
              </w:r>
            </w:hyperlink>
          </w:p>
        </w:tc>
        <w:tc>
          <w:tcPr>
            <w:tcW w:w="68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36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right w:val="single" w:sz="8" w:color="CCEEFF"/>
            </w:tcBorders>
            <w:shd w:val="clear" w:color="auto" w:fill="CCEEFF"/>
          </w:tcPr>
          <w:p>
            <w:pPr>
              <w:spacing w:after="0"/>
              <w:rPr>
                <w:sz w:val="2"/>
                <w:szCs w:val="2"/>
                <w:color w:val="auto"/>
              </w:rPr>
            </w:pPr>
          </w:p>
        </w:tc>
        <w:tc>
          <w:tcPr>
            <w:tcW w:w="680" w:type="dxa"/>
            <w:vAlign w:val="bottom"/>
          </w:tcPr>
          <w:p>
            <w:pPr>
              <w:spacing w:after="0"/>
              <w:rPr>
                <w:sz w:val="2"/>
                <w:szCs w:val="2"/>
                <w:color w:val="auto"/>
              </w:rPr>
            </w:pPr>
          </w:p>
        </w:tc>
      </w:tr>
      <w:tr>
        <w:trPr>
          <w:trHeight w:val="230"/>
        </w:trPr>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gridSpan w:val="4"/>
          </w:tcPr>
          <w:p>
            <w:pPr>
              <w:jc w:val="right"/>
              <w:ind w:right="120"/>
              <w:spacing w:after="0"/>
              <w:rPr>
                <w:rFonts w:ascii="Arial" w:cs="Arial" w:eastAsia="Arial" w:hAnsi="Arial"/>
                <w:sz w:val="16"/>
                <w:szCs w:val="16"/>
                <w:color w:val="0000EE"/>
                <w:w w:val="99"/>
              </w:rPr>
            </w:pPr>
            <w:hyperlink w:anchor="page106">
              <w:r>
                <w:rPr>
                  <w:rFonts w:ascii="Arial" w:cs="Arial" w:eastAsia="Arial" w:hAnsi="Arial"/>
                  <w:sz w:val="16"/>
                  <w:szCs w:val="16"/>
                  <w:color w:val="0000EE"/>
                  <w:w w:val="99"/>
                </w:rPr>
                <w:t>(r)</w:t>
              </w:r>
            </w:hyperlink>
          </w:p>
        </w:tc>
        <w:tc>
          <w:tcPr>
            <w:tcW w:w="4260" w:type="dxa"/>
            <w:vAlign w:val="bottom"/>
            <w:gridSpan w:val="34"/>
          </w:tcPr>
          <w:p>
            <w:pPr>
              <w:ind w:left="100"/>
              <w:spacing w:after="0"/>
              <w:rPr>
                <w:rFonts w:ascii="Arial" w:cs="Arial" w:eastAsia="Arial" w:hAnsi="Arial"/>
                <w:sz w:val="16"/>
                <w:szCs w:val="16"/>
                <w:color w:val="0000EE"/>
              </w:rPr>
            </w:pPr>
            <w:hyperlink w:anchor="page106">
              <w:r>
                <w:rPr>
                  <w:rFonts w:ascii="Arial" w:cs="Arial" w:eastAsia="Arial" w:hAnsi="Arial"/>
                  <w:sz w:val="16"/>
                  <w:szCs w:val="16"/>
                  <w:color w:val="0000EE"/>
                </w:rPr>
                <w:t>“Trading Day”</w:t>
              </w:r>
            </w:hyperlink>
          </w:p>
        </w:tc>
        <w:tc>
          <w:tcPr>
            <w:tcW w:w="4060" w:type="dxa"/>
            <w:vAlign w:val="bottom"/>
            <w:gridSpan w:val="2"/>
          </w:tcPr>
          <w:p>
            <w:pPr>
              <w:ind w:left="3680"/>
              <w:spacing w:after="0"/>
              <w:rPr>
                <w:rFonts w:ascii="Arial" w:cs="Arial" w:eastAsia="Arial" w:hAnsi="Arial"/>
                <w:sz w:val="16"/>
                <w:szCs w:val="16"/>
                <w:color w:val="0000EE"/>
              </w:rPr>
            </w:pPr>
            <w:hyperlink w:anchor="page106">
              <w:r>
                <w:rPr>
                  <w:rFonts w:ascii="Arial" w:cs="Arial" w:eastAsia="Arial" w:hAnsi="Arial"/>
                  <w:sz w:val="16"/>
                  <w:szCs w:val="16"/>
                  <w:color w:val="0000EE"/>
                </w:rPr>
                <w:t>A-21</w:t>
              </w:r>
            </w:hyperlink>
          </w:p>
        </w:tc>
        <w:tc>
          <w:tcPr>
            <w:tcW w:w="68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80" w:type="dxa"/>
            <w:vAlign w:val="bottom"/>
          </w:tcPr>
          <w:p>
            <w:pPr>
              <w:spacing w:after="0"/>
              <w:rPr>
                <w:sz w:val="2"/>
                <w:szCs w:val="2"/>
                <w:color w:val="auto"/>
              </w:rPr>
            </w:pPr>
          </w:p>
        </w:tc>
      </w:tr>
      <w:tr>
        <w:trPr>
          <w:trHeight w:val="230"/>
        </w:trPr>
        <w:tc>
          <w:tcPr>
            <w:tcW w:w="66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7"/>
            <w:shd w:val="clear" w:color="auto" w:fill="CCEEFF"/>
          </w:tcPr>
          <w:p>
            <w:pPr>
              <w:jc w:val="right"/>
              <w:ind w:right="120"/>
              <w:spacing w:after="0"/>
              <w:rPr>
                <w:rFonts w:ascii="Arial" w:cs="Arial" w:eastAsia="Arial" w:hAnsi="Arial"/>
                <w:sz w:val="16"/>
                <w:szCs w:val="16"/>
                <w:color w:val="0000EE"/>
                <w:w w:val="99"/>
              </w:rPr>
            </w:pPr>
            <w:hyperlink w:anchor="page106">
              <w:r>
                <w:rPr>
                  <w:rFonts w:ascii="Arial" w:cs="Arial" w:eastAsia="Arial" w:hAnsi="Arial"/>
                  <w:sz w:val="16"/>
                  <w:szCs w:val="16"/>
                  <w:color w:val="0000EE"/>
                  <w:w w:val="99"/>
                </w:rPr>
                <w:t>SECTION 3</w:t>
              </w:r>
            </w:hyperlink>
          </w:p>
        </w:tc>
        <w:tc>
          <w:tcPr>
            <w:tcW w:w="4260" w:type="dxa"/>
            <w:vAlign w:val="bottom"/>
            <w:gridSpan w:val="34"/>
            <w:shd w:val="clear" w:color="auto" w:fill="CCEEFF"/>
          </w:tcPr>
          <w:p>
            <w:pPr>
              <w:ind w:left="100"/>
              <w:spacing w:after="0"/>
              <w:rPr>
                <w:rFonts w:ascii="Arial" w:cs="Arial" w:eastAsia="Arial" w:hAnsi="Arial"/>
                <w:sz w:val="16"/>
                <w:szCs w:val="16"/>
                <w:color w:val="0000EE"/>
              </w:rPr>
            </w:pPr>
            <w:hyperlink w:anchor="page106">
              <w:r>
                <w:rPr>
                  <w:rFonts w:ascii="Arial" w:cs="Arial" w:eastAsia="Arial" w:hAnsi="Arial"/>
                  <w:sz w:val="16"/>
                  <w:szCs w:val="16"/>
                  <w:color w:val="0000EE"/>
                </w:rPr>
                <w:t>Administration of the Plan.</w:t>
              </w:r>
            </w:hyperlink>
          </w:p>
        </w:tc>
        <w:tc>
          <w:tcPr>
            <w:tcW w:w="4060" w:type="dxa"/>
            <w:vAlign w:val="bottom"/>
            <w:tcBorders>
              <w:right w:val="single" w:sz="8" w:color="CCEEFF"/>
            </w:tcBorders>
            <w:gridSpan w:val="2"/>
            <w:shd w:val="clear" w:color="auto" w:fill="CCEEFF"/>
          </w:tcPr>
          <w:p>
            <w:pPr>
              <w:ind w:left="3680"/>
              <w:spacing w:after="0"/>
              <w:rPr>
                <w:rFonts w:ascii="Arial" w:cs="Arial" w:eastAsia="Arial" w:hAnsi="Arial"/>
                <w:sz w:val="16"/>
                <w:szCs w:val="16"/>
                <w:color w:val="0000EE"/>
              </w:rPr>
            </w:pPr>
            <w:hyperlink w:anchor="page106">
              <w:r>
                <w:rPr>
                  <w:rFonts w:ascii="Arial" w:cs="Arial" w:eastAsia="Arial" w:hAnsi="Arial"/>
                  <w:sz w:val="16"/>
                  <w:szCs w:val="16"/>
                  <w:color w:val="0000EE"/>
                </w:rPr>
                <w:t>A-21</w:t>
              </w:r>
            </w:hyperlink>
          </w:p>
        </w:tc>
        <w:tc>
          <w:tcPr>
            <w:tcW w:w="68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36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right w:val="single" w:sz="8" w:color="CCEEFF"/>
            </w:tcBorders>
            <w:shd w:val="clear" w:color="auto" w:fill="CCEEFF"/>
          </w:tcPr>
          <w:p>
            <w:pPr>
              <w:spacing w:after="0"/>
              <w:rPr>
                <w:sz w:val="2"/>
                <w:szCs w:val="2"/>
                <w:color w:val="auto"/>
              </w:rPr>
            </w:pPr>
          </w:p>
        </w:tc>
        <w:tc>
          <w:tcPr>
            <w:tcW w:w="680" w:type="dxa"/>
            <w:vAlign w:val="bottom"/>
          </w:tcPr>
          <w:p>
            <w:pPr>
              <w:spacing w:after="0"/>
              <w:rPr>
                <w:sz w:val="2"/>
                <w:szCs w:val="2"/>
                <w:color w:val="auto"/>
              </w:rPr>
            </w:pPr>
          </w:p>
        </w:tc>
      </w:tr>
      <w:tr>
        <w:trPr>
          <w:trHeight w:val="229"/>
        </w:trPr>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gridSpan w:val="5"/>
          </w:tcPr>
          <w:p>
            <w:pPr>
              <w:jc w:val="right"/>
              <w:ind w:right="120"/>
              <w:spacing w:after="0"/>
              <w:rPr>
                <w:rFonts w:ascii="Arial" w:cs="Arial" w:eastAsia="Arial" w:hAnsi="Arial"/>
                <w:sz w:val="16"/>
                <w:szCs w:val="16"/>
                <w:color w:val="0000EE"/>
                <w:w w:val="91"/>
              </w:rPr>
            </w:pPr>
            <w:hyperlink w:anchor="page106">
              <w:r>
                <w:rPr>
                  <w:rFonts w:ascii="Arial" w:cs="Arial" w:eastAsia="Arial" w:hAnsi="Arial"/>
                  <w:sz w:val="16"/>
                  <w:szCs w:val="16"/>
                  <w:color w:val="0000EE"/>
                  <w:w w:val="91"/>
                </w:rPr>
                <w:t>(a)</w:t>
              </w:r>
            </w:hyperlink>
          </w:p>
        </w:tc>
        <w:tc>
          <w:tcPr>
            <w:tcW w:w="4260" w:type="dxa"/>
            <w:vAlign w:val="bottom"/>
            <w:gridSpan w:val="34"/>
          </w:tcPr>
          <w:p>
            <w:pPr>
              <w:ind w:left="100"/>
              <w:spacing w:after="0"/>
              <w:rPr>
                <w:rFonts w:ascii="Arial" w:cs="Arial" w:eastAsia="Arial" w:hAnsi="Arial"/>
                <w:sz w:val="16"/>
                <w:szCs w:val="16"/>
                <w:color w:val="0000EE"/>
              </w:rPr>
            </w:pPr>
            <w:hyperlink w:anchor="page106">
              <w:r>
                <w:rPr>
                  <w:rFonts w:ascii="Arial" w:cs="Arial" w:eastAsia="Arial" w:hAnsi="Arial"/>
                  <w:sz w:val="16"/>
                  <w:szCs w:val="16"/>
                  <w:color w:val="0000EE"/>
                </w:rPr>
                <w:t>Administrative Powers and Responsibilities</w:t>
              </w:r>
            </w:hyperlink>
          </w:p>
        </w:tc>
        <w:tc>
          <w:tcPr>
            <w:tcW w:w="4060" w:type="dxa"/>
            <w:vAlign w:val="bottom"/>
            <w:gridSpan w:val="2"/>
          </w:tcPr>
          <w:p>
            <w:pPr>
              <w:ind w:left="3680"/>
              <w:spacing w:after="0"/>
              <w:rPr>
                <w:rFonts w:ascii="Arial" w:cs="Arial" w:eastAsia="Arial" w:hAnsi="Arial"/>
                <w:sz w:val="16"/>
                <w:szCs w:val="16"/>
                <w:color w:val="0000EE"/>
              </w:rPr>
            </w:pPr>
            <w:hyperlink w:anchor="page106">
              <w:r>
                <w:rPr>
                  <w:rFonts w:ascii="Arial" w:cs="Arial" w:eastAsia="Arial" w:hAnsi="Arial"/>
                  <w:sz w:val="16"/>
                  <w:szCs w:val="16"/>
                  <w:color w:val="0000EE"/>
                </w:rPr>
                <w:t>A-21</w:t>
              </w:r>
            </w:hyperlink>
          </w:p>
        </w:tc>
        <w:tc>
          <w:tcPr>
            <w:tcW w:w="68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80" w:type="dxa"/>
            <w:vAlign w:val="bottom"/>
          </w:tcPr>
          <w:p>
            <w:pPr>
              <w:spacing w:after="0"/>
              <w:rPr>
                <w:sz w:val="2"/>
                <w:szCs w:val="2"/>
                <w:color w:val="auto"/>
              </w:rPr>
            </w:pPr>
          </w:p>
        </w:tc>
      </w:tr>
      <w:tr>
        <w:trPr>
          <w:trHeight w:val="230"/>
        </w:trPr>
        <w:tc>
          <w:tcPr>
            <w:tcW w:w="66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gridSpan w:val="5"/>
            <w:shd w:val="clear" w:color="auto" w:fill="CCEEFF"/>
          </w:tcPr>
          <w:p>
            <w:pPr>
              <w:jc w:val="right"/>
              <w:ind w:right="120"/>
              <w:spacing w:after="0"/>
              <w:rPr>
                <w:rFonts w:ascii="Arial" w:cs="Arial" w:eastAsia="Arial" w:hAnsi="Arial"/>
                <w:sz w:val="16"/>
                <w:szCs w:val="16"/>
                <w:color w:val="0000EE"/>
                <w:w w:val="91"/>
              </w:rPr>
            </w:pPr>
            <w:hyperlink w:anchor="page107">
              <w:r>
                <w:rPr>
                  <w:rFonts w:ascii="Arial" w:cs="Arial" w:eastAsia="Arial" w:hAnsi="Arial"/>
                  <w:sz w:val="16"/>
                  <w:szCs w:val="16"/>
                  <w:color w:val="0000EE"/>
                  <w:w w:val="91"/>
                </w:rPr>
                <w:t>(b)</w:t>
              </w:r>
            </w:hyperlink>
          </w:p>
        </w:tc>
        <w:tc>
          <w:tcPr>
            <w:tcW w:w="4260" w:type="dxa"/>
            <w:vAlign w:val="bottom"/>
            <w:gridSpan w:val="34"/>
            <w:shd w:val="clear" w:color="auto" w:fill="CCEEFF"/>
          </w:tcPr>
          <w:p>
            <w:pPr>
              <w:ind w:left="100"/>
              <w:spacing w:after="0"/>
              <w:rPr>
                <w:rFonts w:ascii="Arial" w:cs="Arial" w:eastAsia="Arial" w:hAnsi="Arial"/>
                <w:sz w:val="16"/>
                <w:szCs w:val="16"/>
                <w:color w:val="0000EE"/>
              </w:rPr>
            </w:pPr>
            <w:hyperlink w:anchor="page107">
              <w:r>
                <w:rPr>
                  <w:rFonts w:ascii="Arial" w:cs="Arial" w:eastAsia="Arial" w:hAnsi="Arial"/>
                  <w:sz w:val="16"/>
                  <w:szCs w:val="16"/>
                  <w:color w:val="0000EE"/>
                </w:rPr>
                <w:t>International Administration</w:t>
              </w:r>
            </w:hyperlink>
          </w:p>
        </w:tc>
        <w:tc>
          <w:tcPr>
            <w:tcW w:w="4060" w:type="dxa"/>
            <w:vAlign w:val="bottom"/>
            <w:tcBorders>
              <w:right w:val="single" w:sz="8" w:color="CCEEFF"/>
            </w:tcBorders>
            <w:gridSpan w:val="2"/>
            <w:shd w:val="clear" w:color="auto" w:fill="CCEEFF"/>
          </w:tcPr>
          <w:p>
            <w:pPr>
              <w:ind w:left="3680"/>
              <w:spacing w:after="0"/>
              <w:rPr>
                <w:rFonts w:ascii="Arial" w:cs="Arial" w:eastAsia="Arial" w:hAnsi="Arial"/>
                <w:sz w:val="16"/>
                <w:szCs w:val="16"/>
                <w:color w:val="0000EE"/>
              </w:rPr>
            </w:pPr>
            <w:hyperlink w:anchor="page107">
              <w:r>
                <w:rPr>
                  <w:rFonts w:ascii="Arial" w:cs="Arial" w:eastAsia="Arial" w:hAnsi="Arial"/>
                  <w:sz w:val="16"/>
                  <w:szCs w:val="16"/>
                  <w:color w:val="0000EE"/>
                </w:rPr>
                <w:t>A-22</w:t>
              </w:r>
            </w:hyperlink>
          </w:p>
        </w:tc>
        <w:tc>
          <w:tcPr>
            <w:tcW w:w="68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36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right w:val="single" w:sz="8" w:color="CCEEFF"/>
            </w:tcBorders>
            <w:shd w:val="clear" w:color="auto" w:fill="CCEEFF"/>
          </w:tcPr>
          <w:p>
            <w:pPr>
              <w:spacing w:after="0"/>
              <w:rPr>
                <w:sz w:val="2"/>
                <w:szCs w:val="2"/>
                <w:color w:val="auto"/>
              </w:rPr>
            </w:pPr>
          </w:p>
        </w:tc>
        <w:tc>
          <w:tcPr>
            <w:tcW w:w="680" w:type="dxa"/>
            <w:vAlign w:val="bottom"/>
          </w:tcPr>
          <w:p>
            <w:pPr>
              <w:spacing w:after="0"/>
              <w:rPr>
                <w:sz w:val="2"/>
                <w:szCs w:val="2"/>
                <w:color w:val="auto"/>
              </w:rPr>
            </w:pPr>
          </w:p>
        </w:tc>
      </w:tr>
      <w:tr>
        <w:trPr>
          <w:trHeight w:val="230"/>
        </w:trPr>
        <w:tc>
          <w:tcPr>
            <w:tcW w:w="660" w:type="dxa"/>
            <w:vAlign w:val="bottom"/>
          </w:tcPr>
          <w:p>
            <w:pPr>
              <w:spacing w:after="0"/>
              <w:rPr>
                <w:sz w:val="19"/>
                <w:szCs w:val="19"/>
                <w:color w:val="auto"/>
              </w:rPr>
            </w:pPr>
          </w:p>
        </w:tc>
        <w:tc>
          <w:tcPr>
            <w:tcW w:w="1060" w:type="dxa"/>
            <w:vAlign w:val="bottom"/>
            <w:gridSpan w:val="8"/>
          </w:tcPr>
          <w:p>
            <w:pPr>
              <w:jc w:val="right"/>
              <w:ind w:right="120"/>
              <w:spacing w:after="0"/>
              <w:rPr>
                <w:rFonts w:ascii="Arial" w:cs="Arial" w:eastAsia="Arial" w:hAnsi="Arial"/>
                <w:sz w:val="16"/>
                <w:szCs w:val="16"/>
                <w:color w:val="0000EE"/>
              </w:rPr>
            </w:pPr>
            <w:hyperlink w:anchor="page107">
              <w:r>
                <w:rPr>
                  <w:rFonts w:ascii="Arial" w:cs="Arial" w:eastAsia="Arial" w:hAnsi="Arial"/>
                  <w:sz w:val="16"/>
                  <w:szCs w:val="16"/>
                  <w:color w:val="0000EE"/>
                </w:rPr>
                <w:t>SECTION 4</w:t>
              </w:r>
            </w:hyperlink>
          </w:p>
        </w:tc>
        <w:tc>
          <w:tcPr>
            <w:tcW w:w="4260" w:type="dxa"/>
            <w:vAlign w:val="bottom"/>
            <w:gridSpan w:val="34"/>
          </w:tcPr>
          <w:p>
            <w:pPr>
              <w:ind w:left="100"/>
              <w:spacing w:after="0"/>
              <w:rPr>
                <w:rFonts w:ascii="Arial" w:cs="Arial" w:eastAsia="Arial" w:hAnsi="Arial"/>
                <w:sz w:val="16"/>
                <w:szCs w:val="16"/>
                <w:color w:val="0000EE"/>
              </w:rPr>
            </w:pPr>
            <w:hyperlink w:anchor="page107">
              <w:r>
                <w:rPr>
                  <w:rFonts w:ascii="Arial" w:cs="Arial" w:eastAsia="Arial" w:hAnsi="Arial"/>
                  <w:sz w:val="16"/>
                  <w:szCs w:val="16"/>
                  <w:color w:val="0000EE"/>
                </w:rPr>
                <w:t>Enrollment and Participation.</w:t>
              </w:r>
            </w:hyperlink>
          </w:p>
        </w:tc>
        <w:tc>
          <w:tcPr>
            <w:tcW w:w="4060" w:type="dxa"/>
            <w:vAlign w:val="bottom"/>
            <w:gridSpan w:val="2"/>
          </w:tcPr>
          <w:p>
            <w:pPr>
              <w:ind w:left="3680"/>
              <w:spacing w:after="0"/>
              <w:rPr>
                <w:rFonts w:ascii="Arial" w:cs="Arial" w:eastAsia="Arial" w:hAnsi="Arial"/>
                <w:sz w:val="16"/>
                <w:szCs w:val="16"/>
                <w:color w:val="0000EE"/>
              </w:rPr>
            </w:pPr>
            <w:hyperlink w:anchor="page107">
              <w:r>
                <w:rPr>
                  <w:rFonts w:ascii="Arial" w:cs="Arial" w:eastAsia="Arial" w:hAnsi="Arial"/>
                  <w:sz w:val="16"/>
                  <w:szCs w:val="16"/>
                  <w:color w:val="0000EE"/>
                </w:rPr>
                <w:t>A-22</w:t>
              </w:r>
            </w:hyperlink>
          </w:p>
        </w:tc>
        <w:tc>
          <w:tcPr>
            <w:tcW w:w="68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80" w:type="dxa"/>
            <w:vAlign w:val="bottom"/>
          </w:tcPr>
          <w:p>
            <w:pPr>
              <w:spacing w:after="0"/>
              <w:rPr>
                <w:sz w:val="2"/>
                <w:szCs w:val="2"/>
                <w:color w:val="auto"/>
              </w:rPr>
            </w:pPr>
          </w:p>
        </w:tc>
      </w:tr>
      <w:tr>
        <w:trPr>
          <w:trHeight w:val="229"/>
        </w:trPr>
        <w:tc>
          <w:tcPr>
            <w:tcW w:w="66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gridSpan w:val="5"/>
            <w:shd w:val="clear" w:color="auto" w:fill="CCEEFF"/>
          </w:tcPr>
          <w:p>
            <w:pPr>
              <w:jc w:val="right"/>
              <w:ind w:right="120"/>
              <w:spacing w:after="0"/>
              <w:rPr>
                <w:rFonts w:ascii="Arial" w:cs="Arial" w:eastAsia="Arial" w:hAnsi="Arial"/>
                <w:sz w:val="16"/>
                <w:szCs w:val="16"/>
                <w:color w:val="0000EE"/>
                <w:w w:val="91"/>
              </w:rPr>
            </w:pPr>
            <w:hyperlink w:anchor="page107">
              <w:r>
                <w:rPr>
                  <w:rFonts w:ascii="Arial" w:cs="Arial" w:eastAsia="Arial" w:hAnsi="Arial"/>
                  <w:sz w:val="16"/>
                  <w:szCs w:val="16"/>
                  <w:color w:val="0000EE"/>
                  <w:w w:val="91"/>
                </w:rPr>
                <w:t>(a)</w:t>
              </w:r>
            </w:hyperlink>
          </w:p>
        </w:tc>
        <w:tc>
          <w:tcPr>
            <w:tcW w:w="4260" w:type="dxa"/>
            <w:vAlign w:val="bottom"/>
            <w:gridSpan w:val="34"/>
            <w:shd w:val="clear" w:color="auto" w:fill="CCEEFF"/>
          </w:tcPr>
          <w:p>
            <w:pPr>
              <w:ind w:left="100"/>
              <w:spacing w:after="0"/>
              <w:rPr>
                <w:rFonts w:ascii="Arial" w:cs="Arial" w:eastAsia="Arial" w:hAnsi="Arial"/>
                <w:sz w:val="16"/>
                <w:szCs w:val="16"/>
                <w:color w:val="0000EE"/>
              </w:rPr>
            </w:pPr>
            <w:hyperlink w:anchor="page107">
              <w:r>
                <w:rPr>
                  <w:rFonts w:ascii="Arial" w:cs="Arial" w:eastAsia="Arial" w:hAnsi="Arial"/>
                  <w:sz w:val="16"/>
                  <w:szCs w:val="16"/>
                  <w:color w:val="0000EE"/>
                </w:rPr>
                <w:t>Offering Periods</w:t>
              </w:r>
            </w:hyperlink>
          </w:p>
        </w:tc>
        <w:tc>
          <w:tcPr>
            <w:tcW w:w="4060" w:type="dxa"/>
            <w:vAlign w:val="bottom"/>
            <w:tcBorders>
              <w:right w:val="single" w:sz="8" w:color="CCEEFF"/>
            </w:tcBorders>
            <w:gridSpan w:val="2"/>
            <w:shd w:val="clear" w:color="auto" w:fill="CCEEFF"/>
          </w:tcPr>
          <w:p>
            <w:pPr>
              <w:ind w:left="3680"/>
              <w:spacing w:after="0"/>
              <w:rPr>
                <w:rFonts w:ascii="Arial" w:cs="Arial" w:eastAsia="Arial" w:hAnsi="Arial"/>
                <w:sz w:val="16"/>
                <w:szCs w:val="16"/>
                <w:color w:val="0000EE"/>
              </w:rPr>
            </w:pPr>
            <w:hyperlink w:anchor="page107">
              <w:r>
                <w:rPr>
                  <w:rFonts w:ascii="Arial" w:cs="Arial" w:eastAsia="Arial" w:hAnsi="Arial"/>
                  <w:sz w:val="16"/>
                  <w:szCs w:val="16"/>
                  <w:color w:val="0000EE"/>
                </w:rPr>
                <w:t>A-22</w:t>
              </w:r>
            </w:hyperlink>
          </w:p>
        </w:tc>
        <w:tc>
          <w:tcPr>
            <w:tcW w:w="68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36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right w:val="single" w:sz="8" w:color="CCEEFF"/>
            </w:tcBorders>
            <w:shd w:val="clear" w:color="auto" w:fill="CCEEFF"/>
          </w:tcPr>
          <w:p>
            <w:pPr>
              <w:spacing w:after="0"/>
              <w:rPr>
                <w:sz w:val="2"/>
                <w:szCs w:val="2"/>
                <w:color w:val="auto"/>
              </w:rPr>
            </w:pPr>
          </w:p>
        </w:tc>
        <w:tc>
          <w:tcPr>
            <w:tcW w:w="680" w:type="dxa"/>
            <w:vAlign w:val="bottom"/>
          </w:tcPr>
          <w:p>
            <w:pPr>
              <w:spacing w:after="0"/>
              <w:rPr>
                <w:sz w:val="2"/>
                <w:szCs w:val="2"/>
                <w:color w:val="auto"/>
              </w:rPr>
            </w:pPr>
          </w:p>
        </w:tc>
      </w:tr>
      <w:tr>
        <w:trPr>
          <w:trHeight w:val="230"/>
        </w:trPr>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gridSpan w:val="5"/>
          </w:tcPr>
          <w:p>
            <w:pPr>
              <w:jc w:val="right"/>
              <w:ind w:right="120"/>
              <w:spacing w:after="0"/>
              <w:rPr>
                <w:rFonts w:ascii="Arial" w:cs="Arial" w:eastAsia="Arial" w:hAnsi="Arial"/>
                <w:sz w:val="16"/>
                <w:szCs w:val="16"/>
                <w:color w:val="0000EE"/>
                <w:w w:val="91"/>
              </w:rPr>
            </w:pPr>
            <w:hyperlink w:anchor="page107">
              <w:r>
                <w:rPr>
                  <w:rFonts w:ascii="Arial" w:cs="Arial" w:eastAsia="Arial" w:hAnsi="Arial"/>
                  <w:sz w:val="16"/>
                  <w:szCs w:val="16"/>
                  <w:color w:val="0000EE"/>
                  <w:w w:val="91"/>
                </w:rPr>
                <w:t>(b)</w:t>
              </w:r>
            </w:hyperlink>
          </w:p>
        </w:tc>
        <w:tc>
          <w:tcPr>
            <w:tcW w:w="4260" w:type="dxa"/>
            <w:vAlign w:val="bottom"/>
            <w:gridSpan w:val="34"/>
          </w:tcPr>
          <w:p>
            <w:pPr>
              <w:ind w:left="100"/>
              <w:spacing w:after="0"/>
              <w:rPr>
                <w:rFonts w:ascii="Arial" w:cs="Arial" w:eastAsia="Arial" w:hAnsi="Arial"/>
                <w:sz w:val="16"/>
                <w:szCs w:val="16"/>
                <w:color w:val="0000EE"/>
              </w:rPr>
            </w:pPr>
            <w:hyperlink w:anchor="page107">
              <w:r>
                <w:rPr>
                  <w:rFonts w:ascii="Arial" w:cs="Arial" w:eastAsia="Arial" w:hAnsi="Arial"/>
                  <w:sz w:val="16"/>
                  <w:szCs w:val="16"/>
                  <w:color w:val="0000EE"/>
                </w:rPr>
                <w:t>Enrollment</w:t>
              </w:r>
            </w:hyperlink>
          </w:p>
        </w:tc>
        <w:tc>
          <w:tcPr>
            <w:tcW w:w="4060" w:type="dxa"/>
            <w:vAlign w:val="bottom"/>
            <w:gridSpan w:val="2"/>
          </w:tcPr>
          <w:p>
            <w:pPr>
              <w:ind w:left="3680"/>
              <w:spacing w:after="0"/>
              <w:rPr>
                <w:rFonts w:ascii="Arial" w:cs="Arial" w:eastAsia="Arial" w:hAnsi="Arial"/>
                <w:sz w:val="16"/>
                <w:szCs w:val="16"/>
                <w:color w:val="0000EE"/>
              </w:rPr>
            </w:pPr>
            <w:hyperlink w:anchor="page107">
              <w:r>
                <w:rPr>
                  <w:rFonts w:ascii="Arial" w:cs="Arial" w:eastAsia="Arial" w:hAnsi="Arial"/>
                  <w:sz w:val="16"/>
                  <w:szCs w:val="16"/>
                  <w:color w:val="0000EE"/>
                </w:rPr>
                <w:t>A-22</w:t>
              </w:r>
            </w:hyperlink>
          </w:p>
        </w:tc>
        <w:tc>
          <w:tcPr>
            <w:tcW w:w="68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80" w:type="dxa"/>
            <w:vAlign w:val="bottom"/>
          </w:tcPr>
          <w:p>
            <w:pPr>
              <w:spacing w:after="0"/>
              <w:rPr>
                <w:sz w:val="2"/>
                <w:szCs w:val="2"/>
                <w:color w:val="auto"/>
              </w:rPr>
            </w:pPr>
          </w:p>
        </w:tc>
      </w:tr>
      <w:tr>
        <w:trPr>
          <w:trHeight w:val="230"/>
        </w:trPr>
        <w:tc>
          <w:tcPr>
            <w:tcW w:w="66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gridSpan w:val="5"/>
            <w:shd w:val="clear" w:color="auto" w:fill="CCEEFF"/>
          </w:tcPr>
          <w:p>
            <w:pPr>
              <w:jc w:val="right"/>
              <w:ind w:right="120"/>
              <w:spacing w:after="0"/>
              <w:rPr>
                <w:rFonts w:ascii="Arial" w:cs="Arial" w:eastAsia="Arial" w:hAnsi="Arial"/>
                <w:sz w:val="16"/>
                <w:szCs w:val="16"/>
                <w:color w:val="0000EE"/>
                <w:w w:val="96"/>
              </w:rPr>
            </w:pPr>
            <w:hyperlink w:anchor="page107">
              <w:r>
                <w:rPr>
                  <w:rFonts w:ascii="Arial" w:cs="Arial" w:eastAsia="Arial" w:hAnsi="Arial"/>
                  <w:sz w:val="16"/>
                  <w:szCs w:val="16"/>
                  <w:color w:val="0000EE"/>
                  <w:w w:val="96"/>
                </w:rPr>
                <w:t>(c)</w:t>
              </w:r>
            </w:hyperlink>
          </w:p>
        </w:tc>
        <w:tc>
          <w:tcPr>
            <w:tcW w:w="4260" w:type="dxa"/>
            <w:vAlign w:val="bottom"/>
            <w:gridSpan w:val="34"/>
            <w:shd w:val="clear" w:color="auto" w:fill="CCEEFF"/>
          </w:tcPr>
          <w:p>
            <w:pPr>
              <w:ind w:left="100"/>
              <w:spacing w:after="0"/>
              <w:rPr>
                <w:rFonts w:ascii="Arial" w:cs="Arial" w:eastAsia="Arial" w:hAnsi="Arial"/>
                <w:sz w:val="16"/>
                <w:szCs w:val="16"/>
                <w:color w:val="0000EE"/>
              </w:rPr>
            </w:pPr>
            <w:hyperlink w:anchor="page107">
              <w:r>
                <w:rPr>
                  <w:rFonts w:ascii="Arial" w:cs="Arial" w:eastAsia="Arial" w:hAnsi="Arial"/>
                  <w:sz w:val="16"/>
                  <w:szCs w:val="16"/>
                  <w:color w:val="0000EE"/>
                </w:rPr>
                <w:t>Duration of Participation</w:t>
              </w:r>
            </w:hyperlink>
          </w:p>
        </w:tc>
        <w:tc>
          <w:tcPr>
            <w:tcW w:w="4060" w:type="dxa"/>
            <w:vAlign w:val="bottom"/>
            <w:tcBorders>
              <w:right w:val="single" w:sz="8" w:color="CCEEFF"/>
            </w:tcBorders>
            <w:gridSpan w:val="2"/>
            <w:shd w:val="clear" w:color="auto" w:fill="CCEEFF"/>
          </w:tcPr>
          <w:p>
            <w:pPr>
              <w:ind w:left="3680"/>
              <w:spacing w:after="0"/>
              <w:rPr>
                <w:rFonts w:ascii="Arial" w:cs="Arial" w:eastAsia="Arial" w:hAnsi="Arial"/>
                <w:sz w:val="16"/>
                <w:szCs w:val="16"/>
                <w:color w:val="0000EE"/>
              </w:rPr>
            </w:pPr>
            <w:hyperlink w:anchor="page107">
              <w:r>
                <w:rPr>
                  <w:rFonts w:ascii="Arial" w:cs="Arial" w:eastAsia="Arial" w:hAnsi="Arial"/>
                  <w:sz w:val="16"/>
                  <w:szCs w:val="16"/>
                  <w:color w:val="0000EE"/>
                </w:rPr>
                <w:t>A-22</w:t>
              </w:r>
            </w:hyperlink>
          </w:p>
        </w:tc>
        <w:tc>
          <w:tcPr>
            <w:tcW w:w="68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36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right w:val="single" w:sz="8" w:color="CCEEFF"/>
            </w:tcBorders>
            <w:shd w:val="clear" w:color="auto" w:fill="CCEEFF"/>
          </w:tcPr>
          <w:p>
            <w:pPr>
              <w:spacing w:after="0"/>
              <w:rPr>
                <w:sz w:val="2"/>
                <w:szCs w:val="2"/>
                <w:color w:val="auto"/>
              </w:rPr>
            </w:pPr>
          </w:p>
        </w:tc>
        <w:tc>
          <w:tcPr>
            <w:tcW w:w="680" w:type="dxa"/>
            <w:vAlign w:val="bottom"/>
          </w:tcPr>
          <w:p>
            <w:pPr>
              <w:spacing w:after="0"/>
              <w:rPr>
                <w:sz w:val="2"/>
                <w:szCs w:val="2"/>
                <w:color w:val="auto"/>
              </w:rPr>
            </w:pPr>
          </w:p>
        </w:tc>
      </w:tr>
      <w:tr>
        <w:trPr>
          <w:trHeight w:val="230"/>
        </w:trPr>
        <w:tc>
          <w:tcPr>
            <w:tcW w:w="660" w:type="dxa"/>
            <w:vAlign w:val="bottom"/>
          </w:tcPr>
          <w:p>
            <w:pPr>
              <w:spacing w:after="0"/>
              <w:rPr>
                <w:sz w:val="19"/>
                <w:szCs w:val="19"/>
                <w:color w:val="auto"/>
              </w:rPr>
            </w:pPr>
          </w:p>
        </w:tc>
        <w:tc>
          <w:tcPr>
            <w:tcW w:w="1060" w:type="dxa"/>
            <w:vAlign w:val="bottom"/>
            <w:gridSpan w:val="8"/>
          </w:tcPr>
          <w:p>
            <w:pPr>
              <w:jc w:val="right"/>
              <w:ind w:right="120"/>
              <w:spacing w:after="0"/>
              <w:rPr>
                <w:rFonts w:ascii="Arial" w:cs="Arial" w:eastAsia="Arial" w:hAnsi="Arial"/>
                <w:sz w:val="16"/>
                <w:szCs w:val="16"/>
                <w:color w:val="0000EE"/>
              </w:rPr>
            </w:pPr>
            <w:hyperlink w:anchor="page107">
              <w:r>
                <w:rPr>
                  <w:rFonts w:ascii="Arial" w:cs="Arial" w:eastAsia="Arial" w:hAnsi="Arial"/>
                  <w:sz w:val="16"/>
                  <w:szCs w:val="16"/>
                  <w:color w:val="0000EE"/>
                </w:rPr>
                <w:t>SECTION 5</w:t>
              </w:r>
            </w:hyperlink>
          </w:p>
        </w:tc>
        <w:tc>
          <w:tcPr>
            <w:tcW w:w="4260" w:type="dxa"/>
            <w:vAlign w:val="bottom"/>
            <w:gridSpan w:val="34"/>
          </w:tcPr>
          <w:p>
            <w:pPr>
              <w:ind w:left="100"/>
              <w:spacing w:after="0"/>
              <w:rPr>
                <w:rFonts w:ascii="Arial" w:cs="Arial" w:eastAsia="Arial" w:hAnsi="Arial"/>
                <w:sz w:val="16"/>
                <w:szCs w:val="16"/>
                <w:color w:val="0000EE"/>
              </w:rPr>
            </w:pPr>
            <w:hyperlink w:anchor="page107">
              <w:r>
                <w:rPr>
                  <w:rFonts w:ascii="Arial" w:cs="Arial" w:eastAsia="Arial" w:hAnsi="Arial"/>
                  <w:sz w:val="16"/>
                  <w:szCs w:val="16"/>
                  <w:color w:val="0000EE"/>
                </w:rPr>
                <w:t>Employee Contributions.</w:t>
              </w:r>
            </w:hyperlink>
          </w:p>
        </w:tc>
        <w:tc>
          <w:tcPr>
            <w:tcW w:w="4060" w:type="dxa"/>
            <w:vAlign w:val="bottom"/>
            <w:gridSpan w:val="2"/>
          </w:tcPr>
          <w:p>
            <w:pPr>
              <w:ind w:left="3680"/>
              <w:spacing w:after="0"/>
              <w:rPr>
                <w:rFonts w:ascii="Arial" w:cs="Arial" w:eastAsia="Arial" w:hAnsi="Arial"/>
                <w:sz w:val="16"/>
                <w:szCs w:val="16"/>
                <w:color w:val="0000EE"/>
              </w:rPr>
            </w:pPr>
            <w:hyperlink w:anchor="page107">
              <w:r>
                <w:rPr>
                  <w:rFonts w:ascii="Arial" w:cs="Arial" w:eastAsia="Arial" w:hAnsi="Arial"/>
                  <w:sz w:val="16"/>
                  <w:szCs w:val="16"/>
                  <w:color w:val="0000EE"/>
                </w:rPr>
                <w:t>A-22</w:t>
              </w:r>
            </w:hyperlink>
          </w:p>
        </w:tc>
        <w:tc>
          <w:tcPr>
            <w:tcW w:w="68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80" w:type="dxa"/>
            <w:vAlign w:val="bottom"/>
          </w:tcPr>
          <w:p>
            <w:pPr>
              <w:spacing w:after="0"/>
              <w:rPr>
                <w:sz w:val="2"/>
                <w:szCs w:val="2"/>
                <w:color w:val="auto"/>
              </w:rPr>
            </w:pPr>
          </w:p>
        </w:tc>
      </w:tr>
      <w:tr>
        <w:trPr>
          <w:trHeight w:val="230"/>
        </w:trPr>
        <w:tc>
          <w:tcPr>
            <w:tcW w:w="66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gridSpan w:val="5"/>
            <w:shd w:val="clear" w:color="auto" w:fill="CCEEFF"/>
          </w:tcPr>
          <w:p>
            <w:pPr>
              <w:jc w:val="right"/>
              <w:ind w:right="120"/>
              <w:spacing w:after="0"/>
              <w:rPr>
                <w:rFonts w:ascii="Arial" w:cs="Arial" w:eastAsia="Arial" w:hAnsi="Arial"/>
                <w:sz w:val="16"/>
                <w:szCs w:val="16"/>
                <w:color w:val="0000EE"/>
                <w:w w:val="91"/>
              </w:rPr>
            </w:pPr>
            <w:hyperlink w:anchor="page107">
              <w:r>
                <w:rPr>
                  <w:rFonts w:ascii="Arial" w:cs="Arial" w:eastAsia="Arial" w:hAnsi="Arial"/>
                  <w:sz w:val="16"/>
                  <w:szCs w:val="16"/>
                  <w:color w:val="0000EE"/>
                  <w:w w:val="91"/>
                </w:rPr>
                <w:t>(a)</w:t>
              </w:r>
            </w:hyperlink>
          </w:p>
        </w:tc>
        <w:tc>
          <w:tcPr>
            <w:tcW w:w="4260" w:type="dxa"/>
            <w:vAlign w:val="bottom"/>
            <w:gridSpan w:val="34"/>
            <w:shd w:val="clear" w:color="auto" w:fill="CCEEFF"/>
          </w:tcPr>
          <w:p>
            <w:pPr>
              <w:ind w:left="100"/>
              <w:spacing w:after="0"/>
              <w:rPr>
                <w:rFonts w:ascii="Arial" w:cs="Arial" w:eastAsia="Arial" w:hAnsi="Arial"/>
                <w:sz w:val="16"/>
                <w:szCs w:val="16"/>
                <w:color w:val="0000EE"/>
              </w:rPr>
            </w:pPr>
            <w:hyperlink w:anchor="page107">
              <w:r>
                <w:rPr>
                  <w:rFonts w:ascii="Arial" w:cs="Arial" w:eastAsia="Arial" w:hAnsi="Arial"/>
                  <w:sz w:val="16"/>
                  <w:szCs w:val="16"/>
                  <w:color w:val="0000EE"/>
                </w:rPr>
                <w:t>Frequency of Payroll Deductions</w:t>
              </w:r>
            </w:hyperlink>
          </w:p>
        </w:tc>
        <w:tc>
          <w:tcPr>
            <w:tcW w:w="4060" w:type="dxa"/>
            <w:vAlign w:val="bottom"/>
            <w:tcBorders>
              <w:right w:val="single" w:sz="8" w:color="CCEEFF"/>
            </w:tcBorders>
            <w:gridSpan w:val="2"/>
            <w:shd w:val="clear" w:color="auto" w:fill="CCEEFF"/>
          </w:tcPr>
          <w:p>
            <w:pPr>
              <w:ind w:left="3680"/>
              <w:spacing w:after="0"/>
              <w:rPr>
                <w:rFonts w:ascii="Arial" w:cs="Arial" w:eastAsia="Arial" w:hAnsi="Arial"/>
                <w:sz w:val="16"/>
                <w:szCs w:val="16"/>
                <w:color w:val="0000EE"/>
              </w:rPr>
            </w:pPr>
            <w:hyperlink w:anchor="page107">
              <w:r>
                <w:rPr>
                  <w:rFonts w:ascii="Arial" w:cs="Arial" w:eastAsia="Arial" w:hAnsi="Arial"/>
                  <w:sz w:val="16"/>
                  <w:szCs w:val="16"/>
                  <w:color w:val="0000EE"/>
                </w:rPr>
                <w:t>A-22</w:t>
              </w:r>
            </w:hyperlink>
          </w:p>
        </w:tc>
        <w:tc>
          <w:tcPr>
            <w:tcW w:w="68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36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right w:val="single" w:sz="8" w:color="CCEEFF"/>
            </w:tcBorders>
            <w:shd w:val="clear" w:color="auto" w:fill="CCEEFF"/>
          </w:tcPr>
          <w:p>
            <w:pPr>
              <w:spacing w:after="0"/>
              <w:rPr>
                <w:sz w:val="2"/>
                <w:szCs w:val="2"/>
                <w:color w:val="auto"/>
              </w:rPr>
            </w:pPr>
          </w:p>
        </w:tc>
        <w:tc>
          <w:tcPr>
            <w:tcW w:w="680" w:type="dxa"/>
            <w:vAlign w:val="bottom"/>
          </w:tcPr>
          <w:p>
            <w:pPr>
              <w:spacing w:after="0"/>
              <w:rPr>
                <w:sz w:val="2"/>
                <w:szCs w:val="2"/>
                <w:color w:val="auto"/>
              </w:rPr>
            </w:pPr>
          </w:p>
        </w:tc>
      </w:tr>
      <w:tr>
        <w:trPr>
          <w:trHeight w:val="230"/>
        </w:trPr>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gridSpan w:val="5"/>
          </w:tcPr>
          <w:p>
            <w:pPr>
              <w:jc w:val="right"/>
              <w:ind w:right="120"/>
              <w:spacing w:after="0"/>
              <w:rPr>
                <w:rFonts w:ascii="Arial" w:cs="Arial" w:eastAsia="Arial" w:hAnsi="Arial"/>
                <w:sz w:val="16"/>
                <w:szCs w:val="16"/>
                <w:color w:val="0000EE"/>
                <w:w w:val="91"/>
              </w:rPr>
            </w:pPr>
            <w:hyperlink w:anchor="page107">
              <w:r>
                <w:rPr>
                  <w:rFonts w:ascii="Arial" w:cs="Arial" w:eastAsia="Arial" w:hAnsi="Arial"/>
                  <w:sz w:val="16"/>
                  <w:szCs w:val="16"/>
                  <w:color w:val="0000EE"/>
                  <w:w w:val="91"/>
                </w:rPr>
                <w:t>(b)</w:t>
              </w:r>
            </w:hyperlink>
          </w:p>
        </w:tc>
        <w:tc>
          <w:tcPr>
            <w:tcW w:w="4260" w:type="dxa"/>
            <w:vAlign w:val="bottom"/>
            <w:gridSpan w:val="34"/>
          </w:tcPr>
          <w:p>
            <w:pPr>
              <w:ind w:left="100"/>
              <w:spacing w:after="0"/>
              <w:rPr>
                <w:rFonts w:ascii="Arial" w:cs="Arial" w:eastAsia="Arial" w:hAnsi="Arial"/>
                <w:sz w:val="16"/>
                <w:szCs w:val="16"/>
                <w:color w:val="0000EE"/>
              </w:rPr>
            </w:pPr>
            <w:hyperlink w:anchor="page107">
              <w:r>
                <w:rPr>
                  <w:rFonts w:ascii="Arial" w:cs="Arial" w:eastAsia="Arial" w:hAnsi="Arial"/>
                  <w:sz w:val="16"/>
                  <w:szCs w:val="16"/>
                  <w:color w:val="0000EE"/>
                </w:rPr>
                <w:t>Amount of Payroll Deductions</w:t>
              </w:r>
            </w:hyperlink>
          </w:p>
        </w:tc>
        <w:tc>
          <w:tcPr>
            <w:tcW w:w="4060" w:type="dxa"/>
            <w:vAlign w:val="bottom"/>
            <w:gridSpan w:val="2"/>
          </w:tcPr>
          <w:p>
            <w:pPr>
              <w:ind w:left="3680"/>
              <w:spacing w:after="0"/>
              <w:rPr>
                <w:rFonts w:ascii="Arial" w:cs="Arial" w:eastAsia="Arial" w:hAnsi="Arial"/>
                <w:sz w:val="16"/>
                <w:szCs w:val="16"/>
                <w:color w:val="0000EE"/>
              </w:rPr>
            </w:pPr>
            <w:hyperlink w:anchor="page107">
              <w:r>
                <w:rPr>
                  <w:rFonts w:ascii="Arial" w:cs="Arial" w:eastAsia="Arial" w:hAnsi="Arial"/>
                  <w:sz w:val="16"/>
                  <w:szCs w:val="16"/>
                  <w:color w:val="0000EE"/>
                </w:rPr>
                <w:t>A-22</w:t>
              </w:r>
            </w:hyperlink>
          </w:p>
        </w:tc>
        <w:tc>
          <w:tcPr>
            <w:tcW w:w="680" w:type="dxa"/>
            <w:vAlign w:val="bottom"/>
          </w:tcPr>
          <w:p>
            <w:pPr>
              <w:spacing w:after="0"/>
              <w:rPr>
                <w:sz w:val="19"/>
                <w:szCs w:val="19"/>
                <w:color w:val="auto"/>
              </w:rPr>
            </w:pPr>
          </w:p>
        </w:tc>
      </w:tr>
      <w:tr>
        <w:trPr>
          <w:trHeight w:val="34"/>
        </w:trPr>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660" w:type="dxa"/>
            <w:vAlign w:val="bottom"/>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gridSpan w:val="5"/>
            <w:shd w:val="clear" w:color="auto" w:fill="CCEEFF"/>
          </w:tcPr>
          <w:p>
            <w:pPr>
              <w:jc w:val="right"/>
              <w:ind w:right="120"/>
              <w:spacing w:after="0"/>
              <w:rPr>
                <w:rFonts w:ascii="Arial" w:cs="Arial" w:eastAsia="Arial" w:hAnsi="Arial"/>
                <w:sz w:val="16"/>
                <w:szCs w:val="16"/>
                <w:color w:val="0000EE"/>
                <w:w w:val="96"/>
              </w:rPr>
            </w:pPr>
            <w:hyperlink w:anchor="page108">
              <w:r>
                <w:rPr>
                  <w:rFonts w:ascii="Arial" w:cs="Arial" w:eastAsia="Arial" w:hAnsi="Arial"/>
                  <w:sz w:val="16"/>
                  <w:szCs w:val="16"/>
                  <w:color w:val="0000EE"/>
                  <w:w w:val="96"/>
                </w:rPr>
                <w:t>(c)</w:t>
              </w:r>
            </w:hyperlink>
          </w:p>
        </w:tc>
        <w:tc>
          <w:tcPr>
            <w:tcW w:w="4260" w:type="dxa"/>
            <w:vAlign w:val="bottom"/>
            <w:gridSpan w:val="34"/>
            <w:shd w:val="clear" w:color="auto" w:fill="CCEEFF"/>
          </w:tcPr>
          <w:p>
            <w:pPr>
              <w:ind w:left="100"/>
              <w:spacing w:after="0"/>
              <w:rPr>
                <w:rFonts w:ascii="Arial" w:cs="Arial" w:eastAsia="Arial" w:hAnsi="Arial"/>
                <w:sz w:val="16"/>
                <w:szCs w:val="16"/>
                <w:color w:val="0000EE"/>
              </w:rPr>
            </w:pPr>
            <w:hyperlink w:anchor="page108">
              <w:r>
                <w:rPr>
                  <w:rFonts w:ascii="Arial" w:cs="Arial" w:eastAsia="Arial" w:hAnsi="Arial"/>
                  <w:sz w:val="16"/>
                  <w:szCs w:val="16"/>
                  <w:color w:val="0000EE"/>
                </w:rPr>
                <w:t>Changing Withholding Rate</w:t>
              </w:r>
            </w:hyperlink>
          </w:p>
        </w:tc>
        <w:tc>
          <w:tcPr>
            <w:tcW w:w="4060" w:type="dxa"/>
            <w:vAlign w:val="bottom"/>
            <w:tcBorders>
              <w:right w:val="single" w:sz="8" w:color="CCEEFF"/>
            </w:tcBorders>
            <w:gridSpan w:val="2"/>
            <w:shd w:val="clear" w:color="auto" w:fill="CCEEFF"/>
          </w:tcPr>
          <w:p>
            <w:pPr>
              <w:ind w:left="3680"/>
              <w:spacing w:after="0"/>
              <w:rPr>
                <w:rFonts w:ascii="Arial" w:cs="Arial" w:eastAsia="Arial" w:hAnsi="Arial"/>
                <w:sz w:val="16"/>
                <w:szCs w:val="16"/>
                <w:color w:val="0000EE"/>
              </w:rPr>
            </w:pPr>
            <w:hyperlink w:anchor="page108">
              <w:r>
                <w:rPr>
                  <w:rFonts w:ascii="Arial" w:cs="Arial" w:eastAsia="Arial" w:hAnsi="Arial"/>
                  <w:sz w:val="16"/>
                  <w:szCs w:val="16"/>
                  <w:color w:val="0000EE"/>
                </w:rPr>
                <w:t>A-23</w:t>
              </w:r>
            </w:hyperlink>
          </w:p>
        </w:tc>
        <w:tc>
          <w:tcPr>
            <w:tcW w:w="680" w:type="dxa"/>
            <w:vAlign w:val="bottom"/>
          </w:tcPr>
          <w:p>
            <w:pPr>
              <w:spacing w:after="0"/>
              <w:rPr>
                <w:sz w:val="21"/>
                <w:szCs w:val="21"/>
                <w:color w:val="auto"/>
              </w:rPr>
            </w:pPr>
          </w:p>
        </w:tc>
      </w:tr>
      <w:tr>
        <w:trPr>
          <w:trHeight w:val="34"/>
        </w:trPr>
        <w:tc>
          <w:tcPr>
            <w:tcW w:w="660" w:type="dxa"/>
            <w:vAlign w:val="bottom"/>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36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right w:val="single" w:sz="8" w:color="CCEEFF"/>
            </w:tcBorders>
            <w:shd w:val="clear" w:color="auto" w:fill="CCEEFF"/>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gridSpan w:val="5"/>
          </w:tcPr>
          <w:p>
            <w:pPr>
              <w:jc w:val="right"/>
              <w:ind w:right="120"/>
              <w:spacing w:after="0"/>
              <w:rPr>
                <w:rFonts w:ascii="Arial" w:cs="Arial" w:eastAsia="Arial" w:hAnsi="Arial"/>
                <w:sz w:val="16"/>
                <w:szCs w:val="16"/>
                <w:color w:val="0000EE"/>
                <w:w w:val="91"/>
              </w:rPr>
            </w:pPr>
            <w:hyperlink w:anchor="page108">
              <w:r>
                <w:rPr>
                  <w:rFonts w:ascii="Arial" w:cs="Arial" w:eastAsia="Arial" w:hAnsi="Arial"/>
                  <w:sz w:val="16"/>
                  <w:szCs w:val="16"/>
                  <w:color w:val="0000EE"/>
                  <w:w w:val="91"/>
                </w:rPr>
                <w:t>(d)</w:t>
              </w:r>
            </w:hyperlink>
          </w:p>
        </w:tc>
        <w:tc>
          <w:tcPr>
            <w:tcW w:w="4260" w:type="dxa"/>
            <w:vAlign w:val="bottom"/>
            <w:gridSpan w:val="34"/>
          </w:tcPr>
          <w:p>
            <w:pPr>
              <w:ind w:left="100"/>
              <w:spacing w:after="0"/>
              <w:rPr>
                <w:rFonts w:ascii="Arial" w:cs="Arial" w:eastAsia="Arial" w:hAnsi="Arial"/>
                <w:sz w:val="16"/>
                <w:szCs w:val="16"/>
                <w:color w:val="0000EE"/>
              </w:rPr>
            </w:pPr>
            <w:hyperlink w:anchor="page108">
              <w:r>
                <w:rPr>
                  <w:rFonts w:ascii="Arial" w:cs="Arial" w:eastAsia="Arial" w:hAnsi="Arial"/>
                  <w:sz w:val="16"/>
                  <w:szCs w:val="16"/>
                  <w:color w:val="0000EE"/>
                </w:rPr>
                <w:t>Discontinuing Payroll Deductions</w:t>
              </w:r>
            </w:hyperlink>
          </w:p>
        </w:tc>
        <w:tc>
          <w:tcPr>
            <w:tcW w:w="4060" w:type="dxa"/>
            <w:vAlign w:val="bottom"/>
            <w:gridSpan w:val="2"/>
          </w:tcPr>
          <w:p>
            <w:pPr>
              <w:ind w:left="3680"/>
              <w:spacing w:after="0"/>
              <w:rPr>
                <w:rFonts w:ascii="Arial" w:cs="Arial" w:eastAsia="Arial" w:hAnsi="Arial"/>
                <w:sz w:val="16"/>
                <w:szCs w:val="16"/>
                <w:color w:val="0000EE"/>
              </w:rPr>
            </w:pPr>
            <w:hyperlink w:anchor="page108">
              <w:r>
                <w:rPr>
                  <w:rFonts w:ascii="Arial" w:cs="Arial" w:eastAsia="Arial" w:hAnsi="Arial"/>
                  <w:sz w:val="16"/>
                  <w:szCs w:val="16"/>
                  <w:color w:val="0000EE"/>
                </w:rPr>
                <w:t>A-23</w:t>
              </w:r>
            </w:hyperlink>
          </w:p>
        </w:tc>
        <w:tc>
          <w:tcPr>
            <w:tcW w:w="680" w:type="dxa"/>
            <w:vAlign w:val="bottom"/>
          </w:tcPr>
          <w:p>
            <w:pPr>
              <w:spacing w:after="0"/>
              <w:rPr>
                <w:sz w:val="21"/>
                <w:szCs w:val="21"/>
                <w:color w:val="auto"/>
              </w:rPr>
            </w:pPr>
          </w:p>
        </w:tc>
      </w:tr>
      <w:tr>
        <w:trPr>
          <w:trHeight w:val="34"/>
        </w:trPr>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660" w:type="dxa"/>
            <w:vAlign w:val="bottom"/>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gridSpan w:val="7"/>
            <w:shd w:val="clear" w:color="auto" w:fill="CCEEFF"/>
          </w:tcPr>
          <w:p>
            <w:pPr>
              <w:jc w:val="right"/>
              <w:ind w:right="120"/>
              <w:spacing w:after="0"/>
              <w:rPr>
                <w:rFonts w:ascii="Arial" w:cs="Arial" w:eastAsia="Arial" w:hAnsi="Arial"/>
                <w:sz w:val="16"/>
                <w:szCs w:val="16"/>
                <w:color w:val="0000EE"/>
                <w:w w:val="99"/>
              </w:rPr>
            </w:pPr>
            <w:hyperlink w:anchor="page108">
              <w:r>
                <w:rPr>
                  <w:rFonts w:ascii="Arial" w:cs="Arial" w:eastAsia="Arial" w:hAnsi="Arial"/>
                  <w:sz w:val="16"/>
                  <w:szCs w:val="16"/>
                  <w:color w:val="0000EE"/>
                  <w:w w:val="99"/>
                </w:rPr>
                <w:t>SECTION 6</w:t>
              </w:r>
            </w:hyperlink>
          </w:p>
        </w:tc>
        <w:tc>
          <w:tcPr>
            <w:tcW w:w="4260" w:type="dxa"/>
            <w:vAlign w:val="bottom"/>
            <w:gridSpan w:val="34"/>
            <w:shd w:val="clear" w:color="auto" w:fill="CCEEFF"/>
          </w:tcPr>
          <w:p>
            <w:pPr>
              <w:ind w:left="100"/>
              <w:spacing w:after="0"/>
              <w:rPr>
                <w:rFonts w:ascii="Arial" w:cs="Arial" w:eastAsia="Arial" w:hAnsi="Arial"/>
                <w:sz w:val="16"/>
                <w:szCs w:val="16"/>
                <w:color w:val="0000EE"/>
              </w:rPr>
            </w:pPr>
            <w:hyperlink w:anchor="page108">
              <w:r>
                <w:rPr>
                  <w:rFonts w:ascii="Arial" w:cs="Arial" w:eastAsia="Arial" w:hAnsi="Arial"/>
                  <w:sz w:val="16"/>
                  <w:szCs w:val="16"/>
                  <w:color w:val="0000EE"/>
                </w:rPr>
                <w:t>Withdrawal from the Plan.</w:t>
              </w:r>
            </w:hyperlink>
          </w:p>
        </w:tc>
        <w:tc>
          <w:tcPr>
            <w:tcW w:w="4060" w:type="dxa"/>
            <w:vAlign w:val="bottom"/>
            <w:tcBorders>
              <w:right w:val="single" w:sz="8" w:color="CCEEFF"/>
            </w:tcBorders>
            <w:gridSpan w:val="2"/>
            <w:shd w:val="clear" w:color="auto" w:fill="CCEEFF"/>
          </w:tcPr>
          <w:p>
            <w:pPr>
              <w:ind w:left="3680"/>
              <w:spacing w:after="0"/>
              <w:rPr>
                <w:rFonts w:ascii="Arial" w:cs="Arial" w:eastAsia="Arial" w:hAnsi="Arial"/>
                <w:sz w:val="16"/>
                <w:szCs w:val="16"/>
                <w:color w:val="0000EE"/>
              </w:rPr>
            </w:pPr>
            <w:hyperlink w:anchor="page108">
              <w:r>
                <w:rPr>
                  <w:rFonts w:ascii="Arial" w:cs="Arial" w:eastAsia="Arial" w:hAnsi="Arial"/>
                  <w:sz w:val="16"/>
                  <w:szCs w:val="16"/>
                  <w:color w:val="0000EE"/>
                </w:rPr>
                <w:t>A-23</w:t>
              </w:r>
            </w:hyperlink>
          </w:p>
        </w:tc>
        <w:tc>
          <w:tcPr>
            <w:tcW w:w="680" w:type="dxa"/>
            <w:vAlign w:val="bottom"/>
          </w:tcPr>
          <w:p>
            <w:pPr>
              <w:spacing w:after="0"/>
              <w:rPr>
                <w:sz w:val="21"/>
                <w:szCs w:val="21"/>
                <w:color w:val="auto"/>
              </w:rPr>
            </w:pPr>
          </w:p>
        </w:tc>
      </w:tr>
      <w:tr>
        <w:trPr>
          <w:trHeight w:val="34"/>
        </w:trPr>
        <w:tc>
          <w:tcPr>
            <w:tcW w:w="660" w:type="dxa"/>
            <w:vAlign w:val="bottom"/>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36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right w:val="single" w:sz="8" w:color="CCEEFF"/>
            </w:tcBorders>
            <w:shd w:val="clear" w:color="auto" w:fill="CCEEFF"/>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gridSpan w:val="5"/>
          </w:tcPr>
          <w:p>
            <w:pPr>
              <w:jc w:val="right"/>
              <w:ind w:right="120"/>
              <w:spacing w:after="0"/>
              <w:rPr>
                <w:rFonts w:ascii="Arial" w:cs="Arial" w:eastAsia="Arial" w:hAnsi="Arial"/>
                <w:sz w:val="16"/>
                <w:szCs w:val="16"/>
                <w:color w:val="0000EE"/>
                <w:w w:val="91"/>
              </w:rPr>
            </w:pPr>
            <w:hyperlink w:anchor="page108">
              <w:r>
                <w:rPr>
                  <w:rFonts w:ascii="Arial" w:cs="Arial" w:eastAsia="Arial" w:hAnsi="Arial"/>
                  <w:sz w:val="16"/>
                  <w:szCs w:val="16"/>
                  <w:color w:val="0000EE"/>
                  <w:w w:val="91"/>
                </w:rPr>
                <w:t>(a)</w:t>
              </w:r>
            </w:hyperlink>
          </w:p>
        </w:tc>
        <w:tc>
          <w:tcPr>
            <w:tcW w:w="4260" w:type="dxa"/>
            <w:vAlign w:val="bottom"/>
            <w:gridSpan w:val="34"/>
          </w:tcPr>
          <w:p>
            <w:pPr>
              <w:ind w:left="100"/>
              <w:spacing w:after="0"/>
              <w:rPr>
                <w:rFonts w:ascii="Arial" w:cs="Arial" w:eastAsia="Arial" w:hAnsi="Arial"/>
                <w:sz w:val="16"/>
                <w:szCs w:val="16"/>
                <w:color w:val="0000EE"/>
              </w:rPr>
            </w:pPr>
            <w:hyperlink w:anchor="page108">
              <w:r>
                <w:rPr>
                  <w:rFonts w:ascii="Arial" w:cs="Arial" w:eastAsia="Arial" w:hAnsi="Arial"/>
                  <w:sz w:val="16"/>
                  <w:szCs w:val="16"/>
                  <w:color w:val="0000EE"/>
                </w:rPr>
                <w:t>Withdrawal</w:t>
              </w:r>
            </w:hyperlink>
          </w:p>
        </w:tc>
        <w:tc>
          <w:tcPr>
            <w:tcW w:w="4060" w:type="dxa"/>
            <w:vAlign w:val="bottom"/>
            <w:gridSpan w:val="2"/>
          </w:tcPr>
          <w:p>
            <w:pPr>
              <w:ind w:left="3680"/>
              <w:spacing w:after="0"/>
              <w:rPr>
                <w:rFonts w:ascii="Arial" w:cs="Arial" w:eastAsia="Arial" w:hAnsi="Arial"/>
                <w:sz w:val="16"/>
                <w:szCs w:val="16"/>
                <w:color w:val="0000EE"/>
              </w:rPr>
            </w:pPr>
            <w:hyperlink w:anchor="page108">
              <w:r>
                <w:rPr>
                  <w:rFonts w:ascii="Arial" w:cs="Arial" w:eastAsia="Arial" w:hAnsi="Arial"/>
                  <w:sz w:val="16"/>
                  <w:szCs w:val="16"/>
                  <w:color w:val="0000EE"/>
                </w:rPr>
                <w:t>A-23</w:t>
              </w:r>
            </w:hyperlink>
          </w:p>
        </w:tc>
        <w:tc>
          <w:tcPr>
            <w:tcW w:w="680" w:type="dxa"/>
            <w:vAlign w:val="bottom"/>
          </w:tcPr>
          <w:p>
            <w:pPr>
              <w:spacing w:after="0"/>
              <w:rPr>
                <w:sz w:val="21"/>
                <w:szCs w:val="21"/>
                <w:color w:val="auto"/>
              </w:rPr>
            </w:pPr>
          </w:p>
        </w:tc>
      </w:tr>
      <w:tr>
        <w:trPr>
          <w:trHeight w:val="34"/>
        </w:trPr>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660" w:type="dxa"/>
            <w:vAlign w:val="bottom"/>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gridSpan w:val="5"/>
            <w:shd w:val="clear" w:color="auto" w:fill="CCEEFF"/>
          </w:tcPr>
          <w:p>
            <w:pPr>
              <w:jc w:val="right"/>
              <w:ind w:right="120"/>
              <w:spacing w:after="0"/>
              <w:rPr>
                <w:rFonts w:ascii="Arial" w:cs="Arial" w:eastAsia="Arial" w:hAnsi="Arial"/>
                <w:sz w:val="16"/>
                <w:szCs w:val="16"/>
                <w:color w:val="0000EE"/>
                <w:w w:val="91"/>
              </w:rPr>
            </w:pPr>
            <w:hyperlink w:anchor="page108">
              <w:r>
                <w:rPr>
                  <w:rFonts w:ascii="Arial" w:cs="Arial" w:eastAsia="Arial" w:hAnsi="Arial"/>
                  <w:sz w:val="16"/>
                  <w:szCs w:val="16"/>
                  <w:color w:val="0000EE"/>
                  <w:w w:val="91"/>
                </w:rPr>
                <w:t>(b)</w:t>
              </w:r>
            </w:hyperlink>
          </w:p>
        </w:tc>
        <w:tc>
          <w:tcPr>
            <w:tcW w:w="4260" w:type="dxa"/>
            <w:vAlign w:val="bottom"/>
            <w:gridSpan w:val="34"/>
            <w:shd w:val="clear" w:color="auto" w:fill="CCEEFF"/>
          </w:tcPr>
          <w:p>
            <w:pPr>
              <w:ind w:left="100"/>
              <w:spacing w:after="0"/>
              <w:rPr>
                <w:rFonts w:ascii="Arial" w:cs="Arial" w:eastAsia="Arial" w:hAnsi="Arial"/>
                <w:sz w:val="16"/>
                <w:szCs w:val="16"/>
                <w:color w:val="0000EE"/>
              </w:rPr>
            </w:pPr>
            <w:hyperlink w:anchor="page108">
              <w:r>
                <w:rPr>
                  <w:rFonts w:ascii="Arial" w:cs="Arial" w:eastAsia="Arial" w:hAnsi="Arial"/>
                  <w:sz w:val="16"/>
                  <w:szCs w:val="16"/>
                  <w:color w:val="0000EE"/>
                </w:rPr>
                <w:t>Re-enrollment After Withdrawal</w:t>
              </w:r>
            </w:hyperlink>
          </w:p>
        </w:tc>
        <w:tc>
          <w:tcPr>
            <w:tcW w:w="4060" w:type="dxa"/>
            <w:vAlign w:val="bottom"/>
            <w:tcBorders>
              <w:right w:val="single" w:sz="8" w:color="CCEEFF"/>
            </w:tcBorders>
            <w:gridSpan w:val="2"/>
            <w:shd w:val="clear" w:color="auto" w:fill="CCEEFF"/>
          </w:tcPr>
          <w:p>
            <w:pPr>
              <w:ind w:left="3680"/>
              <w:spacing w:after="0"/>
              <w:rPr>
                <w:rFonts w:ascii="Arial" w:cs="Arial" w:eastAsia="Arial" w:hAnsi="Arial"/>
                <w:sz w:val="16"/>
                <w:szCs w:val="16"/>
                <w:color w:val="0000EE"/>
              </w:rPr>
            </w:pPr>
            <w:hyperlink w:anchor="page108">
              <w:r>
                <w:rPr>
                  <w:rFonts w:ascii="Arial" w:cs="Arial" w:eastAsia="Arial" w:hAnsi="Arial"/>
                  <w:sz w:val="16"/>
                  <w:szCs w:val="16"/>
                  <w:color w:val="0000EE"/>
                </w:rPr>
                <w:t>A-23</w:t>
              </w:r>
            </w:hyperlink>
          </w:p>
        </w:tc>
        <w:tc>
          <w:tcPr>
            <w:tcW w:w="680" w:type="dxa"/>
            <w:vAlign w:val="bottom"/>
          </w:tcPr>
          <w:p>
            <w:pPr>
              <w:spacing w:after="0"/>
              <w:rPr>
                <w:sz w:val="21"/>
                <w:szCs w:val="21"/>
                <w:color w:val="auto"/>
              </w:rPr>
            </w:pPr>
          </w:p>
        </w:tc>
      </w:tr>
      <w:tr>
        <w:trPr>
          <w:trHeight w:val="34"/>
        </w:trPr>
        <w:tc>
          <w:tcPr>
            <w:tcW w:w="660" w:type="dxa"/>
            <w:vAlign w:val="bottom"/>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36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right w:val="single" w:sz="8" w:color="CCEEFF"/>
            </w:tcBorders>
            <w:shd w:val="clear" w:color="auto" w:fill="CCEEFF"/>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660" w:type="dxa"/>
            <w:vAlign w:val="bottom"/>
          </w:tcPr>
          <w:p>
            <w:pPr>
              <w:spacing w:after="0"/>
              <w:rPr>
                <w:sz w:val="21"/>
                <w:szCs w:val="21"/>
                <w:color w:val="auto"/>
              </w:rPr>
            </w:pPr>
          </w:p>
        </w:tc>
        <w:tc>
          <w:tcPr>
            <w:tcW w:w="1060" w:type="dxa"/>
            <w:vAlign w:val="bottom"/>
            <w:gridSpan w:val="8"/>
          </w:tcPr>
          <w:p>
            <w:pPr>
              <w:jc w:val="right"/>
              <w:ind w:right="120"/>
              <w:spacing w:after="0"/>
              <w:rPr>
                <w:rFonts w:ascii="Arial" w:cs="Arial" w:eastAsia="Arial" w:hAnsi="Arial"/>
                <w:sz w:val="16"/>
                <w:szCs w:val="16"/>
                <w:color w:val="0000EE"/>
              </w:rPr>
            </w:pPr>
            <w:hyperlink w:anchor="page108">
              <w:r>
                <w:rPr>
                  <w:rFonts w:ascii="Arial" w:cs="Arial" w:eastAsia="Arial" w:hAnsi="Arial"/>
                  <w:sz w:val="16"/>
                  <w:szCs w:val="16"/>
                  <w:color w:val="0000EE"/>
                </w:rPr>
                <w:t>SECTION 7</w:t>
              </w:r>
            </w:hyperlink>
          </w:p>
        </w:tc>
        <w:tc>
          <w:tcPr>
            <w:tcW w:w="4260" w:type="dxa"/>
            <w:vAlign w:val="bottom"/>
            <w:gridSpan w:val="34"/>
          </w:tcPr>
          <w:p>
            <w:pPr>
              <w:ind w:left="100"/>
              <w:spacing w:after="0"/>
              <w:rPr>
                <w:rFonts w:ascii="Arial" w:cs="Arial" w:eastAsia="Arial" w:hAnsi="Arial"/>
                <w:sz w:val="16"/>
                <w:szCs w:val="16"/>
                <w:color w:val="0000EE"/>
              </w:rPr>
            </w:pPr>
            <w:hyperlink w:anchor="page108">
              <w:r>
                <w:rPr>
                  <w:rFonts w:ascii="Arial" w:cs="Arial" w:eastAsia="Arial" w:hAnsi="Arial"/>
                  <w:sz w:val="16"/>
                  <w:szCs w:val="16"/>
                  <w:color w:val="0000EE"/>
                </w:rPr>
                <w:t>Change in Employment Status.</w:t>
              </w:r>
            </w:hyperlink>
          </w:p>
        </w:tc>
        <w:tc>
          <w:tcPr>
            <w:tcW w:w="4060" w:type="dxa"/>
            <w:vAlign w:val="bottom"/>
            <w:gridSpan w:val="2"/>
          </w:tcPr>
          <w:p>
            <w:pPr>
              <w:ind w:left="3680"/>
              <w:spacing w:after="0"/>
              <w:rPr>
                <w:rFonts w:ascii="Arial" w:cs="Arial" w:eastAsia="Arial" w:hAnsi="Arial"/>
                <w:sz w:val="16"/>
                <w:szCs w:val="16"/>
                <w:color w:val="0000EE"/>
              </w:rPr>
            </w:pPr>
            <w:hyperlink w:anchor="page108">
              <w:r>
                <w:rPr>
                  <w:rFonts w:ascii="Arial" w:cs="Arial" w:eastAsia="Arial" w:hAnsi="Arial"/>
                  <w:sz w:val="16"/>
                  <w:szCs w:val="16"/>
                  <w:color w:val="0000EE"/>
                </w:rPr>
                <w:t>A-23</w:t>
              </w:r>
            </w:hyperlink>
          </w:p>
        </w:tc>
        <w:tc>
          <w:tcPr>
            <w:tcW w:w="680" w:type="dxa"/>
            <w:vAlign w:val="bottom"/>
          </w:tcPr>
          <w:p>
            <w:pPr>
              <w:spacing w:after="0"/>
              <w:rPr>
                <w:sz w:val="21"/>
                <w:szCs w:val="21"/>
                <w:color w:val="auto"/>
              </w:rPr>
            </w:pPr>
          </w:p>
        </w:tc>
      </w:tr>
      <w:tr>
        <w:trPr>
          <w:trHeight w:val="34"/>
        </w:trPr>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660" w:type="dxa"/>
            <w:vAlign w:val="bottom"/>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gridSpan w:val="5"/>
            <w:shd w:val="clear" w:color="auto" w:fill="CCEEFF"/>
          </w:tcPr>
          <w:p>
            <w:pPr>
              <w:jc w:val="right"/>
              <w:ind w:right="120"/>
              <w:spacing w:after="0"/>
              <w:rPr>
                <w:rFonts w:ascii="Arial" w:cs="Arial" w:eastAsia="Arial" w:hAnsi="Arial"/>
                <w:sz w:val="16"/>
                <w:szCs w:val="16"/>
                <w:color w:val="0000EE"/>
                <w:w w:val="91"/>
              </w:rPr>
            </w:pPr>
            <w:hyperlink w:anchor="page108">
              <w:r>
                <w:rPr>
                  <w:rFonts w:ascii="Arial" w:cs="Arial" w:eastAsia="Arial" w:hAnsi="Arial"/>
                  <w:sz w:val="16"/>
                  <w:szCs w:val="16"/>
                  <w:color w:val="0000EE"/>
                  <w:w w:val="91"/>
                </w:rPr>
                <w:t>(a)</w:t>
              </w:r>
            </w:hyperlink>
          </w:p>
        </w:tc>
        <w:tc>
          <w:tcPr>
            <w:tcW w:w="4260" w:type="dxa"/>
            <w:vAlign w:val="bottom"/>
            <w:gridSpan w:val="34"/>
            <w:shd w:val="clear" w:color="auto" w:fill="CCEEFF"/>
          </w:tcPr>
          <w:p>
            <w:pPr>
              <w:ind w:left="100"/>
              <w:spacing w:after="0"/>
              <w:rPr>
                <w:rFonts w:ascii="Arial" w:cs="Arial" w:eastAsia="Arial" w:hAnsi="Arial"/>
                <w:sz w:val="16"/>
                <w:szCs w:val="16"/>
                <w:color w:val="0000EE"/>
              </w:rPr>
            </w:pPr>
            <w:hyperlink w:anchor="page108">
              <w:r>
                <w:rPr>
                  <w:rFonts w:ascii="Arial" w:cs="Arial" w:eastAsia="Arial" w:hAnsi="Arial"/>
                  <w:sz w:val="16"/>
                  <w:szCs w:val="16"/>
                  <w:color w:val="0000EE"/>
                </w:rPr>
                <w:t>Termination of Employment</w:t>
              </w:r>
            </w:hyperlink>
          </w:p>
        </w:tc>
        <w:tc>
          <w:tcPr>
            <w:tcW w:w="4060" w:type="dxa"/>
            <w:vAlign w:val="bottom"/>
            <w:tcBorders>
              <w:right w:val="single" w:sz="8" w:color="CCEEFF"/>
            </w:tcBorders>
            <w:gridSpan w:val="2"/>
            <w:shd w:val="clear" w:color="auto" w:fill="CCEEFF"/>
          </w:tcPr>
          <w:p>
            <w:pPr>
              <w:ind w:left="3680"/>
              <w:spacing w:after="0"/>
              <w:rPr>
                <w:rFonts w:ascii="Arial" w:cs="Arial" w:eastAsia="Arial" w:hAnsi="Arial"/>
                <w:sz w:val="16"/>
                <w:szCs w:val="16"/>
                <w:color w:val="0000EE"/>
              </w:rPr>
            </w:pPr>
            <w:hyperlink w:anchor="page108">
              <w:r>
                <w:rPr>
                  <w:rFonts w:ascii="Arial" w:cs="Arial" w:eastAsia="Arial" w:hAnsi="Arial"/>
                  <w:sz w:val="16"/>
                  <w:szCs w:val="16"/>
                  <w:color w:val="0000EE"/>
                </w:rPr>
                <w:t>A-23</w:t>
              </w:r>
            </w:hyperlink>
          </w:p>
        </w:tc>
        <w:tc>
          <w:tcPr>
            <w:tcW w:w="680" w:type="dxa"/>
            <w:vAlign w:val="bottom"/>
          </w:tcPr>
          <w:p>
            <w:pPr>
              <w:spacing w:after="0"/>
              <w:rPr>
                <w:sz w:val="21"/>
                <w:szCs w:val="21"/>
                <w:color w:val="auto"/>
              </w:rPr>
            </w:pPr>
          </w:p>
        </w:tc>
      </w:tr>
      <w:tr>
        <w:trPr>
          <w:trHeight w:val="34"/>
        </w:trPr>
        <w:tc>
          <w:tcPr>
            <w:tcW w:w="660" w:type="dxa"/>
            <w:vAlign w:val="bottom"/>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36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right w:val="single" w:sz="8" w:color="CCEEFF"/>
            </w:tcBorders>
            <w:shd w:val="clear" w:color="auto" w:fill="CCEEFF"/>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gridSpan w:val="5"/>
          </w:tcPr>
          <w:p>
            <w:pPr>
              <w:jc w:val="right"/>
              <w:ind w:right="120"/>
              <w:spacing w:after="0"/>
              <w:rPr>
                <w:rFonts w:ascii="Arial" w:cs="Arial" w:eastAsia="Arial" w:hAnsi="Arial"/>
                <w:sz w:val="16"/>
                <w:szCs w:val="16"/>
                <w:color w:val="0000EE"/>
                <w:w w:val="91"/>
              </w:rPr>
            </w:pPr>
            <w:hyperlink w:anchor="page108">
              <w:r>
                <w:rPr>
                  <w:rFonts w:ascii="Arial" w:cs="Arial" w:eastAsia="Arial" w:hAnsi="Arial"/>
                  <w:sz w:val="16"/>
                  <w:szCs w:val="16"/>
                  <w:color w:val="0000EE"/>
                  <w:w w:val="91"/>
                </w:rPr>
                <w:t>(b)</w:t>
              </w:r>
            </w:hyperlink>
          </w:p>
        </w:tc>
        <w:tc>
          <w:tcPr>
            <w:tcW w:w="4260" w:type="dxa"/>
            <w:vAlign w:val="bottom"/>
            <w:gridSpan w:val="34"/>
          </w:tcPr>
          <w:p>
            <w:pPr>
              <w:ind w:left="100"/>
              <w:spacing w:after="0"/>
              <w:rPr>
                <w:rFonts w:ascii="Arial" w:cs="Arial" w:eastAsia="Arial" w:hAnsi="Arial"/>
                <w:sz w:val="16"/>
                <w:szCs w:val="16"/>
                <w:color w:val="0000EE"/>
              </w:rPr>
            </w:pPr>
            <w:hyperlink w:anchor="page108">
              <w:r>
                <w:rPr>
                  <w:rFonts w:ascii="Arial" w:cs="Arial" w:eastAsia="Arial" w:hAnsi="Arial"/>
                  <w:sz w:val="16"/>
                  <w:szCs w:val="16"/>
                  <w:color w:val="0000EE"/>
                </w:rPr>
                <w:t>Leave of Absence</w:t>
              </w:r>
            </w:hyperlink>
          </w:p>
        </w:tc>
        <w:tc>
          <w:tcPr>
            <w:tcW w:w="4060" w:type="dxa"/>
            <w:vAlign w:val="bottom"/>
            <w:gridSpan w:val="2"/>
          </w:tcPr>
          <w:p>
            <w:pPr>
              <w:ind w:left="3680"/>
              <w:spacing w:after="0"/>
              <w:rPr>
                <w:rFonts w:ascii="Arial" w:cs="Arial" w:eastAsia="Arial" w:hAnsi="Arial"/>
                <w:sz w:val="16"/>
                <w:szCs w:val="16"/>
                <w:color w:val="0000EE"/>
              </w:rPr>
            </w:pPr>
            <w:hyperlink w:anchor="page108">
              <w:r>
                <w:rPr>
                  <w:rFonts w:ascii="Arial" w:cs="Arial" w:eastAsia="Arial" w:hAnsi="Arial"/>
                  <w:sz w:val="16"/>
                  <w:szCs w:val="16"/>
                  <w:color w:val="0000EE"/>
                </w:rPr>
                <w:t>A-23</w:t>
              </w:r>
            </w:hyperlink>
          </w:p>
        </w:tc>
        <w:tc>
          <w:tcPr>
            <w:tcW w:w="680" w:type="dxa"/>
            <w:vAlign w:val="bottom"/>
          </w:tcPr>
          <w:p>
            <w:pPr>
              <w:spacing w:after="0"/>
              <w:rPr>
                <w:sz w:val="21"/>
                <w:szCs w:val="21"/>
                <w:color w:val="auto"/>
              </w:rPr>
            </w:pPr>
          </w:p>
        </w:tc>
      </w:tr>
      <w:tr>
        <w:trPr>
          <w:trHeight w:val="34"/>
        </w:trPr>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660" w:type="dxa"/>
            <w:vAlign w:val="bottom"/>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gridSpan w:val="5"/>
            <w:shd w:val="clear" w:color="auto" w:fill="CCEEFF"/>
          </w:tcPr>
          <w:p>
            <w:pPr>
              <w:jc w:val="right"/>
              <w:ind w:right="120"/>
              <w:spacing w:after="0"/>
              <w:rPr>
                <w:rFonts w:ascii="Arial" w:cs="Arial" w:eastAsia="Arial" w:hAnsi="Arial"/>
                <w:sz w:val="16"/>
                <w:szCs w:val="16"/>
                <w:color w:val="0000EE"/>
                <w:w w:val="96"/>
              </w:rPr>
            </w:pPr>
            <w:hyperlink w:anchor="page108">
              <w:r>
                <w:rPr>
                  <w:rFonts w:ascii="Arial" w:cs="Arial" w:eastAsia="Arial" w:hAnsi="Arial"/>
                  <w:sz w:val="16"/>
                  <w:szCs w:val="16"/>
                  <w:color w:val="0000EE"/>
                  <w:w w:val="96"/>
                </w:rPr>
                <w:t>(c)</w:t>
              </w:r>
            </w:hyperlink>
          </w:p>
        </w:tc>
        <w:tc>
          <w:tcPr>
            <w:tcW w:w="4260" w:type="dxa"/>
            <w:vAlign w:val="bottom"/>
            <w:gridSpan w:val="34"/>
            <w:shd w:val="clear" w:color="auto" w:fill="CCEEFF"/>
          </w:tcPr>
          <w:p>
            <w:pPr>
              <w:ind w:left="100"/>
              <w:spacing w:after="0"/>
              <w:rPr>
                <w:rFonts w:ascii="Arial" w:cs="Arial" w:eastAsia="Arial" w:hAnsi="Arial"/>
                <w:sz w:val="16"/>
                <w:szCs w:val="16"/>
                <w:color w:val="0000EE"/>
              </w:rPr>
            </w:pPr>
            <w:hyperlink w:anchor="page108">
              <w:r>
                <w:rPr>
                  <w:rFonts w:ascii="Arial" w:cs="Arial" w:eastAsia="Arial" w:hAnsi="Arial"/>
                  <w:sz w:val="16"/>
                  <w:szCs w:val="16"/>
                  <w:color w:val="0000EE"/>
                </w:rPr>
                <w:t>Death</w:t>
              </w:r>
            </w:hyperlink>
          </w:p>
        </w:tc>
        <w:tc>
          <w:tcPr>
            <w:tcW w:w="4060" w:type="dxa"/>
            <w:vAlign w:val="bottom"/>
            <w:tcBorders>
              <w:right w:val="single" w:sz="8" w:color="CCEEFF"/>
            </w:tcBorders>
            <w:gridSpan w:val="2"/>
            <w:shd w:val="clear" w:color="auto" w:fill="CCEEFF"/>
          </w:tcPr>
          <w:p>
            <w:pPr>
              <w:ind w:left="3680"/>
              <w:spacing w:after="0"/>
              <w:rPr>
                <w:rFonts w:ascii="Arial" w:cs="Arial" w:eastAsia="Arial" w:hAnsi="Arial"/>
                <w:sz w:val="16"/>
                <w:szCs w:val="16"/>
                <w:color w:val="0000EE"/>
              </w:rPr>
            </w:pPr>
            <w:hyperlink w:anchor="page108">
              <w:r>
                <w:rPr>
                  <w:rFonts w:ascii="Arial" w:cs="Arial" w:eastAsia="Arial" w:hAnsi="Arial"/>
                  <w:sz w:val="16"/>
                  <w:szCs w:val="16"/>
                  <w:color w:val="0000EE"/>
                </w:rPr>
                <w:t>A-23</w:t>
              </w:r>
            </w:hyperlink>
          </w:p>
        </w:tc>
        <w:tc>
          <w:tcPr>
            <w:tcW w:w="680" w:type="dxa"/>
            <w:vAlign w:val="bottom"/>
          </w:tcPr>
          <w:p>
            <w:pPr>
              <w:spacing w:after="0"/>
              <w:rPr>
                <w:sz w:val="21"/>
                <w:szCs w:val="21"/>
                <w:color w:val="auto"/>
              </w:rPr>
            </w:pPr>
          </w:p>
        </w:tc>
      </w:tr>
      <w:tr>
        <w:trPr>
          <w:trHeight w:val="34"/>
        </w:trPr>
        <w:tc>
          <w:tcPr>
            <w:tcW w:w="660" w:type="dxa"/>
            <w:vAlign w:val="bottom"/>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36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right w:val="single" w:sz="8" w:color="CCEEFF"/>
            </w:tcBorders>
            <w:shd w:val="clear" w:color="auto" w:fill="CCEEFF"/>
          </w:tcPr>
          <w:p>
            <w:pPr>
              <w:spacing w:after="0"/>
              <w:rPr>
                <w:sz w:val="2"/>
                <w:szCs w:val="2"/>
                <w:color w:val="auto"/>
              </w:rPr>
            </w:pPr>
          </w:p>
        </w:tc>
        <w:tc>
          <w:tcPr>
            <w:tcW w:w="680" w:type="dxa"/>
            <w:vAlign w:val="bottom"/>
          </w:tcPr>
          <w:p>
            <w:pPr>
              <w:spacing w:after="0"/>
              <w:rPr>
                <w:sz w:val="2"/>
                <w:szCs w:val="2"/>
                <w:color w:val="auto"/>
              </w:rPr>
            </w:pPr>
          </w:p>
        </w:tc>
      </w:tr>
      <w:tr>
        <w:trPr>
          <w:trHeight w:val="564"/>
        </w:trPr>
        <w:tc>
          <w:tcPr>
            <w:tcW w:w="660" w:type="dxa"/>
            <w:vAlign w:val="bottom"/>
          </w:tcPr>
          <w:p>
            <w:pPr>
              <w:spacing w:after="0"/>
              <w:rPr>
                <w:sz w:val="24"/>
                <w:szCs w:val="24"/>
                <w:color w:val="auto"/>
              </w:rPr>
            </w:pPr>
          </w:p>
        </w:tc>
        <w:tc>
          <w:tcPr>
            <w:tcW w:w="760" w:type="dxa"/>
            <w:vAlign w:val="bottom"/>
            <w:gridSpan w:val="4"/>
          </w:tcPr>
          <w:p>
            <w:pPr>
              <w:spacing w:after="0"/>
              <w:rPr>
                <w:sz w:val="20"/>
                <w:szCs w:val="20"/>
                <w:color w:val="auto"/>
              </w:rPr>
            </w:pPr>
            <w:r>
              <w:rPr>
                <w:rFonts w:ascii="Arial" w:cs="Arial" w:eastAsia="Arial" w:hAnsi="Arial"/>
                <w:sz w:val="13"/>
                <w:szCs w:val="13"/>
                <w:b w:val="1"/>
                <w:bCs w:val="1"/>
                <w:color w:val="auto"/>
              </w:rPr>
              <w:t>A-18</w:t>
            </w:r>
          </w:p>
        </w:tc>
        <w:tc>
          <w:tcPr>
            <w:tcW w:w="18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60" w:type="dxa"/>
            <w:vAlign w:val="bottom"/>
            <w:gridSpan w:val="2"/>
          </w:tcPr>
          <w:p>
            <w:pPr>
              <w:ind w:left="2820"/>
              <w:spacing w:after="0"/>
              <w:rPr>
                <w:sz w:val="20"/>
                <w:szCs w:val="20"/>
                <w:color w:val="auto"/>
              </w:rPr>
            </w:pPr>
            <w:r>
              <w:rPr>
                <w:rFonts w:ascii="Arial" w:cs="Arial" w:eastAsia="Arial" w:hAnsi="Arial"/>
                <w:sz w:val="13"/>
                <w:szCs w:val="13"/>
                <w:color w:val="auto"/>
                <w:w w:val="93"/>
              </w:rPr>
              <w:t>2022 Proxy Statement</w:t>
            </w:r>
          </w:p>
        </w:tc>
        <w:tc>
          <w:tcPr>
            <w:tcW w:w="680" w:type="dxa"/>
            <w:vAlign w:val="bottom"/>
          </w:tcPr>
          <w:p>
            <w:pPr>
              <w:spacing w:after="0"/>
              <w:rPr>
                <w:sz w:val="24"/>
                <w:szCs w:val="24"/>
                <w:color w:val="auto"/>
              </w:rPr>
            </w:pPr>
          </w:p>
        </w:tc>
      </w:tr>
      <w:tr>
        <w:trPr>
          <w:trHeight w:val="172"/>
        </w:trPr>
        <w:tc>
          <w:tcPr>
            <w:tcW w:w="6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04" w:name="page105"/>
    <w:bookmarkEnd w:id="104"/>
    <w:p>
      <w:pPr>
        <w:spacing w:after="0"/>
        <w:rPr>
          <w:rFonts w:ascii="Arial" w:cs="Arial" w:eastAsia="Arial" w:hAnsi="Arial"/>
          <w:sz w:val="14"/>
          <w:szCs w:val="14"/>
          <w:color w:val="003366"/>
        </w:rPr>
      </w:pPr>
      <w:hyperlink w:anchor="page8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660" w:type="dxa"/>
        <w:tblCellMar>
          <w:top w:w="0" w:type="dxa"/>
          <w:left w:w="0" w:type="dxa"/>
          <w:bottom w:w="0" w:type="dxa"/>
          <w:right w:w="0" w:type="dxa"/>
        </w:tblCellMar>
      </w:tblPr>
      <w:tr>
        <w:trPr>
          <w:trHeight w:val="168"/>
        </w:trPr>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6"/>
              </w:rPr>
              <w:t>Page</w:t>
            </w:r>
          </w:p>
        </w:tc>
      </w:tr>
      <w:tr>
        <w:trPr>
          <w:trHeight w:val="43"/>
        </w:trPr>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248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29"/>
        </w:trPr>
        <w:tc>
          <w:tcPr>
            <w:tcW w:w="1060" w:type="dxa"/>
            <w:vAlign w:val="bottom"/>
            <w:gridSpan w:val="6"/>
            <w:shd w:val="clear" w:color="auto" w:fill="CCEEFF"/>
          </w:tcPr>
          <w:p>
            <w:pPr>
              <w:jc w:val="right"/>
              <w:ind w:right="220"/>
              <w:spacing w:after="0"/>
              <w:rPr>
                <w:rFonts w:ascii="Arial" w:cs="Arial" w:eastAsia="Arial" w:hAnsi="Arial"/>
                <w:sz w:val="16"/>
                <w:szCs w:val="16"/>
                <w:color w:val="0000EE"/>
                <w:w w:val="97"/>
              </w:rPr>
            </w:pPr>
            <w:hyperlink w:anchor="page108">
              <w:r>
                <w:rPr>
                  <w:rFonts w:ascii="Arial" w:cs="Arial" w:eastAsia="Arial" w:hAnsi="Arial"/>
                  <w:sz w:val="16"/>
                  <w:szCs w:val="16"/>
                  <w:color w:val="0000EE"/>
                  <w:w w:val="97"/>
                </w:rPr>
                <w:t>SECTION 8</w:t>
              </w:r>
            </w:hyperlink>
          </w:p>
        </w:tc>
        <w:tc>
          <w:tcPr>
            <w:tcW w:w="5440" w:type="dxa"/>
            <w:vAlign w:val="bottom"/>
            <w:gridSpan w:val="22"/>
            <w:shd w:val="clear" w:color="auto" w:fill="CCEEFF"/>
          </w:tcPr>
          <w:p>
            <w:pPr>
              <w:ind w:left="100"/>
              <w:spacing w:after="0"/>
              <w:rPr>
                <w:rFonts w:ascii="Arial" w:cs="Arial" w:eastAsia="Arial" w:hAnsi="Arial"/>
                <w:sz w:val="16"/>
                <w:szCs w:val="16"/>
                <w:color w:val="0000EE"/>
              </w:rPr>
            </w:pPr>
            <w:hyperlink w:anchor="page108">
              <w:r>
                <w:rPr>
                  <w:rFonts w:ascii="Arial" w:cs="Arial" w:eastAsia="Arial" w:hAnsi="Arial"/>
                  <w:sz w:val="16"/>
                  <w:szCs w:val="16"/>
                  <w:color w:val="0000EE"/>
                </w:rPr>
                <w:t>Plan Accounts and Purchase of Shares.</w:t>
              </w:r>
            </w:hyperlink>
          </w:p>
        </w:tc>
        <w:tc>
          <w:tcPr>
            <w:tcW w:w="2880" w:type="dxa"/>
            <w:vAlign w:val="bottom"/>
            <w:gridSpan w:val="4"/>
            <w:shd w:val="clear" w:color="auto" w:fill="CCEEFF"/>
          </w:tcPr>
          <w:p>
            <w:pPr>
              <w:jc w:val="center"/>
              <w:ind w:left="2359"/>
              <w:spacing w:after="0"/>
              <w:rPr>
                <w:rFonts w:ascii="Arial" w:cs="Arial" w:eastAsia="Arial" w:hAnsi="Arial"/>
                <w:sz w:val="16"/>
                <w:szCs w:val="16"/>
                <w:color w:val="0000EE"/>
              </w:rPr>
            </w:pPr>
            <w:hyperlink w:anchor="page108">
              <w:r>
                <w:rPr>
                  <w:rFonts w:ascii="Arial" w:cs="Arial" w:eastAsia="Arial" w:hAnsi="Arial"/>
                  <w:sz w:val="16"/>
                  <w:szCs w:val="16"/>
                  <w:color w:val="0000EE"/>
                </w:rPr>
                <w:t>A-23</w:t>
              </w:r>
            </w:hyperlink>
          </w:p>
        </w:tc>
      </w:tr>
      <w:tr>
        <w:trPr>
          <w:trHeight w:val="34"/>
        </w:trPr>
        <w:tc>
          <w:tcPr>
            <w:tcW w:w="7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2480" w:type="dxa"/>
            <w:vAlign w:val="bottom"/>
            <w:tcBorders>
              <w:top w:val="single" w:sz="8" w:color="CCEEFF"/>
            </w:tcBorders>
            <w:shd w:val="clear" w:color="auto" w:fill="CCEEFF"/>
          </w:tcPr>
          <w:p>
            <w:pPr>
              <w:spacing w:after="0"/>
              <w:rPr>
                <w:sz w:val="2"/>
                <w:szCs w:val="2"/>
                <w:color w:val="auto"/>
              </w:rPr>
            </w:pPr>
          </w:p>
        </w:tc>
        <w:tc>
          <w:tcPr>
            <w:tcW w:w="2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230"/>
        </w:trPr>
        <w:tc>
          <w:tcPr>
            <w:tcW w:w="740" w:type="dxa"/>
            <w:vAlign w:val="bottom"/>
          </w:tcPr>
          <w:p>
            <w:pPr>
              <w:spacing w:after="0"/>
              <w:rPr>
                <w:sz w:val="19"/>
                <w:szCs w:val="19"/>
                <w:color w:val="auto"/>
              </w:rPr>
            </w:pPr>
          </w:p>
        </w:tc>
        <w:tc>
          <w:tcPr>
            <w:tcW w:w="320" w:type="dxa"/>
            <w:vAlign w:val="bottom"/>
            <w:gridSpan w:val="5"/>
          </w:tcPr>
          <w:p>
            <w:pPr>
              <w:jc w:val="right"/>
              <w:ind w:right="120"/>
              <w:spacing w:after="0"/>
              <w:rPr>
                <w:rFonts w:ascii="Arial" w:cs="Arial" w:eastAsia="Arial" w:hAnsi="Arial"/>
                <w:sz w:val="16"/>
                <w:szCs w:val="16"/>
                <w:color w:val="0000EE"/>
                <w:w w:val="91"/>
              </w:rPr>
            </w:pPr>
            <w:hyperlink w:anchor="page108">
              <w:r>
                <w:rPr>
                  <w:rFonts w:ascii="Arial" w:cs="Arial" w:eastAsia="Arial" w:hAnsi="Arial"/>
                  <w:sz w:val="16"/>
                  <w:szCs w:val="16"/>
                  <w:color w:val="0000EE"/>
                  <w:w w:val="91"/>
                </w:rPr>
                <w:t>(a)</w:t>
              </w:r>
            </w:hyperlink>
          </w:p>
        </w:tc>
        <w:tc>
          <w:tcPr>
            <w:tcW w:w="5440" w:type="dxa"/>
            <w:vAlign w:val="bottom"/>
            <w:gridSpan w:val="22"/>
          </w:tcPr>
          <w:p>
            <w:pPr>
              <w:ind w:left="100"/>
              <w:spacing w:after="0"/>
              <w:rPr>
                <w:rFonts w:ascii="Arial" w:cs="Arial" w:eastAsia="Arial" w:hAnsi="Arial"/>
                <w:sz w:val="16"/>
                <w:szCs w:val="16"/>
                <w:color w:val="0000EE"/>
              </w:rPr>
            </w:pPr>
            <w:hyperlink w:anchor="page108">
              <w:r>
                <w:rPr>
                  <w:rFonts w:ascii="Arial" w:cs="Arial" w:eastAsia="Arial" w:hAnsi="Arial"/>
                  <w:sz w:val="16"/>
                  <w:szCs w:val="16"/>
                  <w:color w:val="0000EE"/>
                </w:rPr>
                <w:t>Plan Accounts</w:t>
              </w:r>
            </w:hyperlink>
          </w:p>
        </w:tc>
        <w:tc>
          <w:tcPr>
            <w:tcW w:w="2480" w:type="dxa"/>
            <w:vAlign w:val="bottom"/>
          </w:tcPr>
          <w:p>
            <w:pPr>
              <w:spacing w:after="0"/>
              <w:rPr>
                <w:sz w:val="19"/>
                <w:szCs w:val="19"/>
                <w:color w:val="auto"/>
              </w:rPr>
            </w:pPr>
          </w:p>
        </w:tc>
        <w:tc>
          <w:tcPr>
            <w:tcW w:w="400" w:type="dxa"/>
            <w:vAlign w:val="bottom"/>
            <w:gridSpan w:val="3"/>
          </w:tcPr>
          <w:p>
            <w:pPr>
              <w:jc w:val="center"/>
              <w:ind w:right="20"/>
              <w:spacing w:after="0"/>
              <w:rPr>
                <w:rFonts w:ascii="Arial" w:cs="Arial" w:eastAsia="Arial" w:hAnsi="Arial"/>
                <w:sz w:val="16"/>
                <w:szCs w:val="16"/>
                <w:color w:val="0000EE"/>
              </w:rPr>
            </w:pPr>
            <w:hyperlink w:anchor="page108">
              <w:r>
                <w:rPr>
                  <w:rFonts w:ascii="Arial" w:cs="Arial" w:eastAsia="Arial" w:hAnsi="Arial"/>
                  <w:sz w:val="16"/>
                  <w:szCs w:val="16"/>
                  <w:color w:val="0000EE"/>
                </w:rPr>
                <w:t>A-23</w:t>
              </w:r>
            </w:hyperlink>
          </w:p>
        </w:tc>
      </w:tr>
      <w:tr>
        <w:trPr>
          <w:trHeight w:val="34"/>
        </w:trPr>
        <w:tc>
          <w:tcPr>
            <w:tcW w:w="7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230"/>
        </w:trPr>
        <w:tc>
          <w:tcPr>
            <w:tcW w:w="740" w:type="dxa"/>
            <w:vAlign w:val="bottom"/>
            <w:shd w:val="clear" w:color="auto" w:fill="CCEEFF"/>
          </w:tcPr>
          <w:p>
            <w:pPr>
              <w:spacing w:after="0"/>
              <w:rPr>
                <w:sz w:val="19"/>
                <w:szCs w:val="19"/>
                <w:color w:val="auto"/>
              </w:rPr>
            </w:pPr>
          </w:p>
        </w:tc>
        <w:tc>
          <w:tcPr>
            <w:tcW w:w="320" w:type="dxa"/>
            <w:vAlign w:val="bottom"/>
            <w:gridSpan w:val="5"/>
            <w:shd w:val="clear" w:color="auto" w:fill="CCEEFF"/>
          </w:tcPr>
          <w:p>
            <w:pPr>
              <w:jc w:val="right"/>
              <w:ind w:right="120"/>
              <w:spacing w:after="0"/>
              <w:rPr>
                <w:rFonts w:ascii="Arial" w:cs="Arial" w:eastAsia="Arial" w:hAnsi="Arial"/>
                <w:sz w:val="16"/>
                <w:szCs w:val="16"/>
                <w:color w:val="0000EE"/>
                <w:w w:val="91"/>
              </w:rPr>
            </w:pPr>
            <w:hyperlink w:anchor="page108">
              <w:r>
                <w:rPr>
                  <w:rFonts w:ascii="Arial" w:cs="Arial" w:eastAsia="Arial" w:hAnsi="Arial"/>
                  <w:sz w:val="16"/>
                  <w:szCs w:val="16"/>
                  <w:color w:val="0000EE"/>
                  <w:w w:val="91"/>
                </w:rPr>
                <w:t>(b)</w:t>
              </w:r>
            </w:hyperlink>
          </w:p>
        </w:tc>
        <w:tc>
          <w:tcPr>
            <w:tcW w:w="5440" w:type="dxa"/>
            <w:vAlign w:val="bottom"/>
            <w:gridSpan w:val="22"/>
            <w:shd w:val="clear" w:color="auto" w:fill="CCEEFF"/>
          </w:tcPr>
          <w:p>
            <w:pPr>
              <w:ind w:left="100"/>
              <w:spacing w:after="0"/>
              <w:rPr>
                <w:rFonts w:ascii="Arial" w:cs="Arial" w:eastAsia="Arial" w:hAnsi="Arial"/>
                <w:sz w:val="16"/>
                <w:szCs w:val="16"/>
                <w:color w:val="0000EE"/>
              </w:rPr>
            </w:pPr>
            <w:hyperlink w:anchor="page108">
              <w:r>
                <w:rPr>
                  <w:rFonts w:ascii="Arial" w:cs="Arial" w:eastAsia="Arial" w:hAnsi="Arial"/>
                  <w:sz w:val="16"/>
                  <w:szCs w:val="16"/>
                  <w:color w:val="0000EE"/>
                </w:rPr>
                <w:t>Purchase Price</w:t>
              </w:r>
            </w:hyperlink>
          </w:p>
        </w:tc>
        <w:tc>
          <w:tcPr>
            <w:tcW w:w="248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center"/>
              <w:ind w:right="20"/>
              <w:spacing w:after="0"/>
              <w:rPr>
                <w:rFonts w:ascii="Arial" w:cs="Arial" w:eastAsia="Arial" w:hAnsi="Arial"/>
                <w:sz w:val="16"/>
                <w:szCs w:val="16"/>
                <w:color w:val="0000EE"/>
              </w:rPr>
            </w:pPr>
            <w:hyperlink w:anchor="page108">
              <w:r>
                <w:rPr>
                  <w:rFonts w:ascii="Arial" w:cs="Arial" w:eastAsia="Arial" w:hAnsi="Arial"/>
                  <w:sz w:val="16"/>
                  <w:szCs w:val="16"/>
                  <w:color w:val="0000EE"/>
                </w:rPr>
                <w:t>A-23</w:t>
              </w:r>
            </w:hyperlink>
          </w:p>
        </w:tc>
      </w:tr>
      <w:tr>
        <w:trPr>
          <w:trHeight w:val="34"/>
        </w:trPr>
        <w:tc>
          <w:tcPr>
            <w:tcW w:w="7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480" w:type="dxa"/>
            <w:vAlign w:val="bottom"/>
            <w:tcBorders>
              <w:top w:val="single" w:sz="8" w:color="CCEEFF"/>
            </w:tcBorders>
            <w:shd w:val="clear" w:color="auto" w:fill="CCEEFF"/>
          </w:tcPr>
          <w:p>
            <w:pPr>
              <w:spacing w:after="0"/>
              <w:rPr>
                <w:sz w:val="2"/>
                <w:szCs w:val="2"/>
                <w:color w:val="auto"/>
              </w:rPr>
            </w:pPr>
          </w:p>
        </w:tc>
        <w:tc>
          <w:tcPr>
            <w:tcW w:w="2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229"/>
        </w:trPr>
        <w:tc>
          <w:tcPr>
            <w:tcW w:w="740" w:type="dxa"/>
            <w:vAlign w:val="bottom"/>
          </w:tcPr>
          <w:p>
            <w:pPr>
              <w:spacing w:after="0"/>
              <w:rPr>
                <w:sz w:val="19"/>
                <w:szCs w:val="19"/>
                <w:color w:val="auto"/>
              </w:rPr>
            </w:pPr>
          </w:p>
        </w:tc>
        <w:tc>
          <w:tcPr>
            <w:tcW w:w="320" w:type="dxa"/>
            <w:vAlign w:val="bottom"/>
            <w:gridSpan w:val="5"/>
          </w:tcPr>
          <w:p>
            <w:pPr>
              <w:jc w:val="right"/>
              <w:ind w:right="120"/>
              <w:spacing w:after="0"/>
              <w:rPr>
                <w:rFonts w:ascii="Arial" w:cs="Arial" w:eastAsia="Arial" w:hAnsi="Arial"/>
                <w:sz w:val="16"/>
                <w:szCs w:val="16"/>
                <w:color w:val="0000EE"/>
                <w:w w:val="96"/>
              </w:rPr>
            </w:pPr>
            <w:hyperlink w:anchor="page109">
              <w:r>
                <w:rPr>
                  <w:rFonts w:ascii="Arial" w:cs="Arial" w:eastAsia="Arial" w:hAnsi="Arial"/>
                  <w:sz w:val="16"/>
                  <w:szCs w:val="16"/>
                  <w:color w:val="0000EE"/>
                  <w:w w:val="96"/>
                </w:rPr>
                <w:t>(c)</w:t>
              </w:r>
            </w:hyperlink>
          </w:p>
        </w:tc>
        <w:tc>
          <w:tcPr>
            <w:tcW w:w="5440" w:type="dxa"/>
            <w:vAlign w:val="bottom"/>
            <w:gridSpan w:val="22"/>
          </w:tcPr>
          <w:p>
            <w:pPr>
              <w:ind w:left="100"/>
              <w:spacing w:after="0"/>
              <w:rPr>
                <w:rFonts w:ascii="Arial" w:cs="Arial" w:eastAsia="Arial" w:hAnsi="Arial"/>
                <w:sz w:val="16"/>
                <w:szCs w:val="16"/>
                <w:color w:val="0000EE"/>
              </w:rPr>
            </w:pPr>
            <w:hyperlink w:anchor="page109">
              <w:r>
                <w:rPr>
                  <w:rFonts w:ascii="Arial" w:cs="Arial" w:eastAsia="Arial" w:hAnsi="Arial"/>
                  <w:sz w:val="16"/>
                  <w:szCs w:val="16"/>
                  <w:color w:val="0000EE"/>
                </w:rPr>
                <w:t>Number of Shares Purchased</w:t>
              </w:r>
            </w:hyperlink>
          </w:p>
        </w:tc>
        <w:tc>
          <w:tcPr>
            <w:tcW w:w="2480" w:type="dxa"/>
            <w:vAlign w:val="bottom"/>
          </w:tcPr>
          <w:p>
            <w:pPr>
              <w:spacing w:after="0"/>
              <w:rPr>
                <w:sz w:val="19"/>
                <w:szCs w:val="19"/>
                <w:color w:val="auto"/>
              </w:rPr>
            </w:pPr>
          </w:p>
        </w:tc>
        <w:tc>
          <w:tcPr>
            <w:tcW w:w="400" w:type="dxa"/>
            <w:vAlign w:val="bottom"/>
            <w:gridSpan w:val="3"/>
          </w:tcPr>
          <w:p>
            <w:pPr>
              <w:jc w:val="center"/>
              <w:ind w:right="20"/>
              <w:spacing w:after="0"/>
              <w:rPr>
                <w:rFonts w:ascii="Arial" w:cs="Arial" w:eastAsia="Arial" w:hAnsi="Arial"/>
                <w:sz w:val="16"/>
                <w:szCs w:val="16"/>
                <w:color w:val="0000EE"/>
              </w:rPr>
            </w:pPr>
            <w:hyperlink w:anchor="page109">
              <w:r>
                <w:rPr>
                  <w:rFonts w:ascii="Arial" w:cs="Arial" w:eastAsia="Arial" w:hAnsi="Arial"/>
                  <w:sz w:val="16"/>
                  <w:szCs w:val="16"/>
                  <w:color w:val="0000EE"/>
                </w:rPr>
                <w:t>A-24</w:t>
              </w:r>
            </w:hyperlink>
          </w:p>
        </w:tc>
      </w:tr>
      <w:tr>
        <w:trPr>
          <w:trHeight w:val="34"/>
        </w:trPr>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229"/>
        </w:trPr>
        <w:tc>
          <w:tcPr>
            <w:tcW w:w="740" w:type="dxa"/>
            <w:vAlign w:val="bottom"/>
            <w:shd w:val="clear" w:color="auto" w:fill="CCEEFF"/>
          </w:tcPr>
          <w:p>
            <w:pPr>
              <w:spacing w:after="0"/>
              <w:rPr>
                <w:sz w:val="19"/>
                <w:szCs w:val="19"/>
                <w:color w:val="auto"/>
              </w:rPr>
            </w:pPr>
          </w:p>
        </w:tc>
        <w:tc>
          <w:tcPr>
            <w:tcW w:w="320" w:type="dxa"/>
            <w:vAlign w:val="bottom"/>
            <w:gridSpan w:val="5"/>
            <w:shd w:val="clear" w:color="auto" w:fill="CCEEFF"/>
          </w:tcPr>
          <w:p>
            <w:pPr>
              <w:jc w:val="right"/>
              <w:ind w:right="120"/>
              <w:spacing w:after="0"/>
              <w:rPr>
                <w:rFonts w:ascii="Arial" w:cs="Arial" w:eastAsia="Arial" w:hAnsi="Arial"/>
                <w:sz w:val="16"/>
                <w:szCs w:val="16"/>
                <w:color w:val="0000EE"/>
                <w:w w:val="91"/>
              </w:rPr>
            </w:pPr>
            <w:hyperlink w:anchor="page109">
              <w:r>
                <w:rPr>
                  <w:rFonts w:ascii="Arial" w:cs="Arial" w:eastAsia="Arial" w:hAnsi="Arial"/>
                  <w:sz w:val="16"/>
                  <w:szCs w:val="16"/>
                  <w:color w:val="0000EE"/>
                  <w:w w:val="91"/>
                </w:rPr>
                <w:t>(d)</w:t>
              </w:r>
            </w:hyperlink>
          </w:p>
        </w:tc>
        <w:tc>
          <w:tcPr>
            <w:tcW w:w="5440" w:type="dxa"/>
            <w:vAlign w:val="bottom"/>
            <w:gridSpan w:val="22"/>
            <w:shd w:val="clear" w:color="auto" w:fill="CCEEFF"/>
          </w:tcPr>
          <w:p>
            <w:pPr>
              <w:ind w:left="100"/>
              <w:spacing w:after="0"/>
              <w:rPr>
                <w:rFonts w:ascii="Arial" w:cs="Arial" w:eastAsia="Arial" w:hAnsi="Arial"/>
                <w:sz w:val="16"/>
                <w:szCs w:val="16"/>
                <w:color w:val="0000EE"/>
              </w:rPr>
            </w:pPr>
            <w:hyperlink w:anchor="page109">
              <w:r>
                <w:rPr>
                  <w:rFonts w:ascii="Arial" w:cs="Arial" w:eastAsia="Arial" w:hAnsi="Arial"/>
                  <w:sz w:val="16"/>
                  <w:szCs w:val="16"/>
                  <w:color w:val="0000EE"/>
                </w:rPr>
                <w:t>Available Shares Insufficient</w:t>
              </w:r>
            </w:hyperlink>
          </w:p>
        </w:tc>
        <w:tc>
          <w:tcPr>
            <w:tcW w:w="248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center"/>
              <w:ind w:right="20"/>
              <w:spacing w:after="0"/>
              <w:rPr>
                <w:rFonts w:ascii="Arial" w:cs="Arial" w:eastAsia="Arial" w:hAnsi="Arial"/>
                <w:sz w:val="16"/>
                <w:szCs w:val="16"/>
                <w:color w:val="0000EE"/>
              </w:rPr>
            </w:pPr>
            <w:hyperlink w:anchor="page109">
              <w:r>
                <w:rPr>
                  <w:rFonts w:ascii="Arial" w:cs="Arial" w:eastAsia="Arial" w:hAnsi="Arial"/>
                  <w:sz w:val="16"/>
                  <w:szCs w:val="16"/>
                  <w:color w:val="0000EE"/>
                </w:rPr>
                <w:t>A-24</w:t>
              </w:r>
            </w:hyperlink>
          </w:p>
        </w:tc>
      </w:tr>
      <w:tr>
        <w:trPr>
          <w:trHeight w:val="34"/>
        </w:trPr>
        <w:tc>
          <w:tcPr>
            <w:tcW w:w="7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480" w:type="dxa"/>
            <w:vAlign w:val="bottom"/>
            <w:tcBorders>
              <w:top w:val="single" w:sz="8" w:color="CCEEFF"/>
            </w:tcBorders>
            <w:shd w:val="clear" w:color="auto" w:fill="CCEEFF"/>
          </w:tcPr>
          <w:p>
            <w:pPr>
              <w:spacing w:after="0"/>
              <w:rPr>
                <w:sz w:val="2"/>
                <w:szCs w:val="2"/>
                <w:color w:val="auto"/>
              </w:rPr>
            </w:pPr>
          </w:p>
        </w:tc>
        <w:tc>
          <w:tcPr>
            <w:tcW w:w="2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229"/>
        </w:trPr>
        <w:tc>
          <w:tcPr>
            <w:tcW w:w="740" w:type="dxa"/>
            <w:vAlign w:val="bottom"/>
          </w:tcPr>
          <w:p>
            <w:pPr>
              <w:spacing w:after="0"/>
              <w:rPr>
                <w:sz w:val="19"/>
                <w:szCs w:val="19"/>
                <w:color w:val="auto"/>
              </w:rPr>
            </w:pPr>
          </w:p>
        </w:tc>
        <w:tc>
          <w:tcPr>
            <w:tcW w:w="320" w:type="dxa"/>
            <w:vAlign w:val="bottom"/>
            <w:gridSpan w:val="5"/>
          </w:tcPr>
          <w:p>
            <w:pPr>
              <w:jc w:val="right"/>
              <w:ind w:right="120"/>
              <w:spacing w:after="0"/>
              <w:rPr>
                <w:rFonts w:ascii="Arial" w:cs="Arial" w:eastAsia="Arial" w:hAnsi="Arial"/>
                <w:sz w:val="16"/>
                <w:szCs w:val="16"/>
                <w:color w:val="0000EE"/>
                <w:w w:val="91"/>
              </w:rPr>
            </w:pPr>
            <w:hyperlink w:anchor="page109">
              <w:r>
                <w:rPr>
                  <w:rFonts w:ascii="Arial" w:cs="Arial" w:eastAsia="Arial" w:hAnsi="Arial"/>
                  <w:sz w:val="16"/>
                  <w:szCs w:val="16"/>
                  <w:color w:val="0000EE"/>
                  <w:w w:val="91"/>
                </w:rPr>
                <w:t>(e)</w:t>
              </w:r>
            </w:hyperlink>
          </w:p>
        </w:tc>
        <w:tc>
          <w:tcPr>
            <w:tcW w:w="5440" w:type="dxa"/>
            <w:vAlign w:val="bottom"/>
            <w:gridSpan w:val="22"/>
          </w:tcPr>
          <w:p>
            <w:pPr>
              <w:ind w:left="100"/>
              <w:spacing w:after="0"/>
              <w:rPr>
                <w:rFonts w:ascii="Arial" w:cs="Arial" w:eastAsia="Arial" w:hAnsi="Arial"/>
                <w:sz w:val="16"/>
                <w:szCs w:val="16"/>
                <w:color w:val="0000EE"/>
              </w:rPr>
            </w:pPr>
            <w:hyperlink w:anchor="page109">
              <w:r>
                <w:rPr>
                  <w:rFonts w:ascii="Arial" w:cs="Arial" w:eastAsia="Arial" w:hAnsi="Arial"/>
                  <w:sz w:val="16"/>
                  <w:szCs w:val="16"/>
                  <w:color w:val="0000EE"/>
                </w:rPr>
                <w:t>Issuance of Stock</w:t>
              </w:r>
            </w:hyperlink>
          </w:p>
        </w:tc>
        <w:tc>
          <w:tcPr>
            <w:tcW w:w="2480" w:type="dxa"/>
            <w:vAlign w:val="bottom"/>
          </w:tcPr>
          <w:p>
            <w:pPr>
              <w:spacing w:after="0"/>
              <w:rPr>
                <w:sz w:val="19"/>
                <w:szCs w:val="19"/>
                <w:color w:val="auto"/>
              </w:rPr>
            </w:pPr>
          </w:p>
        </w:tc>
        <w:tc>
          <w:tcPr>
            <w:tcW w:w="400" w:type="dxa"/>
            <w:vAlign w:val="bottom"/>
            <w:gridSpan w:val="3"/>
          </w:tcPr>
          <w:p>
            <w:pPr>
              <w:jc w:val="center"/>
              <w:ind w:right="20"/>
              <w:spacing w:after="0"/>
              <w:rPr>
                <w:rFonts w:ascii="Arial" w:cs="Arial" w:eastAsia="Arial" w:hAnsi="Arial"/>
                <w:sz w:val="16"/>
                <w:szCs w:val="16"/>
                <w:color w:val="0000EE"/>
              </w:rPr>
            </w:pPr>
            <w:hyperlink w:anchor="page109">
              <w:r>
                <w:rPr>
                  <w:rFonts w:ascii="Arial" w:cs="Arial" w:eastAsia="Arial" w:hAnsi="Arial"/>
                  <w:sz w:val="16"/>
                  <w:szCs w:val="16"/>
                  <w:color w:val="0000EE"/>
                </w:rPr>
                <w:t>A-24</w:t>
              </w:r>
            </w:hyperlink>
          </w:p>
        </w:tc>
      </w:tr>
      <w:tr>
        <w:trPr>
          <w:trHeight w:val="34"/>
        </w:trPr>
        <w:tc>
          <w:tcPr>
            <w:tcW w:w="7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229"/>
        </w:trPr>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120"/>
              <w:spacing w:after="0"/>
              <w:rPr>
                <w:rFonts w:ascii="Arial" w:cs="Arial" w:eastAsia="Arial" w:hAnsi="Arial"/>
                <w:sz w:val="16"/>
                <w:szCs w:val="16"/>
                <w:color w:val="0000EE"/>
                <w:w w:val="79"/>
              </w:rPr>
            </w:pPr>
            <w:hyperlink w:anchor="page109">
              <w:r>
                <w:rPr>
                  <w:rFonts w:ascii="Arial" w:cs="Arial" w:eastAsia="Arial" w:hAnsi="Arial"/>
                  <w:sz w:val="16"/>
                  <w:szCs w:val="16"/>
                  <w:color w:val="0000EE"/>
                  <w:w w:val="79"/>
                </w:rPr>
                <w:t>(f)</w:t>
              </w:r>
            </w:hyperlink>
          </w:p>
        </w:tc>
        <w:tc>
          <w:tcPr>
            <w:tcW w:w="5440" w:type="dxa"/>
            <w:vAlign w:val="bottom"/>
            <w:gridSpan w:val="22"/>
            <w:shd w:val="clear" w:color="auto" w:fill="CCEEFF"/>
          </w:tcPr>
          <w:p>
            <w:pPr>
              <w:ind w:left="100"/>
              <w:spacing w:after="0"/>
              <w:rPr>
                <w:rFonts w:ascii="Arial" w:cs="Arial" w:eastAsia="Arial" w:hAnsi="Arial"/>
                <w:sz w:val="16"/>
                <w:szCs w:val="16"/>
                <w:color w:val="0000EE"/>
              </w:rPr>
            </w:pPr>
            <w:hyperlink w:anchor="page109">
              <w:r>
                <w:rPr>
                  <w:rFonts w:ascii="Arial" w:cs="Arial" w:eastAsia="Arial" w:hAnsi="Arial"/>
                  <w:sz w:val="16"/>
                  <w:szCs w:val="16"/>
                  <w:color w:val="0000EE"/>
                </w:rPr>
                <w:t>Unused Cash Balances</w:t>
              </w:r>
            </w:hyperlink>
          </w:p>
        </w:tc>
        <w:tc>
          <w:tcPr>
            <w:tcW w:w="248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center"/>
              <w:ind w:right="20"/>
              <w:spacing w:after="0"/>
              <w:rPr>
                <w:rFonts w:ascii="Arial" w:cs="Arial" w:eastAsia="Arial" w:hAnsi="Arial"/>
                <w:sz w:val="16"/>
                <w:szCs w:val="16"/>
                <w:color w:val="0000EE"/>
              </w:rPr>
            </w:pPr>
            <w:hyperlink w:anchor="page109">
              <w:r>
                <w:rPr>
                  <w:rFonts w:ascii="Arial" w:cs="Arial" w:eastAsia="Arial" w:hAnsi="Arial"/>
                  <w:sz w:val="16"/>
                  <w:szCs w:val="16"/>
                  <w:color w:val="0000EE"/>
                </w:rPr>
                <w:t>A-24</w:t>
              </w:r>
            </w:hyperlink>
          </w:p>
        </w:tc>
      </w:tr>
      <w:tr>
        <w:trPr>
          <w:trHeight w:val="34"/>
        </w:trPr>
        <w:tc>
          <w:tcPr>
            <w:tcW w:w="7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480" w:type="dxa"/>
            <w:vAlign w:val="bottom"/>
            <w:tcBorders>
              <w:top w:val="single" w:sz="8" w:color="CCEEFF"/>
            </w:tcBorders>
            <w:shd w:val="clear" w:color="auto" w:fill="CCEEFF"/>
          </w:tcPr>
          <w:p>
            <w:pPr>
              <w:spacing w:after="0"/>
              <w:rPr>
                <w:sz w:val="2"/>
                <w:szCs w:val="2"/>
                <w:color w:val="auto"/>
              </w:rPr>
            </w:pPr>
          </w:p>
        </w:tc>
        <w:tc>
          <w:tcPr>
            <w:tcW w:w="2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230"/>
        </w:trPr>
        <w:tc>
          <w:tcPr>
            <w:tcW w:w="740" w:type="dxa"/>
            <w:vAlign w:val="bottom"/>
          </w:tcPr>
          <w:p>
            <w:pPr>
              <w:spacing w:after="0"/>
              <w:rPr>
                <w:sz w:val="19"/>
                <w:szCs w:val="19"/>
                <w:color w:val="auto"/>
              </w:rPr>
            </w:pPr>
          </w:p>
        </w:tc>
        <w:tc>
          <w:tcPr>
            <w:tcW w:w="320" w:type="dxa"/>
            <w:vAlign w:val="bottom"/>
            <w:gridSpan w:val="5"/>
          </w:tcPr>
          <w:p>
            <w:pPr>
              <w:jc w:val="right"/>
              <w:ind w:right="120"/>
              <w:spacing w:after="0"/>
              <w:rPr>
                <w:rFonts w:ascii="Arial" w:cs="Arial" w:eastAsia="Arial" w:hAnsi="Arial"/>
                <w:sz w:val="16"/>
                <w:szCs w:val="16"/>
                <w:color w:val="0000EE"/>
                <w:w w:val="91"/>
              </w:rPr>
            </w:pPr>
            <w:hyperlink w:anchor="page109">
              <w:r>
                <w:rPr>
                  <w:rFonts w:ascii="Arial" w:cs="Arial" w:eastAsia="Arial" w:hAnsi="Arial"/>
                  <w:sz w:val="16"/>
                  <w:szCs w:val="16"/>
                  <w:color w:val="0000EE"/>
                  <w:w w:val="91"/>
                </w:rPr>
                <w:t>(g)</w:t>
              </w:r>
            </w:hyperlink>
          </w:p>
        </w:tc>
        <w:tc>
          <w:tcPr>
            <w:tcW w:w="5440" w:type="dxa"/>
            <w:vAlign w:val="bottom"/>
            <w:gridSpan w:val="22"/>
          </w:tcPr>
          <w:p>
            <w:pPr>
              <w:ind w:left="100"/>
              <w:spacing w:after="0"/>
              <w:rPr>
                <w:rFonts w:ascii="Arial" w:cs="Arial" w:eastAsia="Arial" w:hAnsi="Arial"/>
                <w:sz w:val="16"/>
                <w:szCs w:val="16"/>
                <w:color w:val="0000EE"/>
              </w:rPr>
            </w:pPr>
            <w:hyperlink w:anchor="page109">
              <w:r>
                <w:rPr>
                  <w:rFonts w:ascii="Arial" w:cs="Arial" w:eastAsia="Arial" w:hAnsi="Arial"/>
                  <w:sz w:val="16"/>
                  <w:szCs w:val="16"/>
                  <w:color w:val="0000EE"/>
                </w:rPr>
                <w:t>Stockholder Approval</w:t>
              </w:r>
            </w:hyperlink>
          </w:p>
        </w:tc>
        <w:tc>
          <w:tcPr>
            <w:tcW w:w="2480" w:type="dxa"/>
            <w:vAlign w:val="bottom"/>
          </w:tcPr>
          <w:p>
            <w:pPr>
              <w:spacing w:after="0"/>
              <w:rPr>
                <w:sz w:val="19"/>
                <w:szCs w:val="19"/>
                <w:color w:val="auto"/>
              </w:rPr>
            </w:pPr>
          </w:p>
        </w:tc>
        <w:tc>
          <w:tcPr>
            <w:tcW w:w="400" w:type="dxa"/>
            <w:vAlign w:val="bottom"/>
            <w:gridSpan w:val="3"/>
          </w:tcPr>
          <w:p>
            <w:pPr>
              <w:jc w:val="center"/>
              <w:ind w:right="20"/>
              <w:spacing w:after="0"/>
              <w:rPr>
                <w:rFonts w:ascii="Arial" w:cs="Arial" w:eastAsia="Arial" w:hAnsi="Arial"/>
                <w:sz w:val="16"/>
                <w:szCs w:val="16"/>
                <w:color w:val="0000EE"/>
              </w:rPr>
            </w:pPr>
            <w:hyperlink w:anchor="page109">
              <w:r>
                <w:rPr>
                  <w:rFonts w:ascii="Arial" w:cs="Arial" w:eastAsia="Arial" w:hAnsi="Arial"/>
                  <w:sz w:val="16"/>
                  <w:szCs w:val="16"/>
                  <w:color w:val="0000EE"/>
                </w:rPr>
                <w:t>A-24</w:t>
              </w:r>
            </w:hyperlink>
          </w:p>
        </w:tc>
      </w:tr>
      <w:tr>
        <w:trPr>
          <w:trHeight w:val="34"/>
        </w:trPr>
        <w:tc>
          <w:tcPr>
            <w:tcW w:w="7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230"/>
        </w:trPr>
        <w:tc>
          <w:tcPr>
            <w:tcW w:w="1060" w:type="dxa"/>
            <w:vAlign w:val="bottom"/>
            <w:gridSpan w:val="6"/>
            <w:shd w:val="clear" w:color="auto" w:fill="CCEEFF"/>
          </w:tcPr>
          <w:p>
            <w:pPr>
              <w:jc w:val="right"/>
              <w:ind w:right="220"/>
              <w:spacing w:after="0"/>
              <w:rPr>
                <w:rFonts w:ascii="Arial" w:cs="Arial" w:eastAsia="Arial" w:hAnsi="Arial"/>
                <w:sz w:val="16"/>
                <w:szCs w:val="16"/>
                <w:color w:val="0000EE"/>
                <w:w w:val="97"/>
              </w:rPr>
            </w:pPr>
            <w:hyperlink w:anchor="page109">
              <w:r>
                <w:rPr>
                  <w:rFonts w:ascii="Arial" w:cs="Arial" w:eastAsia="Arial" w:hAnsi="Arial"/>
                  <w:sz w:val="16"/>
                  <w:szCs w:val="16"/>
                  <w:color w:val="0000EE"/>
                  <w:w w:val="97"/>
                </w:rPr>
                <w:t>SECTION 9</w:t>
              </w:r>
            </w:hyperlink>
          </w:p>
        </w:tc>
        <w:tc>
          <w:tcPr>
            <w:tcW w:w="5440" w:type="dxa"/>
            <w:vAlign w:val="bottom"/>
            <w:gridSpan w:val="22"/>
            <w:shd w:val="clear" w:color="auto" w:fill="CCEEFF"/>
          </w:tcPr>
          <w:p>
            <w:pPr>
              <w:ind w:left="100"/>
              <w:spacing w:after="0"/>
              <w:rPr>
                <w:rFonts w:ascii="Arial" w:cs="Arial" w:eastAsia="Arial" w:hAnsi="Arial"/>
                <w:sz w:val="16"/>
                <w:szCs w:val="16"/>
                <w:color w:val="0000EE"/>
              </w:rPr>
            </w:pPr>
            <w:hyperlink w:anchor="page109">
              <w:r>
                <w:rPr>
                  <w:rFonts w:ascii="Arial" w:cs="Arial" w:eastAsia="Arial" w:hAnsi="Arial"/>
                  <w:sz w:val="16"/>
                  <w:szCs w:val="16"/>
                  <w:color w:val="0000EE"/>
                </w:rPr>
                <w:t>Limitations on Stock Ownership.</w:t>
              </w:r>
            </w:hyperlink>
          </w:p>
        </w:tc>
        <w:tc>
          <w:tcPr>
            <w:tcW w:w="2880" w:type="dxa"/>
            <w:vAlign w:val="bottom"/>
            <w:gridSpan w:val="4"/>
            <w:shd w:val="clear" w:color="auto" w:fill="CCEEFF"/>
          </w:tcPr>
          <w:p>
            <w:pPr>
              <w:jc w:val="center"/>
              <w:ind w:left="2359"/>
              <w:spacing w:after="0"/>
              <w:rPr>
                <w:rFonts w:ascii="Arial" w:cs="Arial" w:eastAsia="Arial" w:hAnsi="Arial"/>
                <w:sz w:val="16"/>
                <w:szCs w:val="16"/>
                <w:color w:val="0000EE"/>
              </w:rPr>
            </w:pPr>
            <w:hyperlink w:anchor="page109">
              <w:r>
                <w:rPr>
                  <w:rFonts w:ascii="Arial" w:cs="Arial" w:eastAsia="Arial" w:hAnsi="Arial"/>
                  <w:sz w:val="16"/>
                  <w:szCs w:val="16"/>
                  <w:color w:val="0000EE"/>
                </w:rPr>
                <w:t>A-24</w:t>
              </w:r>
            </w:hyperlink>
          </w:p>
        </w:tc>
      </w:tr>
      <w:tr>
        <w:trPr>
          <w:trHeight w:val="34"/>
        </w:trPr>
        <w:tc>
          <w:tcPr>
            <w:tcW w:w="7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480" w:type="dxa"/>
            <w:vAlign w:val="bottom"/>
            <w:tcBorders>
              <w:top w:val="single" w:sz="8" w:color="CCEEFF"/>
            </w:tcBorders>
            <w:shd w:val="clear" w:color="auto" w:fill="CCEEFF"/>
          </w:tcPr>
          <w:p>
            <w:pPr>
              <w:spacing w:after="0"/>
              <w:rPr>
                <w:sz w:val="2"/>
                <w:szCs w:val="2"/>
                <w:color w:val="auto"/>
              </w:rPr>
            </w:pPr>
          </w:p>
        </w:tc>
        <w:tc>
          <w:tcPr>
            <w:tcW w:w="2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229"/>
        </w:trPr>
        <w:tc>
          <w:tcPr>
            <w:tcW w:w="740" w:type="dxa"/>
            <w:vAlign w:val="bottom"/>
          </w:tcPr>
          <w:p>
            <w:pPr>
              <w:spacing w:after="0"/>
              <w:rPr>
                <w:sz w:val="19"/>
                <w:szCs w:val="19"/>
                <w:color w:val="auto"/>
              </w:rPr>
            </w:pPr>
          </w:p>
        </w:tc>
        <w:tc>
          <w:tcPr>
            <w:tcW w:w="320" w:type="dxa"/>
            <w:vAlign w:val="bottom"/>
            <w:gridSpan w:val="5"/>
          </w:tcPr>
          <w:p>
            <w:pPr>
              <w:jc w:val="right"/>
              <w:ind w:right="120"/>
              <w:spacing w:after="0"/>
              <w:rPr>
                <w:rFonts w:ascii="Arial" w:cs="Arial" w:eastAsia="Arial" w:hAnsi="Arial"/>
                <w:sz w:val="16"/>
                <w:szCs w:val="16"/>
                <w:color w:val="0000EE"/>
                <w:w w:val="91"/>
              </w:rPr>
            </w:pPr>
            <w:hyperlink w:anchor="page109">
              <w:r>
                <w:rPr>
                  <w:rFonts w:ascii="Arial" w:cs="Arial" w:eastAsia="Arial" w:hAnsi="Arial"/>
                  <w:sz w:val="16"/>
                  <w:szCs w:val="16"/>
                  <w:color w:val="0000EE"/>
                  <w:w w:val="91"/>
                </w:rPr>
                <w:t>(a)</w:t>
              </w:r>
            </w:hyperlink>
          </w:p>
        </w:tc>
        <w:tc>
          <w:tcPr>
            <w:tcW w:w="5440" w:type="dxa"/>
            <w:vAlign w:val="bottom"/>
            <w:gridSpan w:val="22"/>
          </w:tcPr>
          <w:p>
            <w:pPr>
              <w:ind w:left="100"/>
              <w:spacing w:after="0"/>
              <w:rPr>
                <w:rFonts w:ascii="Arial" w:cs="Arial" w:eastAsia="Arial" w:hAnsi="Arial"/>
                <w:sz w:val="16"/>
                <w:szCs w:val="16"/>
                <w:color w:val="0000EE"/>
              </w:rPr>
            </w:pPr>
            <w:hyperlink w:anchor="page109">
              <w:r>
                <w:rPr>
                  <w:rFonts w:ascii="Arial" w:cs="Arial" w:eastAsia="Arial" w:hAnsi="Arial"/>
                  <w:sz w:val="16"/>
                  <w:szCs w:val="16"/>
                  <w:color w:val="0000EE"/>
                </w:rPr>
                <w:t>Five Percent Limit</w:t>
              </w:r>
            </w:hyperlink>
          </w:p>
        </w:tc>
        <w:tc>
          <w:tcPr>
            <w:tcW w:w="2480" w:type="dxa"/>
            <w:vAlign w:val="bottom"/>
          </w:tcPr>
          <w:p>
            <w:pPr>
              <w:spacing w:after="0"/>
              <w:rPr>
                <w:sz w:val="19"/>
                <w:szCs w:val="19"/>
                <w:color w:val="auto"/>
              </w:rPr>
            </w:pPr>
          </w:p>
        </w:tc>
        <w:tc>
          <w:tcPr>
            <w:tcW w:w="400" w:type="dxa"/>
            <w:vAlign w:val="bottom"/>
            <w:gridSpan w:val="3"/>
          </w:tcPr>
          <w:p>
            <w:pPr>
              <w:jc w:val="center"/>
              <w:ind w:right="20"/>
              <w:spacing w:after="0"/>
              <w:rPr>
                <w:rFonts w:ascii="Arial" w:cs="Arial" w:eastAsia="Arial" w:hAnsi="Arial"/>
                <w:sz w:val="16"/>
                <w:szCs w:val="16"/>
                <w:color w:val="0000EE"/>
              </w:rPr>
            </w:pPr>
            <w:hyperlink w:anchor="page109">
              <w:r>
                <w:rPr>
                  <w:rFonts w:ascii="Arial" w:cs="Arial" w:eastAsia="Arial" w:hAnsi="Arial"/>
                  <w:sz w:val="16"/>
                  <w:szCs w:val="16"/>
                  <w:color w:val="0000EE"/>
                </w:rPr>
                <w:t>A-24</w:t>
              </w:r>
            </w:hyperlink>
          </w:p>
        </w:tc>
      </w:tr>
      <w:tr>
        <w:trPr>
          <w:trHeight w:val="34"/>
        </w:trPr>
        <w:tc>
          <w:tcPr>
            <w:tcW w:w="7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229"/>
        </w:trPr>
        <w:tc>
          <w:tcPr>
            <w:tcW w:w="740" w:type="dxa"/>
            <w:vAlign w:val="bottom"/>
            <w:shd w:val="clear" w:color="auto" w:fill="CCEEFF"/>
          </w:tcPr>
          <w:p>
            <w:pPr>
              <w:spacing w:after="0"/>
              <w:rPr>
                <w:sz w:val="19"/>
                <w:szCs w:val="19"/>
                <w:color w:val="auto"/>
              </w:rPr>
            </w:pPr>
          </w:p>
        </w:tc>
        <w:tc>
          <w:tcPr>
            <w:tcW w:w="320" w:type="dxa"/>
            <w:vAlign w:val="bottom"/>
            <w:gridSpan w:val="5"/>
            <w:shd w:val="clear" w:color="auto" w:fill="CCEEFF"/>
          </w:tcPr>
          <w:p>
            <w:pPr>
              <w:jc w:val="right"/>
              <w:ind w:right="120"/>
              <w:spacing w:after="0"/>
              <w:rPr>
                <w:rFonts w:ascii="Arial" w:cs="Arial" w:eastAsia="Arial" w:hAnsi="Arial"/>
                <w:sz w:val="16"/>
                <w:szCs w:val="16"/>
                <w:color w:val="0000EE"/>
                <w:w w:val="91"/>
              </w:rPr>
            </w:pPr>
            <w:hyperlink w:anchor="page109">
              <w:r>
                <w:rPr>
                  <w:rFonts w:ascii="Arial" w:cs="Arial" w:eastAsia="Arial" w:hAnsi="Arial"/>
                  <w:sz w:val="16"/>
                  <w:szCs w:val="16"/>
                  <w:color w:val="0000EE"/>
                  <w:w w:val="91"/>
                </w:rPr>
                <w:t>(b)</w:t>
              </w:r>
            </w:hyperlink>
          </w:p>
        </w:tc>
        <w:tc>
          <w:tcPr>
            <w:tcW w:w="5440" w:type="dxa"/>
            <w:vAlign w:val="bottom"/>
            <w:gridSpan w:val="22"/>
            <w:shd w:val="clear" w:color="auto" w:fill="CCEEFF"/>
          </w:tcPr>
          <w:p>
            <w:pPr>
              <w:ind w:left="100"/>
              <w:spacing w:after="0"/>
              <w:rPr>
                <w:rFonts w:ascii="Arial" w:cs="Arial" w:eastAsia="Arial" w:hAnsi="Arial"/>
                <w:sz w:val="16"/>
                <w:szCs w:val="16"/>
                <w:color w:val="0000EE"/>
              </w:rPr>
            </w:pPr>
            <w:hyperlink w:anchor="page109">
              <w:r>
                <w:rPr>
                  <w:rFonts w:ascii="Arial" w:cs="Arial" w:eastAsia="Arial" w:hAnsi="Arial"/>
                  <w:sz w:val="16"/>
                  <w:szCs w:val="16"/>
                  <w:color w:val="0000EE"/>
                </w:rPr>
                <w:t>Dollar Limit</w:t>
              </w:r>
            </w:hyperlink>
          </w:p>
        </w:tc>
        <w:tc>
          <w:tcPr>
            <w:tcW w:w="248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center"/>
              <w:ind w:right="20"/>
              <w:spacing w:after="0"/>
              <w:rPr>
                <w:rFonts w:ascii="Arial" w:cs="Arial" w:eastAsia="Arial" w:hAnsi="Arial"/>
                <w:sz w:val="16"/>
                <w:szCs w:val="16"/>
                <w:color w:val="0000EE"/>
              </w:rPr>
            </w:pPr>
            <w:hyperlink w:anchor="page109">
              <w:r>
                <w:rPr>
                  <w:rFonts w:ascii="Arial" w:cs="Arial" w:eastAsia="Arial" w:hAnsi="Arial"/>
                  <w:sz w:val="16"/>
                  <w:szCs w:val="16"/>
                  <w:color w:val="0000EE"/>
                </w:rPr>
                <w:t>A-24</w:t>
              </w:r>
            </w:hyperlink>
          </w:p>
        </w:tc>
      </w:tr>
      <w:tr>
        <w:trPr>
          <w:trHeight w:val="34"/>
        </w:trPr>
        <w:tc>
          <w:tcPr>
            <w:tcW w:w="7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480" w:type="dxa"/>
            <w:vAlign w:val="bottom"/>
            <w:tcBorders>
              <w:top w:val="single" w:sz="8" w:color="CCEEFF"/>
            </w:tcBorders>
            <w:shd w:val="clear" w:color="auto" w:fill="CCEEFF"/>
          </w:tcPr>
          <w:p>
            <w:pPr>
              <w:spacing w:after="0"/>
              <w:rPr>
                <w:sz w:val="2"/>
                <w:szCs w:val="2"/>
                <w:color w:val="auto"/>
              </w:rPr>
            </w:pPr>
          </w:p>
        </w:tc>
        <w:tc>
          <w:tcPr>
            <w:tcW w:w="2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229"/>
        </w:trPr>
        <w:tc>
          <w:tcPr>
            <w:tcW w:w="1060" w:type="dxa"/>
            <w:vAlign w:val="bottom"/>
            <w:gridSpan w:val="6"/>
          </w:tcPr>
          <w:p>
            <w:pPr>
              <w:jc w:val="right"/>
              <w:ind w:right="120"/>
              <w:spacing w:after="0"/>
              <w:rPr>
                <w:rFonts w:ascii="Arial" w:cs="Arial" w:eastAsia="Arial" w:hAnsi="Arial"/>
                <w:sz w:val="16"/>
                <w:szCs w:val="16"/>
                <w:color w:val="0000EE"/>
                <w:w w:val="98"/>
              </w:rPr>
            </w:pPr>
            <w:hyperlink w:anchor="page110">
              <w:r>
                <w:rPr>
                  <w:rFonts w:ascii="Arial" w:cs="Arial" w:eastAsia="Arial" w:hAnsi="Arial"/>
                  <w:sz w:val="16"/>
                  <w:szCs w:val="16"/>
                  <w:color w:val="0000EE"/>
                  <w:w w:val="98"/>
                </w:rPr>
                <w:t>SECTION 10</w:t>
              </w:r>
            </w:hyperlink>
          </w:p>
        </w:tc>
        <w:tc>
          <w:tcPr>
            <w:tcW w:w="5440" w:type="dxa"/>
            <w:vAlign w:val="bottom"/>
            <w:gridSpan w:val="22"/>
          </w:tcPr>
          <w:p>
            <w:pPr>
              <w:ind w:left="100"/>
              <w:spacing w:after="0"/>
              <w:rPr>
                <w:rFonts w:ascii="Arial" w:cs="Arial" w:eastAsia="Arial" w:hAnsi="Arial"/>
                <w:sz w:val="16"/>
                <w:szCs w:val="16"/>
                <w:color w:val="0000EE"/>
              </w:rPr>
            </w:pPr>
            <w:hyperlink w:anchor="page110">
              <w:r>
                <w:rPr>
                  <w:rFonts w:ascii="Arial" w:cs="Arial" w:eastAsia="Arial" w:hAnsi="Arial"/>
                  <w:sz w:val="16"/>
                  <w:szCs w:val="16"/>
                  <w:color w:val="0000EE"/>
                </w:rPr>
                <w:t>Rights Not Transferable.</w:t>
              </w:r>
            </w:hyperlink>
          </w:p>
        </w:tc>
        <w:tc>
          <w:tcPr>
            <w:tcW w:w="2480" w:type="dxa"/>
            <w:vAlign w:val="bottom"/>
          </w:tcPr>
          <w:p>
            <w:pPr>
              <w:spacing w:after="0"/>
              <w:rPr>
                <w:sz w:val="19"/>
                <w:szCs w:val="19"/>
                <w:color w:val="auto"/>
              </w:rPr>
            </w:pPr>
          </w:p>
        </w:tc>
        <w:tc>
          <w:tcPr>
            <w:tcW w:w="400" w:type="dxa"/>
            <w:vAlign w:val="bottom"/>
            <w:gridSpan w:val="3"/>
          </w:tcPr>
          <w:p>
            <w:pPr>
              <w:jc w:val="center"/>
              <w:ind w:right="20"/>
              <w:spacing w:after="0"/>
              <w:rPr>
                <w:rFonts w:ascii="Arial" w:cs="Arial" w:eastAsia="Arial" w:hAnsi="Arial"/>
                <w:sz w:val="16"/>
                <w:szCs w:val="16"/>
                <w:color w:val="0000EE"/>
              </w:rPr>
            </w:pPr>
            <w:hyperlink w:anchor="page110">
              <w:r>
                <w:rPr>
                  <w:rFonts w:ascii="Arial" w:cs="Arial" w:eastAsia="Arial" w:hAnsi="Arial"/>
                  <w:sz w:val="16"/>
                  <w:szCs w:val="16"/>
                  <w:color w:val="0000EE"/>
                </w:rPr>
                <w:t>A-25</w:t>
              </w:r>
            </w:hyperlink>
          </w:p>
        </w:tc>
      </w:tr>
      <w:tr>
        <w:trPr>
          <w:trHeight w:val="34"/>
        </w:trPr>
        <w:tc>
          <w:tcPr>
            <w:tcW w:w="7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230"/>
        </w:trPr>
        <w:tc>
          <w:tcPr>
            <w:tcW w:w="1060" w:type="dxa"/>
            <w:vAlign w:val="bottom"/>
            <w:gridSpan w:val="6"/>
            <w:shd w:val="clear" w:color="auto" w:fill="CCEEFF"/>
          </w:tcPr>
          <w:p>
            <w:pPr>
              <w:jc w:val="right"/>
              <w:ind w:right="120"/>
              <w:spacing w:after="0"/>
              <w:rPr>
                <w:rFonts w:ascii="Arial" w:cs="Arial" w:eastAsia="Arial" w:hAnsi="Arial"/>
                <w:sz w:val="16"/>
                <w:szCs w:val="16"/>
                <w:color w:val="0000EE"/>
                <w:w w:val="98"/>
              </w:rPr>
            </w:pPr>
            <w:hyperlink w:anchor="page110">
              <w:r>
                <w:rPr>
                  <w:rFonts w:ascii="Arial" w:cs="Arial" w:eastAsia="Arial" w:hAnsi="Arial"/>
                  <w:sz w:val="16"/>
                  <w:szCs w:val="16"/>
                  <w:color w:val="0000EE"/>
                  <w:w w:val="98"/>
                </w:rPr>
                <w:t>SECTION 11</w:t>
              </w:r>
            </w:hyperlink>
          </w:p>
        </w:tc>
        <w:tc>
          <w:tcPr>
            <w:tcW w:w="5440" w:type="dxa"/>
            <w:vAlign w:val="bottom"/>
            <w:gridSpan w:val="22"/>
            <w:shd w:val="clear" w:color="auto" w:fill="CCEEFF"/>
          </w:tcPr>
          <w:p>
            <w:pPr>
              <w:ind w:left="100"/>
              <w:spacing w:after="0"/>
              <w:rPr>
                <w:rFonts w:ascii="Arial" w:cs="Arial" w:eastAsia="Arial" w:hAnsi="Arial"/>
                <w:sz w:val="16"/>
                <w:szCs w:val="16"/>
                <w:color w:val="0000EE"/>
              </w:rPr>
            </w:pPr>
            <w:hyperlink w:anchor="page110">
              <w:r>
                <w:rPr>
                  <w:rFonts w:ascii="Arial" w:cs="Arial" w:eastAsia="Arial" w:hAnsi="Arial"/>
                  <w:sz w:val="16"/>
                  <w:szCs w:val="16"/>
                  <w:color w:val="0000EE"/>
                </w:rPr>
                <w:t>No Rights as An Employee.</w:t>
              </w:r>
            </w:hyperlink>
          </w:p>
        </w:tc>
        <w:tc>
          <w:tcPr>
            <w:tcW w:w="248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center"/>
              <w:ind w:right="20"/>
              <w:spacing w:after="0"/>
              <w:rPr>
                <w:rFonts w:ascii="Arial" w:cs="Arial" w:eastAsia="Arial" w:hAnsi="Arial"/>
                <w:sz w:val="16"/>
                <w:szCs w:val="16"/>
                <w:color w:val="0000EE"/>
              </w:rPr>
            </w:pPr>
            <w:hyperlink w:anchor="page110">
              <w:r>
                <w:rPr>
                  <w:rFonts w:ascii="Arial" w:cs="Arial" w:eastAsia="Arial" w:hAnsi="Arial"/>
                  <w:sz w:val="16"/>
                  <w:szCs w:val="16"/>
                  <w:color w:val="0000EE"/>
                </w:rPr>
                <w:t>A-25</w:t>
              </w:r>
            </w:hyperlink>
          </w:p>
        </w:tc>
      </w:tr>
      <w:tr>
        <w:trPr>
          <w:trHeight w:val="34"/>
        </w:trPr>
        <w:tc>
          <w:tcPr>
            <w:tcW w:w="7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480" w:type="dxa"/>
            <w:vAlign w:val="bottom"/>
            <w:tcBorders>
              <w:top w:val="single" w:sz="8" w:color="CCEEFF"/>
            </w:tcBorders>
            <w:shd w:val="clear" w:color="auto" w:fill="CCEEFF"/>
          </w:tcPr>
          <w:p>
            <w:pPr>
              <w:spacing w:after="0"/>
              <w:rPr>
                <w:sz w:val="2"/>
                <w:szCs w:val="2"/>
                <w:color w:val="auto"/>
              </w:rPr>
            </w:pPr>
          </w:p>
        </w:tc>
        <w:tc>
          <w:tcPr>
            <w:tcW w:w="2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230"/>
        </w:trPr>
        <w:tc>
          <w:tcPr>
            <w:tcW w:w="1060" w:type="dxa"/>
            <w:vAlign w:val="bottom"/>
            <w:gridSpan w:val="6"/>
          </w:tcPr>
          <w:p>
            <w:pPr>
              <w:jc w:val="right"/>
              <w:ind w:right="120"/>
              <w:spacing w:after="0"/>
              <w:rPr>
                <w:rFonts w:ascii="Arial" w:cs="Arial" w:eastAsia="Arial" w:hAnsi="Arial"/>
                <w:sz w:val="16"/>
                <w:szCs w:val="16"/>
                <w:color w:val="0000EE"/>
                <w:w w:val="98"/>
              </w:rPr>
            </w:pPr>
            <w:hyperlink w:anchor="page110">
              <w:r>
                <w:rPr>
                  <w:rFonts w:ascii="Arial" w:cs="Arial" w:eastAsia="Arial" w:hAnsi="Arial"/>
                  <w:sz w:val="16"/>
                  <w:szCs w:val="16"/>
                  <w:color w:val="0000EE"/>
                  <w:w w:val="98"/>
                </w:rPr>
                <w:t>SECTION 12</w:t>
              </w:r>
            </w:hyperlink>
          </w:p>
        </w:tc>
        <w:tc>
          <w:tcPr>
            <w:tcW w:w="5440" w:type="dxa"/>
            <w:vAlign w:val="bottom"/>
            <w:gridSpan w:val="22"/>
          </w:tcPr>
          <w:p>
            <w:pPr>
              <w:ind w:left="100"/>
              <w:spacing w:after="0"/>
              <w:rPr>
                <w:rFonts w:ascii="Arial" w:cs="Arial" w:eastAsia="Arial" w:hAnsi="Arial"/>
                <w:sz w:val="16"/>
                <w:szCs w:val="16"/>
                <w:color w:val="0000EE"/>
              </w:rPr>
            </w:pPr>
            <w:hyperlink w:anchor="page110">
              <w:r>
                <w:rPr>
                  <w:rFonts w:ascii="Arial" w:cs="Arial" w:eastAsia="Arial" w:hAnsi="Arial"/>
                  <w:sz w:val="16"/>
                  <w:szCs w:val="16"/>
                  <w:color w:val="0000EE"/>
                </w:rPr>
                <w:t>No Rights as A Stockholder.</w:t>
              </w:r>
            </w:hyperlink>
          </w:p>
        </w:tc>
        <w:tc>
          <w:tcPr>
            <w:tcW w:w="2480" w:type="dxa"/>
            <w:vAlign w:val="bottom"/>
          </w:tcPr>
          <w:p>
            <w:pPr>
              <w:spacing w:after="0"/>
              <w:rPr>
                <w:sz w:val="19"/>
                <w:szCs w:val="19"/>
                <w:color w:val="auto"/>
              </w:rPr>
            </w:pPr>
          </w:p>
        </w:tc>
        <w:tc>
          <w:tcPr>
            <w:tcW w:w="400" w:type="dxa"/>
            <w:vAlign w:val="bottom"/>
            <w:gridSpan w:val="3"/>
          </w:tcPr>
          <w:p>
            <w:pPr>
              <w:jc w:val="center"/>
              <w:ind w:right="20"/>
              <w:spacing w:after="0"/>
              <w:rPr>
                <w:rFonts w:ascii="Arial" w:cs="Arial" w:eastAsia="Arial" w:hAnsi="Arial"/>
                <w:sz w:val="16"/>
                <w:szCs w:val="16"/>
                <w:color w:val="0000EE"/>
              </w:rPr>
            </w:pPr>
            <w:hyperlink w:anchor="page110">
              <w:r>
                <w:rPr>
                  <w:rFonts w:ascii="Arial" w:cs="Arial" w:eastAsia="Arial" w:hAnsi="Arial"/>
                  <w:sz w:val="16"/>
                  <w:szCs w:val="16"/>
                  <w:color w:val="0000EE"/>
                </w:rPr>
                <w:t>A-25</w:t>
              </w:r>
            </w:hyperlink>
          </w:p>
        </w:tc>
      </w:tr>
      <w:tr>
        <w:trPr>
          <w:trHeight w:val="34"/>
        </w:trPr>
        <w:tc>
          <w:tcPr>
            <w:tcW w:w="7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230"/>
        </w:trPr>
        <w:tc>
          <w:tcPr>
            <w:tcW w:w="1060" w:type="dxa"/>
            <w:vAlign w:val="bottom"/>
            <w:gridSpan w:val="6"/>
            <w:shd w:val="clear" w:color="auto" w:fill="CCEEFF"/>
          </w:tcPr>
          <w:p>
            <w:pPr>
              <w:jc w:val="right"/>
              <w:ind w:right="120"/>
              <w:spacing w:after="0"/>
              <w:rPr>
                <w:rFonts w:ascii="Arial" w:cs="Arial" w:eastAsia="Arial" w:hAnsi="Arial"/>
                <w:sz w:val="16"/>
                <w:szCs w:val="16"/>
                <w:color w:val="0000EE"/>
                <w:w w:val="98"/>
              </w:rPr>
            </w:pPr>
            <w:hyperlink w:anchor="page110">
              <w:r>
                <w:rPr>
                  <w:rFonts w:ascii="Arial" w:cs="Arial" w:eastAsia="Arial" w:hAnsi="Arial"/>
                  <w:sz w:val="16"/>
                  <w:szCs w:val="16"/>
                  <w:color w:val="0000EE"/>
                  <w:w w:val="98"/>
                </w:rPr>
                <w:t>SECTION 13</w:t>
              </w:r>
            </w:hyperlink>
          </w:p>
        </w:tc>
        <w:tc>
          <w:tcPr>
            <w:tcW w:w="5440" w:type="dxa"/>
            <w:vAlign w:val="bottom"/>
            <w:gridSpan w:val="22"/>
            <w:shd w:val="clear" w:color="auto" w:fill="CCEEFF"/>
          </w:tcPr>
          <w:p>
            <w:pPr>
              <w:ind w:left="100"/>
              <w:spacing w:after="0"/>
              <w:rPr>
                <w:rFonts w:ascii="Arial" w:cs="Arial" w:eastAsia="Arial" w:hAnsi="Arial"/>
                <w:sz w:val="16"/>
                <w:szCs w:val="16"/>
                <w:color w:val="0000EE"/>
              </w:rPr>
            </w:pPr>
            <w:hyperlink w:anchor="page110">
              <w:r>
                <w:rPr>
                  <w:rFonts w:ascii="Arial" w:cs="Arial" w:eastAsia="Arial" w:hAnsi="Arial"/>
                  <w:sz w:val="16"/>
                  <w:szCs w:val="16"/>
                  <w:color w:val="0000EE"/>
                </w:rPr>
                <w:t>Securities Law Requirements.</w:t>
              </w:r>
            </w:hyperlink>
          </w:p>
        </w:tc>
        <w:tc>
          <w:tcPr>
            <w:tcW w:w="248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center"/>
              <w:ind w:right="20"/>
              <w:spacing w:after="0"/>
              <w:rPr>
                <w:rFonts w:ascii="Arial" w:cs="Arial" w:eastAsia="Arial" w:hAnsi="Arial"/>
                <w:sz w:val="16"/>
                <w:szCs w:val="16"/>
                <w:color w:val="0000EE"/>
              </w:rPr>
            </w:pPr>
            <w:hyperlink w:anchor="page110">
              <w:r>
                <w:rPr>
                  <w:rFonts w:ascii="Arial" w:cs="Arial" w:eastAsia="Arial" w:hAnsi="Arial"/>
                  <w:sz w:val="16"/>
                  <w:szCs w:val="16"/>
                  <w:color w:val="0000EE"/>
                </w:rPr>
                <w:t>A-25</w:t>
              </w:r>
            </w:hyperlink>
          </w:p>
        </w:tc>
      </w:tr>
      <w:tr>
        <w:trPr>
          <w:trHeight w:val="34"/>
        </w:trPr>
        <w:tc>
          <w:tcPr>
            <w:tcW w:w="7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480" w:type="dxa"/>
            <w:vAlign w:val="bottom"/>
            <w:tcBorders>
              <w:top w:val="single" w:sz="8" w:color="CCEEFF"/>
            </w:tcBorders>
            <w:shd w:val="clear" w:color="auto" w:fill="CCEEFF"/>
          </w:tcPr>
          <w:p>
            <w:pPr>
              <w:spacing w:after="0"/>
              <w:rPr>
                <w:sz w:val="2"/>
                <w:szCs w:val="2"/>
                <w:color w:val="auto"/>
              </w:rPr>
            </w:pPr>
          </w:p>
        </w:tc>
        <w:tc>
          <w:tcPr>
            <w:tcW w:w="2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229"/>
        </w:trPr>
        <w:tc>
          <w:tcPr>
            <w:tcW w:w="1060" w:type="dxa"/>
            <w:vAlign w:val="bottom"/>
            <w:gridSpan w:val="6"/>
          </w:tcPr>
          <w:p>
            <w:pPr>
              <w:jc w:val="right"/>
              <w:ind w:right="120"/>
              <w:spacing w:after="0"/>
              <w:rPr>
                <w:rFonts w:ascii="Arial" w:cs="Arial" w:eastAsia="Arial" w:hAnsi="Arial"/>
                <w:sz w:val="16"/>
                <w:szCs w:val="16"/>
                <w:color w:val="0000EE"/>
                <w:w w:val="98"/>
              </w:rPr>
            </w:pPr>
            <w:hyperlink w:anchor="page110">
              <w:r>
                <w:rPr>
                  <w:rFonts w:ascii="Arial" w:cs="Arial" w:eastAsia="Arial" w:hAnsi="Arial"/>
                  <w:sz w:val="16"/>
                  <w:szCs w:val="16"/>
                  <w:color w:val="0000EE"/>
                  <w:w w:val="98"/>
                </w:rPr>
                <w:t>SECTION 14</w:t>
              </w:r>
            </w:hyperlink>
          </w:p>
        </w:tc>
        <w:tc>
          <w:tcPr>
            <w:tcW w:w="5440" w:type="dxa"/>
            <w:vAlign w:val="bottom"/>
            <w:gridSpan w:val="22"/>
          </w:tcPr>
          <w:p>
            <w:pPr>
              <w:ind w:left="100"/>
              <w:spacing w:after="0"/>
              <w:rPr>
                <w:rFonts w:ascii="Arial" w:cs="Arial" w:eastAsia="Arial" w:hAnsi="Arial"/>
                <w:sz w:val="16"/>
                <w:szCs w:val="16"/>
                <w:color w:val="0000EE"/>
              </w:rPr>
            </w:pPr>
            <w:hyperlink w:anchor="page110">
              <w:r>
                <w:rPr>
                  <w:rFonts w:ascii="Arial" w:cs="Arial" w:eastAsia="Arial" w:hAnsi="Arial"/>
                  <w:sz w:val="16"/>
                  <w:szCs w:val="16"/>
                  <w:color w:val="0000EE"/>
                </w:rPr>
                <w:t>Stock Offered Under the Plan.</w:t>
              </w:r>
            </w:hyperlink>
          </w:p>
        </w:tc>
        <w:tc>
          <w:tcPr>
            <w:tcW w:w="2480" w:type="dxa"/>
            <w:vAlign w:val="bottom"/>
          </w:tcPr>
          <w:p>
            <w:pPr>
              <w:spacing w:after="0"/>
              <w:rPr>
                <w:sz w:val="19"/>
                <w:szCs w:val="19"/>
                <w:color w:val="auto"/>
              </w:rPr>
            </w:pPr>
          </w:p>
        </w:tc>
        <w:tc>
          <w:tcPr>
            <w:tcW w:w="400" w:type="dxa"/>
            <w:vAlign w:val="bottom"/>
            <w:gridSpan w:val="3"/>
          </w:tcPr>
          <w:p>
            <w:pPr>
              <w:jc w:val="center"/>
              <w:ind w:right="20"/>
              <w:spacing w:after="0"/>
              <w:rPr>
                <w:rFonts w:ascii="Arial" w:cs="Arial" w:eastAsia="Arial" w:hAnsi="Arial"/>
                <w:sz w:val="16"/>
                <w:szCs w:val="16"/>
                <w:color w:val="0000EE"/>
              </w:rPr>
            </w:pPr>
            <w:hyperlink w:anchor="page110">
              <w:r>
                <w:rPr>
                  <w:rFonts w:ascii="Arial" w:cs="Arial" w:eastAsia="Arial" w:hAnsi="Arial"/>
                  <w:sz w:val="16"/>
                  <w:szCs w:val="16"/>
                  <w:color w:val="0000EE"/>
                </w:rPr>
                <w:t>A-25</w:t>
              </w:r>
            </w:hyperlink>
          </w:p>
        </w:tc>
      </w:tr>
      <w:tr>
        <w:trPr>
          <w:trHeight w:val="34"/>
        </w:trPr>
        <w:tc>
          <w:tcPr>
            <w:tcW w:w="7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229"/>
        </w:trPr>
        <w:tc>
          <w:tcPr>
            <w:tcW w:w="740" w:type="dxa"/>
            <w:vAlign w:val="bottom"/>
            <w:shd w:val="clear" w:color="auto" w:fill="CCEEFF"/>
          </w:tcPr>
          <w:p>
            <w:pPr>
              <w:spacing w:after="0"/>
              <w:rPr>
                <w:sz w:val="19"/>
                <w:szCs w:val="19"/>
                <w:color w:val="auto"/>
              </w:rPr>
            </w:pPr>
          </w:p>
        </w:tc>
        <w:tc>
          <w:tcPr>
            <w:tcW w:w="320" w:type="dxa"/>
            <w:vAlign w:val="bottom"/>
            <w:gridSpan w:val="5"/>
            <w:shd w:val="clear" w:color="auto" w:fill="CCEEFF"/>
          </w:tcPr>
          <w:p>
            <w:pPr>
              <w:jc w:val="right"/>
              <w:ind w:right="120"/>
              <w:spacing w:after="0"/>
              <w:rPr>
                <w:rFonts w:ascii="Arial" w:cs="Arial" w:eastAsia="Arial" w:hAnsi="Arial"/>
                <w:sz w:val="16"/>
                <w:szCs w:val="16"/>
                <w:color w:val="0000EE"/>
                <w:w w:val="91"/>
              </w:rPr>
            </w:pPr>
            <w:hyperlink w:anchor="page110">
              <w:r>
                <w:rPr>
                  <w:rFonts w:ascii="Arial" w:cs="Arial" w:eastAsia="Arial" w:hAnsi="Arial"/>
                  <w:sz w:val="16"/>
                  <w:szCs w:val="16"/>
                  <w:color w:val="0000EE"/>
                  <w:w w:val="91"/>
                </w:rPr>
                <w:t>(a)</w:t>
              </w:r>
            </w:hyperlink>
          </w:p>
        </w:tc>
        <w:tc>
          <w:tcPr>
            <w:tcW w:w="5440" w:type="dxa"/>
            <w:vAlign w:val="bottom"/>
            <w:gridSpan w:val="22"/>
            <w:shd w:val="clear" w:color="auto" w:fill="CCEEFF"/>
          </w:tcPr>
          <w:p>
            <w:pPr>
              <w:ind w:left="100"/>
              <w:spacing w:after="0"/>
              <w:rPr>
                <w:rFonts w:ascii="Arial" w:cs="Arial" w:eastAsia="Arial" w:hAnsi="Arial"/>
                <w:sz w:val="16"/>
                <w:szCs w:val="16"/>
                <w:color w:val="0000EE"/>
              </w:rPr>
            </w:pPr>
            <w:hyperlink w:anchor="page110">
              <w:r>
                <w:rPr>
                  <w:rFonts w:ascii="Arial" w:cs="Arial" w:eastAsia="Arial" w:hAnsi="Arial"/>
                  <w:sz w:val="16"/>
                  <w:szCs w:val="16"/>
                  <w:color w:val="0000EE"/>
                </w:rPr>
                <w:t>Authorized Shares</w:t>
              </w:r>
            </w:hyperlink>
          </w:p>
        </w:tc>
        <w:tc>
          <w:tcPr>
            <w:tcW w:w="248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center"/>
              <w:ind w:right="20"/>
              <w:spacing w:after="0"/>
              <w:rPr>
                <w:rFonts w:ascii="Arial" w:cs="Arial" w:eastAsia="Arial" w:hAnsi="Arial"/>
                <w:sz w:val="16"/>
                <w:szCs w:val="16"/>
                <w:color w:val="0000EE"/>
              </w:rPr>
            </w:pPr>
            <w:hyperlink w:anchor="page110">
              <w:r>
                <w:rPr>
                  <w:rFonts w:ascii="Arial" w:cs="Arial" w:eastAsia="Arial" w:hAnsi="Arial"/>
                  <w:sz w:val="16"/>
                  <w:szCs w:val="16"/>
                  <w:color w:val="0000EE"/>
                </w:rPr>
                <w:t>A-25</w:t>
              </w:r>
            </w:hyperlink>
          </w:p>
        </w:tc>
      </w:tr>
      <w:tr>
        <w:trPr>
          <w:trHeight w:val="34"/>
        </w:trPr>
        <w:tc>
          <w:tcPr>
            <w:tcW w:w="7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480" w:type="dxa"/>
            <w:vAlign w:val="bottom"/>
            <w:tcBorders>
              <w:top w:val="single" w:sz="8" w:color="CCEEFF"/>
            </w:tcBorders>
            <w:shd w:val="clear" w:color="auto" w:fill="CCEEFF"/>
          </w:tcPr>
          <w:p>
            <w:pPr>
              <w:spacing w:after="0"/>
              <w:rPr>
                <w:sz w:val="2"/>
                <w:szCs w:val="2"/>
                <w:color w:val="auto"/>
              </w:rPr>
            </w:pPr>
          </w:p>
        </w:tc>
        <w:tc>
          <w:tcPr>
            <w:tcW w:w="2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229"/>
        </w:trPr>
        <w:tc>
          <w:tcPr>
            <w:tcW w:w="740" w:type="dxa"/>
            <w:vAlign w:val="bottom"/>
          </w:tcPr>
          <w:p>
            <w:pPr>
              <w:spacing w:after="0"/>
              <w:rPr>
                <w:sz w:val="19"/>
                <w:szCs w:val="19"/>
                <w:color w:val="auto"/>
              </w:rPr>
            </w:pPr>
          </w:p>
        </w:tc>
        <w:tc>
          <w:tcPr>
            <w:tcW w:w="320" w:type="dxa"/>
            <w:vAlign w:val="bottom"/>
            <w:gridSpan w:val="5"/>
          </w:tcPr>
          <w:p>
            <w:pPr>
              <w:jc w:val="right"/>
              <w:ind w:right="120"/>
              <w:spacing w:after="0"/>
              <w:rPr>
                <w:rFonts w:ascii="Arial" w:cs="Arial" w:eastAsia="Arial" w:hAnsi="Arial"/>
                <w:sz w:val="16"/>
                <w:szCs w:val="16"/>
                <w:color w:val="0000EE"/>
                <w:w w:val="91"/>
              </w:rPr>
            </w:pPr>
            <w:hyperlink w:anchor="page110">
              <w:r>
                <w:rPr>
                  <w:rFonts w:ascii="Arial" w:cs="Arial" w:eastAsia="Arial" w:hAnsi="Arial"/>
                  <w:sz w:val="16"/>
                  <w:szCs w:val="16"/>
                  <w:color w:val="0000EE"/>
                  <w:w w:val="91"/>
                </w:rPr>
                <w:t>(b)</w:t>
              </w:r>
            </w:hyperlink>
          </w:p>
        </w:tc>
        <w:tc>
          <w:tcPr>
            <w:tcW w:w="5440" w:type="dxa"/>
            <w:vAlign w:val="bottom"/>
            <w:gridSpan w:val="22"/>
          </w:tcPr>
          <w:p>
            <w:pPr>
              <w:ind w:left="100"/>
              <w:spacing w:after="0"/>
              <w:rPr>
                <w:rFonts w:ascii="Arial" w:cs="Arial" w:eastAsia="Arial" w:hAnsi="Arial"/>
                <w:sz w:val="16"/>
                <w:szCs w:val="16"/>
                <w:color w:val="0000EE"/>
              </w:rPr>
            </w:pPr>
            <w:hyperlink w:anchor="page110">
              <w:r>
                <w:rPr>
                  <w:rFonts w:ascii="Arial" w:cs="Arial" w:eastAsia="Arial" w:hAnsi="Arial"/>
                  <w:sz w:val="16"/>
                  <w:szCs w:val="16"/>
                  <w:color w:val="0000EE"/>
                </w:rPr>
                <w:t>Antidilution Adjustments</w:t>
              </w:r>
            </w:hyperlink>
          </w:p>
        </w:tc>
        <w:tc>
          <w:tcPr>
            <w:tcW w:w="2480" w:type="dxa"/>
            <w:vAlign w:val="bottom"/>
          </w:tcPr>
          <w:p>
            <w:pPr>
              <w:spacing w:after="0"/>
              <w:rPr>
                <w:sz w:val="19"/>
                <w:szCs w:val="19"/>
                <w:color w:val="auto"/>
              </w:rPr>
            </w:pPr>
          </w:p>
        </w:tc>
        <w:tc>
          <w:tcPr>
            <w:tcW w:w="400" w:type="dxa"/>
            <w:vAlign w:val="bottom"/>
            <w:gridSpan w:val="3"/>
          </w:tcPr>
          <w:p>
            <w:pPr>
              <w:jc w:val="center"/>
              <w:ind w:right="20"/>
              <w:spacing w:after="0"/>
              <w:rPr>
                <w:rFonts w:ascii="Arial" w:cs="Arial" w:eastAsia="Arial" w:hAnsi="Arial"/>
                <w:sz w:val="16"/>
                <w:szCs w:val="16"/>
                <w:color w:val="0000EE"/>
              </w:rPr>
            </w:pPr>
            <w:hyperlink w:anchor="page110">
              <w:r>
                <w:rPr>
                  <w:rFonts w:ascii="Arial" w:cs="Arial" w:eastAsia="Arial" w:hAnsi="Arial"/>
                  <w:sz w:val="16"/>
                  <w:szCs w:val="16"/>
                  <w:color w:val="0000EE"/>
                </w:rPr>
                <w:t>A-25</w:t>
              </w:r>
            </w:hyperlink>
          </w:p>
        </w:tc>
      </w:tr>
      <w:tr>
        <w:trPr>
          <w:trHeight w:val="34"/>
        </w:trPr>
        <w:tc>
          <w:tcPr>
            <w:tcW w:w="7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243"/>
        </w:trPr>
        <w:tc>
          <w:tcPr>
            <w:tcW w:w="740" w:type="dxa"/>
            <w:vAlign w:val="bottom"/>
            <w:shd w:val="clear" w:color="auto" w:fill="CCEEFF"/>
          </w:tcPr>
          <w:p>
            <w:pPr>
              <w:spacing w:after="0"/>
              <w:rPr>
                <w:sz w:val="21"/>
                <w:szCs w:val="21"/>
                <w:color w:val="auto"/>
              </w:rPr>
            </w:pPr>
          </w:p>
        </w:tc>
        <w:tc>
          <w:tcPr>
            <w:tcW w:w="320" w:type="dxa"/>
            <w:vAlign w:val="bottom"/>
            <w:gridSpan w:val="5"/>
            <w:shd w:val="clear" w:color="auto" w:fill="CCEEFF"/>
          </w:tcPr>
          <w:p>
            <w:pPr>
              <w:jc w:val="right"/>
              <w:ind w:right="120"/>
              <w:spacing w:after="0"/>
              <w:rPr>
                <w:rFonts w:ascii="Arial" w:cs="Arial" w:eastAsia="Arial" w:hAnsi="Arial"/>
                <w:sz w:val="16"/>
                <w:szCs w:val="16"/>
                <w:color w:val="0000EE"/>
                <w:w w:val="96"/>
              </w:rPr>
            </w:pPr>
            <w:hyperlink w:anchor="page110">
              <w:r>
                <w:rPr>
                  <w:rFonts w:ascii="Arial" w:cs="Arial" w:eastAsia="Arial" w:hAnsi="Arial"/>
                  <w:sz w:val="16"/>
                  <w:szCs w:val="16"/>
                  <w:color w:val="0000EE"/>
                  <w:w w:val="96"/>
                </w:rPr>
                <w:t>(c)</w:t>
              </w:r>
            </w:hyperlink>
          </w:p>
        </w:tc>
        <w:tc>
          <w:tcPr>
            <w:tcW w:w="5440" w:type="dxa"/>
            <w:vAlign w:val="bottom"/>
            <w:gridSpan w:val="22"/>
            <w:shd w:val="clear" w:color="auto" w:fill="CCEEFF"/>
          </w:tcPr>
          <w:p>
            <w:pPr>
              <w:ind w:left="100"/>
              <w:spacing w:after="0"/>
              <w:rPr>
                <w:rFonts w:ascii="Arial" w:cs="Arial" w:eastAsia="Arial" w:hAnsi="Arial"/>
                <w:sz w:val="16"/>
                <w:szCs w:val="16"/>
                <w:color w:val="0000EE"/>
              </w:rPr>
            </w:pPr>
            <w:hyperlink w:anchor="page110">
              <w:r>
                <w:rPr>
                  <w:rFonts w:ascii="Arial" w:cs="Arial" w:eastAsia="Arial" w:hAnsi="Arial"/>
                  <w:sz w:val="16"/>
                  <w:szCs w:val="16"/>
                  <w:color w:val="0000EE"/>
                </w:rPr>
                <w:t>Reorganizations</w:t>
              </w:r>
            </w:hyperlink>
          </w:p>
        </w:tc>
        <w:tc>
          <w:tcPr>
            <w:tcW w:w="248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center"/>
              <w:ind w:right="20"/>
              <w:spacing w:after="0"/>
              <w:rPr>
                <w:rFonts w:ascii="Arial" w:cs="Arial" w:eastAsia="Arial" w:hAnsi="Arial"/>
                <w:sz w:val="16"/>
                <w:szCs w:val="16"/>
                <w:color w:val="0000EE"/>
              </w:rPr>
            </w:pPr>
            <w:hyperlink w:anchor="page110">
              <w:r>
                <w:rPr>
                  <w:rFonts w:ascii="Arial" w:cs="Arial" w:eastAsia="Arial" w:hAnsi="Arial"/>
                  <w:sz w:val="16"/>
                  <w:szCs w:val="16"/>
                  <w:color w:val="0000EE"/>
                </w:rPr>
                <w:t>A-25</w:t>
              </w:r>
            </w:hyperlink>
          </w:p>
        </w:tc>
      </w:tr>
      <w:tr>
        <w:trPr>
          <w:trHeight w:val="34"/>
        </w:trPr>
        <w:tc>
          <w:tcPr>
            <w:tcW w:w="7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480" w:type="dxa"/>
            <w:vAlign w:val="bottom"/>
            <w:tcBorders>
              <w:top w:val="single" w:sz="8" w:color="CCEEFF"/>
            </w:tcBorders>
            <w:shd w:val="clear" w:color="auto" w:fill="CCEEFF"/>
          </w:tcPr>
          <w:p>
            <w:pPr>
              <w:spacing w:after="0"/>
              <w:rPr>
                <w:sz w:val="2"/>
                <w:szCs w:val="2"/>
                <w:color w:val="auto"/>
              </w:rPr>
            </w:pPr>
          </w:p>
        </w:tc>
        <w:tc>
          <w:tcPr>
            <w:tcW w:w="2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243"/>
        </w:trPr>
        <w:tc>
          <w:tcPr>
            <w:tcW w:w="1060" w:type="dxa"/>
            <w:vAlign w:val="bottom"/>
            <w:gridSpan w:val="6"/>
          </w:tcPr>
          <w:p>
            <w:pPr>
              <w:jc w:val="right"/>
              <w:ind w:right="120"/>
              <w:spacing w:after="0"/>
              <w:rPr>
                <w:rFonts w:ascii="Arial" w:cs="Arial" w:eastAsia="Arial" w:hAnsi="Arial"/>
                <w:sz w:val="16"/>
                <w:szCs w:val="16"/>
                <w:color w:val="0000EE"/>
                <w:w w:val="98"/>
              </w:rPr>
            </w:pPr>
            <w:hyperlink w:anchor="page111">
              <w:r>
                <w:rPr>
                  <w:rFonts w:ascii="Arial" w:cs="Arial" w:eastAsia="Arial" w:hAnsi="Arial"/>
                  <w:sz w:val="16"/>
                  <w:szCs w:val="16"/>
                  <w:color w:val="0000EE"/>
                  <w:w w:val="98"/>
                </w:rPr>
                <w:t>SECTION 15</w:t>
              </w:r>
            </w:hyperlink>
          </w:p>
        </w:tc>
        <w:tc>
          <w:tcPr>
            <w:tcW w:w="5440" w:type="dxa"/>
            <w:vAlign w:val="bottom"/>
            <w:gridSpan w:val="22"/>
          </w:tcPr>
          <w:p>
            <w:pPr>
              <w:ind w:left="100"/>
              <w:spacing w:after="0"/>
              <w:rPr>
                <w:rFonts w:ascii="Arial" w:cs="Arial" w:eastAsia="Arial" w:hAnsi="Arial"/>
                <w:sz w:val="16"/>
                <w:szCs w:val="16"/>
                <w:color w:val="0000EE"/>
              </w:rPr>
            </w:pPr>
            <w:hyperlink w:anchor="page111">
              <w:r>
                <w:rPr>
                  <w:rFonts w:ascii="Arial" w:cs="Arial" w:eastAsia="Arial" w:hAnsi="Arial"/>
                  <w:sz w:val="16"/>
                  <w:szCs w:val="16"/>
                  <w:color w:val="0000EE"/>
                </w:rPr>
                <w:t>Amendment or Discontinuance.</w:t>
              </w:r>
            </w:hyperlink>
          </w:p>
        </w:tc>
        <w:tc>
          <w:tcPr>
            <w:tcW w:w="2480" w:type="dxa"/>
            <w:vAlign w:val="bottom"/>
          </w:tcPr>
          <w:p>
            <w:pPr>
              <w:spacing w:after="0"/>
              <w:rPr>
                <w:sz w:val="21"/>
                <w:szCs w:val="21"/>
                <w:color w:val="auto"/>
              </w:rPr>
            </w:pPr>
          </w:p>
        </w:tc>
        <w:tc>
          <w:tcPr>
            <w:tcW w:w="400" w:type="dxa"/>
            <w:vAlign w:val="bottom"/>
            <w:gridSpan w:val="3"/>
          </w:tcPr>
          <w:p>
            <w:pPr>
              <w:jc w:val="center"/>
              <w:ind w:right="20"/>
              <w:spacing w:after="0"/>
              <w:rPr>
                <w:rFonts w:ascii="Arial" w:cs="Arial" w:eastAsia="Arial" w:hAnsi="Arial"/>
                <w:sz w:val="16"/>
                <w:szCs w:val="16"/>
                <w:color w:val="0000EE"/>
              </w:rPr>
            </w:pPr>
            <w:hyperlink w:anchor="page111">
              <w:r>
                <w:rPr>
                  <w:rFonts w:ascii="Arial" w:cs="Arial" w:eastAsia="Arial" w:hAnsi="Arial"/>
                  <w:sz w:val="16"/>
                  <w:szCs w:val="16"/>
                  <w:color w:val="0000EE"/>
                </w:rPr>
                <w:t>A-26</w:t>
              </w:r>
            </w:hyperlink>
          </w:p>
        </w:tc>
      </w:tr>
      <w:tr>
        <w:trPr>
          <w:trHeight w:val="34"/>
        </w:trPr>
        <w:tc>
          <w:tcPr>
            <w:tcW w:w="7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243"/>
        </w:trPr>
        <w:tc>
          <w:tcPr>
            <w:tcW w:w="1060" w:type="dxa"/>
            <w:vAlign w:val="bottom"/>
            <w:gridSpan w:val="6"/>
            <w:shd w:val="clear" w:color="auto" w:fill="CCEEFF"/>
          </w:tcPr>
          <w:p>
            <w:pPr>
              <w:jc w:val="right"/>
              <w:ind w:right="120"/>
              <w:spacing w:after="0"/>
              <w:rPr>
                <w:rFonts w:ascii="Arial" w:cs="Arial" w:eastAsia="Arial" w:hAnsi="Arial"/>
                <w:sz w:val="16"/>
                <w:szCs w:val="16"/>
                <w:color w:val="0000EE"/>
                <w:w w:val="98"/>
              </w:rPr>
            </w:pPr>
            <w:hyperlink w:anchor="page111">
              <w:r>
                <w:rPr>
                  <w:rFonts w:ascii="Arial" w:cs="Arial" w:eastAsia="Arial" w:hAnsi="Arial"/>
                  <w:sz w:val="16"/>
                  <w:szCs w:val="16"/>
                  <w:color w:val="0000EE"/>
                  <w:w w:val="98"/>
                </w:rPr>
                <w:t>SECTION 16</w:t>
              </w:r>
            </w:hyperlink>
          </w:p>
        </w:tc>
        <w:tc>
          <w:tcPr>
            <w:tcW w:w="5440" w:type="dxa"/>
            <w:vAlign w:val="bottom"/>
            <w:gridSpan w:val="22"/>
            <w:shd w:val="clear" w:color="auto" w:fill="CCEEFF"/>
          </w:tcPr>
          <w:p>
            <w:pPr>
              <w:ind w:left="100"/>
              <w:spacing w:after="0"/>
              <w:rPr>
                <w:rFonts w:ascii="Arial" w:cs="Arial" w:eastAsia="Arial" w:hAnsi="Arial"/>
                <w:sz w:val="16"/>
                <w:szCs w:val="16"/>
                <w:color w:val="0000EE"/>
              </w:rPr>
            </w:pPr>
            <w:hyperlink w:anchor="page111">
              <w:r>
                <w:rPr>
                  <w:rFonts w:ascii="Arial" w:cs="Arial" w:eastAsia="Arial" w:hAnsi="Arial"/>
                  <w:sz w:val="16"/>
                  <w:szCs w:val="16"/>
                  <w:color w:val="0000EE"/>
                </w:rPr>
                <w:t>Execution.</w:t>
              </w:r>
            </w:hyperlink>
          </w:p>
        </w:tc>
        <w:tc>
          <w:tcPr>
            <w:tcW w:w="248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center"/>
              <w:ind w:right="20"/>
              <w:spacing w:after="0"/>
              <w:rPr>
                <w:rFonts w:ascii="Arial" w:cs="Arial" w:eastAsia="Arial" w:hAnsi="Arial"/>
                <w:sz w:val="16"/>
                <w:szCs w:val="16"/>
                <w:color w:val="0000EE"/>
              </w:rPr>
            </w:pPr>
            <w:hyperlink w:anchor="page111">
              <w:r>
                <w:rPr>
                  <w:rFonts w:ascii="Arial" w:cs="Arial" w:eastAsia="Arial" w:hAnsi="Arial"/>
                  <w:sz w:val="16"/>
                  <w:szCs w:val="16"/>
                  <w:color w:val="0000EE"/>
                </w:rPr>
                <w:t>A-26</w:t>
              </w:r>
            </w:hyperlink>
          </w:p>
        </w:tc>
      </w:tr>
      <w:tr>
        <w:trPr>
          <w:trHeight w:val="34"/>
        </w:trPr>
        <w:tc>
          <w:tcPr>
            <w:tcW w:w="7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480" w:type="dxa"/>
            <w:vAlign w:val="bottom"/>
            <w:tcBorders>
              <w:top w:val="single" w:sz="8" w:color="CCEEFF"/>
            </w:tcBorders>
            <w:shd w:val="clear" w:color="auto" w:fill="CCEEFF"/>
          </w:tcPr>
          <w:p>
            <w:pPr>
              <w:spacing w:after="0"/>
              <w:rPr>
                <w:sz w:val="2"/>
                <w:szCs w:val="2"/>
                <w:color w:val="auto"/>
              </w:rPr>
            </w:pPr>
          </w:p>
        </w:tc>
        <w:tc>
          <w:tcPr>
            <w:tcW w:w="2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0040"/>
          </w:cols>
          <w:pgMar w:left="580" w:top="131"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60"/>
        <w:spacing w:after="0"/>
        <w:tabs>
          <w:tab w:leader="none" w:pos="9740" w:val="left"/>
        </w:tabs>
        <w:rPr>
          <w:sz w:val="20"/>
          <w:szCs w:val="20"/>
          <w:color w:val="auto"/>
        </w:rPr>
      </w:pPr>
      <w:r>
        <w:rPr>
          <w:rFonts w:ascii="Arial" w:cs="Arial" w:eastAsia="Arial" w:hAnsi="Arial"/>
          <w:sz w:val="13"/>
          <w:szCs w:val="13"/>
          <w:color w:val="auto"/>
        </w:rPr>
        <w:t>2022 Proxy Statement</w:t>
      </w:r>
      <w:r>
        <w:rPr>
          <w:sz w:val="20"/>
          <w:szCs w:val="20"/>
          <w:color w:val="auto"/>
        </w:rPr>
        <w:tab/>
      </w:r>
      <w:r>
        <w:rPr>
          <w:rFonts w:ascii="Arial" w:cs="Arial" w:eastAsia="Arial" w:hAnsi="Arial"/>
          <w:sz w:val="12"/>
          <w:szCs w:val="12"/>
          <w:b w:val="1"/>
          <w:bCs w:val="1"/>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1" w:right="1279" w:bottom="1440" w:gutter="0" w:footer="0" w:header="0"/>
          <w:type w:val="continuous"/>
        </w:sectPr>
      </w:pPr>
    </w:p>
    <w:bookmarkStart w:id="105" w:name="page106"/>
    <w:bookmarkEnd w:id="105"/>
    <w:p>
      <w:pPr>
        <w:spacing w:after="0"/>
        <w:rPr>
          <w:rFonts w:ascii="Arial" w:cs="Arial" w:eastAsia="Arial" w:hAnsi="Arial"/>
          <w:sz w:val="14"/>
          <w:szCs w:val="14"/>
          <w:color w:val="003366"/>
        </w:rPr>
      </w:pPr>
      <w:hyperlink w:anchor="page10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659"/>
        <w:spacing w:after="0"/>
        <w:rPr>
          <w:sz w:val="20"/>
          <w:szCs w:val="20"/>
          <w:color w:val="auto"/>
        </w:rPr>
      </w:pPr>
      <w:r>
        <w:rPr>
          <w:rFonts w:ascii="Arial" w:cs="Arial" w:eastAsia="Arial" w:hAnsi="Arial"/>
          <w:sz w:val="16"/>
          <w:szCs w:val="16"/>
          <w:b w:val="1"/>
          <w:bCs w:val="1"/>
          <w:color w:val="auto"/>
        </w:rPr>
        <w:t>LUCID GROUP, INC.</w:t>
      </w:r>
    </w:p>
    <w:p>
      <w:pPr>
        <w:spacing w:after="0" w:line="140" w:lineRule="exact"/>
        <w:rPr>
          <w:sz w:val="20"/>
          <w:szCs w:val="20"/>
          <w:color w:val="auto"/>
        </w:rPr>
      </w:pPr>
    </w:p>
    <w:p>
      <w:pPr>
        <w:jc w:val="center"/>
        <w:ind w:right="-659"/>
        <w:spacing w:after="0"/>
        <w:rPr>
          <w:sz w:val="20"/>
          <w:szCs w:val="20"/>
          <w:color w:val="auto"/>
        </w:rPr>
      </w:pPr>
      <w:r>
        <w:rPr>
          <w:rFonts w:ascii="Arial" w:cs="Arial" w:eastAsia="Arial" w:hAnsi="Arial"/>
          <w:sz w:val="16"/>
          <w:szCs w:val="16"/>
          <w:b w:val="1"/>
          <w:bCs w:val="1"/>
          <w:color w:val="auto"/>
        </w:rPr>
        <w:t>2021 EMPLOYEE STOCK PURCHASE PLAN</w:t>
      </w:r>
    </w:p>
    <w:p>
      <w:pPr>
        <w:spacing w:after="0" w:line="268"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6"/>
          <w:szCs w:val="16"/>
          <w:u w:val="single" w:color="auto"/>
          <w:color w:val="auto"/>
        </w:rPr>
        <w:t>SECTION 1</w:t>
        <w:tab/>
        <w:t>Purpose of the Plan.</w:t>
      </w:r>
    </w:p>
    <w:p>
      <w:pPr>
        <w:spacing w:after="0" w:line="248" w:lineRule="exact"/>
        <w:rPr>
          <w:sz w:val="20"/>
          <w:szCs w:val="20"/>
          <w:color w:val="auto"/>
        </w:rPr>
      </w:pPr>
    </w:p>
    <w:p>
      <w:pPr>
        <w:ind w:left="660"/>
        <w:spacing w:after="0" w:line="284" w:lineRule="auto"/>
        <w:rPr>
          <w:sz w:val="20"/>
          <w:szCs w:val="20"/>
          <w:color w:val="auto"/>
        </w:rPr>
      </w:pPr>
      <w:r>
        <w:rPr>
          <w:rFonts w:ascii="Arial" w:cs="Arial" w:eastAsia="Arial" w:hAnsi="Arial"/>
          <w:sz w:val="16"/>
          <w:szCs w:val="16"/>
          <w:color w:val="auto"/>
        </w:rPr>
        <w:t>This Plan is an addendum to and subject to the terms of the 2021 Stock Incentive Plan of Lucid Group, Inc., as amended from time to time (the “</w:t>
      </w:r>
      <w:r>
        <w:rPr>
          <w:rFonts w:ascii="Arial" w:cs="Arial" w:eastAsia="Arial" w:hAnsi="Arial"/>
          <w:sz w:val="16"/>
          <w:szCs w:val="16"/>
          <w:b w:val="1"/>
          <w:bCs w:val="1"/>
          <w:color w:val="auto"/>
        </w:rPr>
        <w:t>2021 SIP</w:t>
      </w:r>
      <w:r>
        <w:rPr>
          <w:rFonts w:ascii="Arial" w:cs="Arial" w:eastAsia="Arial" w:hAnsi="Arial"/>
          <w:sz w:val="16"/>
          <w:szCs w:val="16"/>
          <w:color w:val="auto"/>
        </w:rPr>
        <w:t>”). The Plan was adopted by the Board on February 22, 2021 and is effective on the Effective Date. The purpose of the Plan is to provide a broad-based employee benefit to attract the services of new employees, to retain the services of existing employees, and to provide incentives for such individuals to exert maximum efforts toward our success by purchasing Stock from the Company on favorable terms and to pay for such purchases through payroll deductions. The Plan is intended to qualify under Section 423 of the Code.</w:t>
      </w:r>
    </w:p>
    <w:p>
      <w:pPr>
        <w:spacing w:after="0" w:line="206"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6"/>
          <w:szCs w:val="16"/>
          <w:u w:val="single" w:color="auto"/>
          <w:color w:val="auto"/>
        </w:rPr>
        <w:t>SECTION 2</w:t>
        <w:tab/>
        <w:t>Definitions.</w:t>
      </w:r>
    </w:p>
    <w:p>
      <w:pPr>
        <w:spacing w:after="0" w:line="248" w:lineRule="exact"/>
        <w:rPr>
          <w:sz w:val="20"/>
          <w:szCs w:val="20"/>
          <w:color w:val="auto"/>
        </w:rPr>
      </w:pPr>
    </w:p>
    <w:p>
      <w:pPr>
        <w:ind w:left="660" w:right="40"/>
        <w:spacing w:after="0" w:line="295" w:lineRule="auto"/>
        <w:rPr>
          <w:sz w:val="20"/>
          <w:szCs w:val="20"/>
          <w:color w:val="auto"/>
        </w:rPr>
      </w:pPr>
      <w:r>
        <w:rPr>
          <w:rFonts w:ascii="Arial" w:cs="Arial" w:eastAsia="Arial" w:hAnsi="Arial"/>
          <w:sz w:val="16"/>
          <w:szCs w:val="16"/>
          <w:color w:val="auto"/>
        </w:rPr>
        <w:t>Capitalized terms used but not defined in this Plan shall have the meaning set forth in the 2021 SIP. In addition, the following terms used in this Plan have the following meanings.</w:t>
      </w:r>
    </w:p>
    <w:p>
      <w:pPr>
        <w:spacing w:after="0" w:line="196" w:lineRule="exact"/>
        <w:rPr>
          <w:sz w:val="20"/>
          <w:szCs w:val="20"/>
          <w:color w:val="auto"/>
        </w:rPr>
      </w:pPr>
    </w:p>
    <w:p>
      <w:pPr>
        <w:ind w:left="820" w:right="220" w:hanging="4"/>
        <w:spacing w:after="0" w:line="295" w:lineRule="auto"/>
        <w:tabs>
          <w:tab w:leader="none" w:pos="1153" w:val="left"/>
        </w:tabs>
        <w:numPr>
          <w:ilvl w:val="0"/>
          <w:numId w:val="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means the Compensation Committee of the Board or such other committee, comprised exclusively of one or more directors of the Company, as may be appointed by the Board from time to time to administer the Plan.</w:t>
      </w:r>
    </w:p>
    <w:p>
      <w:pPr>
        <w:spacing w:after="0" w:line="195" w:lineRule="exact"/>
        <w:rPr>
          <w:rFonts w:ascii="Arial" w:cs="Arial" w:eastAsia="Arial" w:hAnsi="Arial"/>
          <w:sz w:val="16"/>
          <w:szCs w:val="16"/>
          <w:color w:val="auto"/>
        </w:rPr>
      </w:pPr>
    </w:p>
    <w:p>
      <w:pPr>
        <w:ind w:left="820" w:hanging="4"/>
        <w:spacing w:after="0" w:line="283" w:lineRule="auto"/>
        <w:tabs>
          <w:tab w:leader="none" w:pos="1153" w:val="left"/>
        </w:tabs>
        <w:numPr>
          <w:ilvl w:val="0"/>
          <w:numId w:val="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Compensation</w:t>
      </w:r>
      <w:r>
        <w:rPr>
          <w:rFonts w:ascii="Arial" w:cs="Arial" w:eastAsia="Arial" w:hAnsi="Arial"/>
          <w:sz w:val="16"/>
          <w:szCs w:val="16"/>
          <w:color w:val="auto"/>
        </w:rPr>
        <w:t>” means, unless provided otherwise by the Committee in the terms and conditions of an Offering, base salary and wages paid in cash to a Participant by a Participating Company, without reduction for any pre-tax contributions made by the Participant under Sections 401(k) or 125 of the Code. “Compensation” shall, unless provided otherwise by the Committee in the terms and conditions of an Offering, exclude variable compensation (including commissions, bonuses, incentive compensation, overtime pay and shift premiums), all non-cash items, moving or relocation allowances, cost-of-living equalization payments, car allowances, tuition reimbursements, imputed income attributable to cars or life insurance, severance pay, fringe benefits, contributions or benefits received under employee benefit plans, income attributable to the exercise of stock options or other equity awards, and similar items. The Committee shall determine whether a particular item is included in Compensation.</w:t>
      </w:r>
    </w:p>
    <w:p>
      <w:pPr>
        <w:spacing w:after="0" w:line="208" w:lineRule="exact"/>
        <w:rPr>
          <w:rFonts w:ascii="Arial" w:cs="Arial" w:eastAsia="Arial" w:hAnsi="Arial"/>
          <w:sz w:val="16"/>
          <w:szCs w:val="16"/>
          <w:color w:val="auto"/>
        </w:rPr>
      </w:pPr>
    </w:p>
    <w:p>
      <w:pPr>
        <w:ind w:left="1140" w:hanging="324"/>
        <w:spacing w:after="0"/>
        <w:tabs>
          <w:tab w:leader="none" w:pos="11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Corporate Reorganization</w:t>
      </w:r>
      <w:r>
        <w:rPr>
          <w:rFonts w:ascii="Arial" w:cs="Arial" w:eastAsia="Arial" w:hAnsi="Arial"/>
          <w:sz w:val="16"/>
          <w:szCs w:val="16"/>
          <w:color w:val="auto"/>
        </w:rPr>
        <w:t>” means:</w:t>
      </w:r>
    </w:p>
    <w:p>
      <w:pPr>
        <w:spacing w:after="0" w:line="248" w:lineRule="exact"/>
        <w:rPr>
          <w:rFonts w:ascii="Arial" w:cs="Arial" w:eastAsia="Arial" w:hAnsi="Arial"/>
          <w:sz w:val="16"/>
          <w:szCs w:val="16"/>
          <w:color w:val="auto"/>
        </w:rPr>
      </w:pPr>
    </w:p>
    <w:p>
      <w:pPr>
        <w:ind w:left="980" w:right="700" w:hanging="2"/>
        <w:spacing w:after="0" w:line="295" w:lineRule="auto"/>
        <w:tabs>
          <w:tab w:leader="none" w:pos="1259" w:val="left"/>
        </w:tabs>
        <w:numPr>
          <w:ilvl w:val="1"/>
          <w:numId w:val="84"/>
        </w:numPr>
        <w:rPr>
          <w:rFonts w:ascii="Arial" w:cs="Arial" w:eastAsia="Arial" w:hAnsi="Arial"/>
          <w:sz w:val="16"/>
          <w:szCs w:val="16"/>
          <w:color w:val="auto"/>
        </w:rPr>
      </w:pPr>
      <w:r>
        <w:rPr>
          <w:rFonts w:ascii="Arial" w:cs="Arial" w:eastAsia="Arial" w:hAnsi="Arial"/>
          <w:sz w:val="16"/>
          <w:szCs w:val="16"/>
          <w:color w:val="auto"/>
        </w:rPr>
        <w:t>the consummation of a merger or consolidation of the Company with or into another entity, or any other corporate reorganization; or</w:t>
      </w:r>
    </w:p>
    <w:p>
      <w:pPr>
        <w:spacing w:after="0" w:line="195" w:lineRule="exact"/>
        <w:rPr>
          <w:rFonts w:ascii="Arial" w:cs="Arial" w:eastAsia="Arial" w:hAnsi="Arial"/>
          <w:sz w:val="16"/>
          <w:szCs w:val="16"/>
          <w:color w:val="auto"/>
        </w:rPr>
      </w:pPr>
    </w:p>
    <w:p>
      <w:pPr>
        <w:ind w:left="980" w:right="460" w:hanging="2"/>
        <w:spacing w:after="0" w:line="295" w:lineRule="auto"/>
        <w:tabs>
          <w:tab w:leader="none" w:pos="1295" w:val="left"/>
        </w:tabs>
        <w:numPr>
          <w:ilvl w:val="1"/>
          <w:numId w:val="84"/>
        </w:numPr>
        <w:rPr>
          <w:rFonts w:ascii="Arial" w:cs="Arial" w:eastAsia="Arial" w:hAnsi="Arial"/>
          <w:sz w:val="16"/>
          <w:szCs w:val="16"/>
          <w:color w:val="auto"/>
        </w:rPr>
      </w:pPr>
      <w:r>
        <w:rPr>
          <w:rFonts w:ascii="Arial" w:cs="Arial" w:eastAsia="Arial" w:hAnsi="Arial"/>
          <w:sz w:val="16"/>
          <w:szCs w:val="16"/>
          <w:color w:val="auto"/>
        </w:rPr>
        <w:t>the sale, transfer or other disposition of all or substantially all of the Company’s assets or the complete liquidation or dissolution of the Company.</w:t>
      </w:r>
    </w:p>
    <w:p>
      <w:pPr>
        <w:spacing w:after="0" w:line="195" w:lineRule="exact"/>
        <w:rPr>
          <w:rFonts w:ascii="Arial" w:cs="Arial" w:eastAsia="Arial" w:hAnsi="Arial"/>
          <w:sz w:val="16"/>
          <w:szCs w:val="16"/>
          <w:color w:val="auto"/>
        </w:rPr>
      </w:pPr>
    </w:p>
    <w:p>
      <w:pPr>
        <w:ind w:left="820" w:right="60" w:hanging="4"/>
        <w:spacing w:after="0" w:line="286" w:lineRule="auto"/>
        <w:tabs>
          <w:tab w:leader="none" w:pos="1153" w:val="left"/>
        </w:tabs>
        <w:numPr>
          <w:ilvl w:val="0"/>
          <w:numId w:val="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means the effective date of this Plan, which is the date of the closing of the transactions contemplated by the Agreement and Plan of Merger by and among Churchill Capital Corp IV, a Delaware corporation (the “SPAC”), a new wholly-owned subsidiary of the SPAC and the Company, dated as of February 22, 2021, provided that this Plan is approved by the Company’s stockholders on or prior to such closing date..</w:t>
      </w:r>
    </w:p>
    <w:p>
      <w:pPr>
        <w:spacing w:after="0" w:line="203" w:lineRule="exact"/>
        <w:rPr>
          <w:rFonts w:ascii="Arial" w:cs="Arial" w:eastAsia="Arial" w:hAnsi="Arial"/>
          <w:sz w:val="16"/>
          <w:szCs w:val="16"/>
          <w:color w:val="auto"/>
        </w:rPr>
      </w:pPr>
    </w:p>
    <w:p>
      <w:pPr>
        <w:ind w:left="1140" w:hanging="324"/>
        <w:spacing w:after="0"/>
        <w:tabs>
          <w:tab w:leader="none" w:pos="11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Employee</w:t>
      </w:r>
      <w:r>
        <w:rPr>
          <w:rFonts w:ascii="Arial" w:cs="Arial" w:eastAsia="Arial" w:hAnsi="Arial"/>
          <w:sz w:val="16"/>
          <w:szCs w:val="16"/>
          <w:color w:val="auto"/>
        </w:rPr>
        <w:t>” means any employee of a Participating Company whose customary employment is for more than</w:t>
      </w:r>
    </w:p>
    <w:p>
      <w:pPr>
        <w:spacing w:after="0" w:line="3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five (5) months per calendar year and for more than twenty (20) hours per week.</w:t>
      </w:r>
    </w:p>
    <w:p>
      <w:pPr>
        <w:spacing w:after="0" w:line="248" w:lineRule="exact"/>
        <w:rPr>
          <w:sz w:val="20"/>
          <w:szCs w:val="20"/>
          <w:color w:val="auto"/>
        </w:rPr>
      </w:pPr>
    </w:p>
    <w:p>
      <w:pPr>
        <w:ind w:left="660" w:right="220"/>
        <w:spacing w:after="0" w:line="295" w:lineRule="auto"/>
        <w:rPr>
          <w:sz w:val="20"/>
          <w:szCs w:val="20"/>
          <w:color w:val="auto"/>
        </w:rPr>
      </w:pPr>
      <w:r>
        <w:rPr>
          <w:rFonts w:ascii="Arial" w:cs="Arial" w:eastAsia="Arial" w:hAnsi="Arial"/>
          <w:sz w:val="16"/>
          <w:szCs w:val="16"/>
          <w:color w:val="auto"/>
        </w:rPr>
        <w:t>The foregoing notwithstanding, an individual shall not be considered an Eligible Employee if his or her participation in the Plan is prohibited by the law of any country which has jurisdiction over him or her.</w:t>
      </w:r>
    </w:p>
    <w:p>
      <w:pPr>
        <w:spacing w:after="0" w:line="196" w:lineRule="exact"/>
        <w:rPr>
          <w:sz w:val="20"/>
          <w:szCs w:val="20"/>
          <w:color w:val="auto"/>
        </w:rPr>
      </w:pPr>
    </w:p>
    <w:p>
      <w:pPr>
        <w:ind w:left="1100" w:hanging="284"/>
        <w:spacing w:after="0"/>
        <w:tabs>
          <w:tab w:leader="none" w:pos="11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means the fair market value of a share of Stock, determined as follows:</w:t>
      </w:r>
    </w:p>
    <w:p>
      <w:pPr>
        <w:spacing w:after="0" w:line="248" w:lineRule="exact"/>
        <w:rPr>
          <w:rFonts w:ascii="Arial" w:cs="Arial" w:eastAsia="Arial" w:hAnsi="Arial"/>
          <w:sz w:val="16"/>
          <w:szCs w:val="16"/>
          <w:color w:val="auto"/>
        </w:rPr>
      </w:pPr>
    </w:p>
    <w:p>
      <w:pPr>
        <w:ind w:left="980" w:right="40" w:hanging="2"/>
        <w:spacing w:after="0" w:line="286" w:lineRule="auto"/>
        <w:tabs>
          <w:tab w:leader="none" w:pos="1259" w:val="left"/>
        </w:tabs>
        <w:numPr>
          <w:ilvl w:val="1"/>
          <w:numId w:val="85"/>
        </w:numPr>
        <w:rPr>
          <w:rFonts w:ascii="Arial" w:cs="Arial" w:eastAsia="Arial" w:hAnsi="Arial"/>
          <w:sz w:val="16"/>
          <w:szCs w:val="16"/>
          <w:color w:val="auto"/>
        </w:rPr>
      </w:pPr>
      <w:r>
        <w:rPr>
          <w:rFonts w:ascii="Arial" w:cs="Arial" w:eastAsia="Arial" w:hAnsi="Arial"/>
          <w:sz w:val="16"/>
          <w:szCs w:val="16"/>
          <w:color w:val="auto"/>
        </w:rPr>
        <w:t xml:space="preserve">if Stock was traded on any established national securities exchange including the New York Stock Exchange or The Nasdaq Stock Market on the date in question, then the Fair Market Value shall be equal to the closing price as quoted on such exchange (or the exchange with the greatest volume of trading in the Stock) on such date as reported in the </w:t>
      </w:r>
      <w:r>
        <w:rPr>
          <w:rFonts w:ascii="Arial" w:cs="Arial" w:eastAsia="Arial" w:hAnsi="Arial"/>
          <w:sz w:val="16"/>
          <w:szCs w:val="16"/>
          <w:u w:val="single" w:color="auto"/>
          <w:color w:val="auto"/>
        </w:rPr>
        <w:t>Wall Street</w:t>
      </w:r>
      <w:r>
        <w:rPr>
          <w:rFonts w:ascii="Arial" w:cs="Arial" w:eastAsia="Arial" w:hAnsi="Arial"/>
          <w:sz w:val="16"/>
          <w:szCs w:val="16"/>
          <w:color w:val="auto"/>
        </w:rPr>
        <w:t xml:space="preserve"> </w:t>
      </w:r>
      <w:r>
        <w:rPr>
          <w:rFonts w:ascii="Arial" w:cs="Arial" w:eastAsia="Arial" w:hAnsi="Arial"/>
          <w:sz w:val="16"/>
          <w:szCs w:val="16"/>
          <w:u w:val="single" w:color="auto"/>
          <w:color w:val="auto"/>
        </w:rPr>
        <w:t>Journal</w:t>
      </w:r>
      <w:r>
        <w:rPr>
          <w:rFonts w:ascii="Arial" w:cs="Arial" w:eastAsia="Arial" w:hAnsi="Arial"/>
          <w:sz w:val="16"/>
          <w:szCs w:val="16"/>
          <w:color w:val="auto"/>
        </w:rPr>
        <w:t xml:space="preserve"> or such other source as the Committee deems reliable; or</w:t>
      </w:r>
    </w:p>
    <w:p>
      <w:pPr>
        <w:spacing w:after="0" w:line="368"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3"/>
          <w:szCs w:val="13"/>
          <w:b w:val="1"/>
          <w:bCs w:val="1"/>
          <w:color w:val="auto"/>
        </w:rPr>
        <w:t>A-20</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1" w:right="1279" w:bottom="1440" w:gutter="0" w:footer="0" w:header="0"/>
        </w:sectPr>
      </w:pPr>
    </w:p>
    <w:bookmarkStart w:id="106" w:name="page107"/>
    <w:bookmarkEnd w:id="106"/>
    <w:p>
      <w:pPr>
        <w:spacing w:after="0"/>
        <w:rPr>
          <w:rFonts w:ascii="Arial" w:cs="Arial" w:eastAsia="Arial" w:hAnsi="Arial"/>
          <w:sz w:val="14"/>
          <w:szCs w:val="14"/>
          <w:color w:val="003366"/>
        </w:rPr>
      </w:pPr>
      <w:hyperlink w:anchor="page10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980" w:right="760" w:hanging="2"/>
        <w:spacing w:after="0" w:line="278" w:lineRule="auto"/>
        <w:tabs>
          <w:tab w:leader="none" w:pos="1295" w:val="left"/>
        </w:tabs>
        <w:numPr>
          <w:ilvl w:val="0"/>
          <w:numId w:val="86"/>
        </w:numPr>
        <w:rPr>
          <w:rFonts w:ascii="Arial" w:cs="Arial" w:eastAsia="Arial" w:hAnsi="Arial"/>
          <w:sz w:val="16"/>
          <w:szCs w:val="16"/>
          <w:color w:val="auto"/>
        </w:rPr>
      </w:pPr>
      <w:r>
        <w:rPr>
          <w:rFonts w:ascii="Arial" w:cs="Arial" w:eastAsia="Arial" w:hAnsi="Arial"/>
          <w:sz w:val="16"/>
          <w:szCs w:val="16"/>
          <w:color w:val="auto"/>
        </w:rPr>
        <w:t>if the foregoing provision is not applicable, then the Fair Market Value shall be determined by the Committee in good faith on such basis as it deems appropriate.</w:t>
      </w:r>
    </w:p>
    <w:p>
      <w:pPr>
        <w:spacing w:after="0" w:line="195" w:lineRule="exact"/>
        <w:rPr>
          <w:sz w:val="20"/>
          <w:szCs w:val="20"/>
          <w:color w:val="auto"/>
        </w:rPr>
      </w:pPr>
    </w:p>
    <w:p>
      <w:pPr>
        <w:jc w:val="both"/>
        <w:ind w:left="660" w:right="980"/>
        <w:spacing w:after="0" w:line="271" w:lineRule="auto"/>
        <w:rPr>
          <w:sz w:val="20"/>
          <w:szCs w:val="20"/>
          <w:color w:val="auto"/>
        </w:rPr>
      </w:pPr>
      <w:r>
        <w:rPr>
          <w:rFonts w:ascii="Arial" w:cs="Arial" w:eastAsia="Arial" w:hAnsi="Arial"/>
          <w:sz w:val="16"/>
          <w:szCs w:val="16"/>
          <w:color w:val="auto"/>
        </w:rPr>
        <w:t>For any date that is not a Trading Day, the Fair Market Value of a share of Stock for such date shall be determined by using the closing sale price for the immediately preceding Trading Day. Determination of the Fair Market Value pursuant to the foregoing provisions shall be conclusive and binding on all persons.</w:t>
      </w:r>
    </w:p>
    <w:p>
      <w:pPr>
        <w:spacing w:after="0" w:line="214" w:lineRule="exact"/>
        <w:rPr>
          <w:sz w:val="20"/>
          <w:szCs w:val="20"/>
          <w:color w:val="auto"/>
        </w:rPr>
      </w:pPr>
    </w:p>
    <w:p>
      <w:pPr>
        <w:ind w:left="1140" w:hanging="324"/>
        <w:spacing w:after="0"/>
        <w:tabs>
          <w:tab w:leader="none" w:pos="11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w:t>
      </w:r>
      <w:r>
        <w:rPr>
          <w:rFonts w:ascii="Arial" w:cs="Arial" w:eastAsia="Arial" w:hAnsi="Arial"/>
          <w:sz w:val="16"/>
          <w:szCs w:val="16"/>
          <w:color w:val="auto"/>
        </w:rPr>
        <w:t>” means the grant of options to purchase shares of Stock under the Plan to Eligible Employees.</w:t>
      </w:r>
    </w:p>
    <w:p>
      <w:pPr>
        <w:spacing w:after="0" w:line="248" w:lineRule="exact"/>
        <w:rPr>
          <w:rFonts w:ascii="Arial" w:cs="Arial" w:eastAsia="Arial" w:hAnsi="Arial"/>
          <w:sz w:val="16"/>
          <w:szCs w:val="16"/>
          <w:color w:val="auto"/>
        </w:rPr>
      </w:pPr>
    </w:p>
    <w:p>
      <w:pPr>
        <w:ind w:left="1140" w:hanging="324"/>
        <w:spacing w:after="0"/>
        <w:tabs>
          <w:tab w:leader="none" w:pos="11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 Date</w:t>
      </w:r>
      <w:r>
        <w:rPr>
          <w:rFonts w:ascii="Arial" w:cs="Arial" w:eastAsia="Arial" w:hAnsi="Arial"/>
          <w:sz w:val="16"/>
          <w:szCs w:val="16"/>
          <w:color w:val="auto"/>
        </w:rPr>
        <w:t>” means the first day of an Offering.</w:t>
      </w:r>
    </w:p>
    <w:p>
      <w:pPr>
        <w:spacing w:after="0" w:line="234" w:lineRule="exact"/>
        <w:rPr>
          <w:rFonts w:ascii="Arial" w:cs="Arial" w:eastAsia="Arial" w:hAnsi="Arial"/>
          <w:sz w:val="16"/>
          <w:szCs w:val="16"/>
          <w:color w:val="auto"/>
        </w:rPr>
      </w:pPr>
    </w:p>
    <w:p>
      <w:pPr>
        <w:ind w:left="820" w:right="1220" w:hanging="4"/>
        <w:spacing w:after="0" w:line="278" w:lineRule="auto"/>
        <w:tabs>
          <w:tab w:leader="none" w:pos="1099" w:val="left"/>
        </w:tabs>
        <w:numPr>
          <w:ilvl w:val="0"/>
          <w:numId w:val="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 Period</w:t>
      </w:r>
      <w:r>
        <w:rPr>
          <w:rFonts w:ascii="Arial" w:cs="Arial" w:eastAsia="Arial" w:hAnsi="Arial"/>
          <w:sz w:val="16"/>
          <w:szCs w:val="16"/>
          <w:color w:val="auto"/>
        </w:rPr>
        <w:t>” means a period with respect to which the right to purchase Stock may be granted under the Plan, as determined pursuant to Section 4(a).</w:t>
      </w:r>
    </w:p>
    <w:p>
      <w:pPr>
        <w:spacing w:after="0" w:line="208" w:lineRule="exact"/>
        <w:rPr>
          <w:rFonts w:ascii="Arial" w:cs="Arial" w:eastAsia="Arial" w:hAnsi="Arial"/>
          <w:sz w:val="16"/>
          <w:szCs w:val="16"/>
          <w:color w:val="auto"/>
        </w:rPr>
      </w:pPr>
    </w:p>
    <w:p>
      <w:pPr>
        <w:ind w:left="1100" w:hanging="284"/>
        <w:spacing w:after="0"/>
        <w:tabs>
          <w:tab w:leader="none" w:pos="11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means an Eligible Employee who elects to participate in the Plan, as provided in Section 4(b).</w:t>
      </w:r>
    </w:p>
    <w:p>
      <w:pPr>
        <w:spacing w:after="0" w:line="234" w:lineRule="exact"/>
        <w:rPr>
          <w:rFonts w:ascii="Arial" w:cs="Arial" w:eastAsia="Arial" w:hAnsi="Arial"/>
          <w:sz w:val="16"/>
          <w:szCs w:val="16"/>
          <w:color w:val="auto"/>
        </w:rPr>
      </w:pPr>
    </w:p>
    <w:p>
      <w:pPr>
        <w:ind w:left="820" w:right="780" w:hanging="4"/>
        <w:spacing w:after="0" w:line="278" w:lineRule="auto"/>
        <w:tabs>
          <w:tab w:leader="none" w:pos="1144" w:val="left"/>
        </w:tabs>
        <w:numPr>
          <w:ilvl w:val="0"/>
          <w:numId w:val="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Participating Company</w:t>
      </w:r>
      <w:r>
        <w:rPr>
          <w:rFonts w:ascii="Arial" w:cs="Arial" w:eastAsia="Arial" w:hAnsi="Arial"/>
          <w:sz w:val="16"/>
          <w:szCs w:val="16"/>
          <w:color w:val="auto"/>
        </w:rPr>
        <w:t>” means (i) the Company and (ii) each present or future Subsidiary designated by the Committee as a Participating Company.</w:t>
      </w:r>
    </w:p>
    <w:p>
      <w:pPr>
        <w:spacing w:after="0" w:line="208" w:lineRule="exact"/>
        <w:rPr>
          <w:rFonts w:ascii="Arial" w:cs="Arial" w:eastAsia="Arial" w:hAnsi="Arial"/>
          <w:sz w:val="16"/>
          <w:szCs w:val="16"/>
          <w:color w:val="auto"/>
        </w:rPr>
      </w:pPr>
    </w:p>
    <w:p>
      <w:pPr>
        <w:ind w:left="1100" w:hanging="284"/>
        <w:spacing w:after="0"/>
        <w:tabs>
          <w:tab w:leader="none" w:pos="11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this Lucid Group Inc. 2021 Employee Stock Purchase Plan, as it may be amended from time to time.</w:t>
      </w:r>
    </w:p>
    <w:p>
      <w:pPr>
        <w:spacing w:after="0" w:line="248" w:lineRule="exact"/>
        <w:rPr>
          <w:rFonts w:ascii="Arial" w:cs="Arial" w:eastAsia="Arial" w:hAnsi="Arial"/>
          <w:sz w:val="16"/>
          <w:szCs w:val="16"/>
          <w:color w:val="auto"/>
        </w:rPr>
      </w:pPr>
    </w:p>
    <w:p>
      <w:pPr>
        <w:ind w:left="1200" w:hanging="384"/>
        <w:spacing w:after="0"/>
        <w:tabs>
          <w:tab w:leader="none" w:pos="12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 Account</w:t>
      </w:r>
      <w:r>
        <w:rPr>
          <w:rFonts w:ascii="Arial" w:cs="Arial" w:eastAsia="Arial" w:hAnsi="Arial"/>
          <w:sz w:val="16"/>
          <w:szCs w:val="16"/>
          <w:color w:val="auto"/>
        </w:rPr>
        <w:t>” means the account established for each Participant pursuant to Section 8(a).</w:t>
      </w:r>
    </w:p>
    <w:p>
      <w:pPr>
        <w:spacing w:after="0" w:line="234" w:lineRule="exact"/>
        <w:rPr>
          <w:rFonts w:ascii="Arial" w:cs="Arial" w:eastAsia="Arial" w:hAnsi="Arial"/>
          <w:sz w:val="16"/>
          <w:szCs w:val="16"/>
          <w:color w:val="auto"/>
        </w:rPr>
      </w:pPr>
    </w:p>
    <w:p>
      <w:pPr>
        <w:ind w:left="820" w:right="820" w:hanging="4"/>
        <w:spacing w:after="0" w:line="278" w:lineRule="auto"/>
        <w:tabs>
          <w:tab w:leader="none" w:pos="1153" w:val="left"/>
        </w:tabs>
        <w:numPr>
          <w:ilvl w:val="0"/>
          <w:numId w:val="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Date</w:t>
      </w:r>
      <w:r>
        <w:rPr>
          <w:rFonts w:ascii="Arial" w:cs="Arial" w:eastAsia="Arial" w:hAnsi="Arial"/>
          <w:sz w:val="16"/>
          <w:szCs w:val="16"/>
          <w:color w:val="auto"/>
        </w:rPr>
        <w:t>” means one or more dates during an Offering on which shares of Stock may be purchased pursuant to the terms of the Offering.</w:t>
      </w:r>
    </w:p>
    <w:p>
      <w:pPr>
        <w:spacing w:after="0" w:line="194" w:lineRule="exact"/>
        <w:rPr>
          <w:rFonts w:ascii="Arial" w:cs="Arial" w:eastAsia="Arial" w:hAnsi="Arial"/>
          <w:sz w:val="16"/>
          <w:szCs w:val="16"/>
          <w:color w:val="auto"/>
        </w:rPr>
      </w:pPr>
    </w:p>
    <w:p>
      <w:pPr>
        <w:ind w:left="820" w:right="780" w:hanging="4"/>
        <w:spacing w:after="0" w:line="278" w:lineRule="auto"/>
        <w:tabs>
          <w:tab w:leader="none" w:pos="1153" w:val="left"/>
        </w:tabs>
        <w:numPr>
          <w:ilvl w:val="0"/>
          <w:numId w:val="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Period</w:t>
      </w:r>
      <w:r>
        <w:rPr>
          <w:rFonts w:ascii="Arial" w:cs="Arial" w:eastAsia="Arial" w:hAnsi="Arial"/>
          <w:sz w:val="16"/>
          <w:szCs w:val="16"/>
          <w:color w:val="auto"/>
        </w:rPr>
        <w:t>” means one or more successive periods during an Offering, beginning on the Offering Date or on the day after a Purchase Date, and ending on the next succeeding Purchase Date.</w:t>
      </w:r>
    </w:p>
    <w:p>
      <w:pPr>
        <w:spacing w:after="0" w:line="194" w:lineRule="exact"/>
        <w:rPr>
          <w:rFonts w:ascii="Arial" w:cs="Arial" w:eastAsia="Arial" w:hAnsi="Arial"/>
          <w:sz w:val="16"/>
          <w:szCs w:val="16"/>
          <w:color w:val="auto"/>
        </w:rPr>
      </w:pPr>
    </w:p>
    <w:p>
      <w:pPr>
        <w:ind w:left="820" w:right="1200" w:hanging="4"/>
        <w:spacing w:after="0" w:line="278" w:lineRule="auto"/>
        <w:tabs>
          <w:tab w:leader="none" w:pos="1153" w:val="left"/>
        </w:tabs>
        <w:numPr>
          <w:ilvl w:val="0"/>
          <w:numId w:val="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Price</w:t>
      </w:r>
      <w:r>
        <w:rPr>
          <w:rFonts w:ascii="Arial" w:cs="Arial" w:eastAsia="Arial" w:hAnsi="Arial"/>
          <w:sz w:val="16"/>
          <w:szCs w:val="16"/>
          <w:color w:val="auto"/>
        </w:rPr>
        <w:t>” means the price at which Participants may purchase shares of Stock under the Plan, as determined pursuant to Section 8(b).</w:t>
      </w:r>
    </w:p>
    <w:p>
      <w:pPr>
        <w:spacing w:after="0" w:line="194" w:lineRule="exact"/>
        <w:rPr>
          <w:rFonts w:ascii="Arial" w:cs="Arial" w:eastAsia="Arial" w:hAnsi="Arial"/>
          <w:sz w:val="16"/>
          <w:szCs w:val="16"/>
          <w:color w:val="auto"/>
        </w:rPr>
      </w:pPr>
    </w:p>
    <w:p>
      <w:pPr>
        <w:ind w:left="820" w:right="900" w:hanging="4"/>
        <w:spacing w:after="0" w:line="271" w:lineRule="auto"/>
        <w:tabs>
          <w:tab w:leader="none" w:pos="1153" w:val="left"/>
        </w:tabs>
        <w:numPr>
          <w:ilvl w:val="0"/>
          <w:numId w:val="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w:t>
      </w:r>
    </w:p>
    <w:p>
      <w:pPr>
        <w:spacing w:after="0" w:line="213" w:lineRule="exact"/>
        <w:rPr>
          <w:rFonts w:ascii="Arial" w:cs="Arial" w:eastAsia="Arial" w:hAnsi="Arial"/>
          <w:sz w:val="16"/>
          <w:szCs w:val="16"/>
          <w:color w:val="auto"/>
        </w:rPr>
      </w:pPr>
    </w:p>
    <w:p>
      <w:pPr>
        <w:ind w:left="1120" w:hanging="304"/>
        <w:spacing w:after="0"/>
        <w:tabs>
          <w:tab w:leader="none" w:pos="11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Trading Day</w:t>
      </w:r>
      <w:r>
        <w:rPr>
          <w:rFonts w:ascii="Arial" w:cs="Arial" w:eastAsia="Arial" w:hAnsi="Arial"/>
          <w:sz w:val="16"/>
          <w:szCs w:val="16"/>
          <w:color w:val="auto"/>
        </w:rPr>
        <w:t>” means a day on which the national stock exchange on which the Stock is traded is open for trading.</w:t>
      </w:r>
    </w:p>
    <w:p>
      <w:pPr>
        <w:spacing w:after="0" w:line="248"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6"/>
          <w:szCs w:val="16"/>
          <w:u w:val="single" w:color="auto"/>
          <w:color w:val="auto"/>
        </w:rPr>
        <w:t>SECTION 3</w:t>
        <w:tab/>
        <w:t>Administration of the Plan.</w:t>
      </w:r>
    </w:p>
    <w:p>
      <w:pPr>
        <w:spacing w:after="0" w:line="235" w:lineRule="exact"/>
        <w:rPr>
          <w:sz w:val="20"/>
          <w:szCs w:val="20"/>
          <w:color w:val="auto"/>
        </w:rPr>
      </w:pPr>
    </w:p>
    <w:p>
      <w:pPr>
        <w:ind w:left="820" w:right="680" w:hanging="4"/>
        <w:spacing w:after="0" w:line="265" w:lineRule="auto"/>
        <w:tabs>
          <w:tab w:leader="none" w:pos="1153"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Administrative Powers and Responsibilities</w:t>
      </w:r>
      <w:r>
        <w:rPr>
          <w:rFonts w:ascii="Arial" w:cs="Arial" w:eastAsia="Arial" w:hAnsi="Arial"/>
          <w:sz w:val="16"/>
          <w:szCs w:val="16"/>
          <w:color w:val="auto"/>
        </w:rPr>
        <w:t>. The Plan shall be administered by the Committee. The Committee shall have full power and authority, subject to the provisions of the Plan, to promulgate such rules and regulations as it deems necessary for the proper administration of the Plan, to interpret the provisions and supervise the administration of the Plan, and to take all action in connection therewith or in relation thereto as it deems necessary or advisable. Any decision reduced to writing and signed by all of the members of the Committee shall be fully effective as if it had been made at a meeting duly held. The Committee’s determinations under the Plan, unless otherwise determined by the Board, shall be final and binding on all persons. The Company shall pay all expenses incurred in the administration of the Plan. No member of the Committee shall be personally liable for any action, determination, or interpretation made in good faith with respect to the Plan, and all members of the Committee shall be fully indemnified by the Company with respect to any such action, determination or interpretation. The Committee may adopt such rules, guidelines and forms as it deems appropriate to implement the Plan. Subject to the requirements of applicable law, the Committee may designate persons other than members of the Committee to carry out its responsibilities and may prescribe such conditions and limitations as it may deem appropriate. All decisions, interpretations and other actions of the Committee shall be final and binding on all Participants and all persons deriving their rights from a Participant. No member of the Committee shall be liable for any action that he has taken or has failed to take in good faith with respect to the Plan. Notwithstanding anything to the contrary in the Plan, the Board may, in its sole discretion, at any time and from time to time, resolve to administer the Plan. In such event, the Board shall have all of the authority and responsibility granted to the Committee herein.</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840" w:type="dxa"/>
            <w:vAlign w:val="bottom"/>
          </w:tcPr>
          <w:p>
            <w:pPr>
              <w:ind w:left="660"/>
              <w:spacing w:after="0"/>
              <w:rPr>
                <w:sz w:val="20"/>
                <w:szCs w:val="20"/>
                <w:color w:val="auto"/>
              </w:rPr>
            </w:pPr>
            <w:r>
              <w:rPr>
                <w:rFonts w:ascii="Arial" w:cs="Arial" w:eastAsia="Arial" w:hAnsi="Arial"/>
                <w:sz w:val="13"/>
                <w:szCs w:val="13"/>
                <w:color w:val="auto"/>
              </w:rPr>
              <w:t>2022 Proxy Statement</w:t>
            </w:r>
          </w:p>
        </w:tc>
        <w:tc>
          <w:tcPr>
            <w:tcW w:w="4880" w:type="dxa"/>
            <w:vAlign w:val="bottom"/>
          </w:tcPr>
          <w:p>
            <w:pPr>
              <w:ind w:left="3920"/>
              <w:spacing w:after="0"/>
              <w:rPr>
                <w:sz w:val="20"/>
                <w:szCs w:val="20"/>
                <w:color w:val="auto"/>
              </w:rPr>
            </w:pPr>
            <w:r>
              <w:rPr>
                <w:rFonts w:ascii="Arial" w:cs="Arial" w:eastAsia="Arial" w:hAnsi="Arial"/>
                <w:sz w:val="13"/>
                <w:szCs w:val="13"/>
                <w:b w:val="1"/>
                <w:bCs w:val="1"/>
                <w:color w:val="auto"/>
              </w:rPr>
              <w:t>A-21</w:t>
            </w:r>
          </w:p>
        </w:tc>
      </w:tr>
      <w:tr>
        <w:trPr>
          <w:trHeight w:val="172"/>
        </w:trPr>
        <w:tc>
          <w:tcPr>
            <w:tcW w:w="5840" w:type="dxa"/>
            <w:vAlign w:val="bottom"/>
            <w:tcBorders>
              <w:bottom w:val="single" w:sz="8" w:color="9A9A9A"/>
            </w:tcBorders>
          </w:tcPr>
          <w:p>
            <w:pPr>
              <w:spacing w:after="0"/>
              <w:rPr>
                <w:sz w:val="14"/>
                <w:szCs w:val="14"/>
                <w:color w:val="auto"/>
              </w:rPr>
            </w:pPr>
          </w:p>
        </w:tc>
        <w:tc>
          <w:tcPr>
            <w:tcW w:w="488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07" w:name="page108"/>
    <w:bookmarkEnd w:id="107"/>
    <w:p>
      <w:pPr>
        <w:spacing w:after="0"/>
        <w:rPr>
          <w:rFonts w:ascii="Arial" w:cs="Arial" w:eastAsia="Arial" w:hAnsi="Arial"/>
          <w:sz w:val="14"/>
          <w:szCs w:val="14"/>
          <w:color w:val="003366"/>
        </w:rPr>
      </w:pPr>
      <w:hyperlink w:anchor="page10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20" w:right="60" w:hanging="4"/>
        <w:spacing w:after="0" w:line="283" w:lineRule="auto"/>
        <w:tabs>
          <w:tab w:leader="none" w:pos="1153"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International Administration</w:t>
      </w:r>
      <w:r>
        <w:rPr>
          <w:rFonts w:ascii="Arial" w:cs="Arial" w:eastAsia="Arial" w:hAnsi="Arial"/>
          <w:sz w:val="16"/>
          <w:szCs w:val="16"/>
          <w:color w:val="auto"/>
        </w:rPr>
        <w:t>. The Committee may establish sub-plans (which need not qualify under Section 423 of the Code) and initiate separate Offerings through such sub-plans for the purpose of (i) facilitating participation in the Plan by non-U.S. employees in compliance with foreign laws and regulations without affecting the qualification of the remainder of the Plan under Section 423 of the Code or (ii) qualifying the Plan for preferred tax treatment under foreign tax laws (which sub-plans, at the Committee’s discretion, may provide for allocations of the authorized shares reserved for issue under the Plan as set forth in Section 14(a)). The rules, guidelines and forms of such sub-plans (or the Offerings thereunder) may take precedence over other provisions of the Plan, with the exception of Section 4(a)(i), Section 5(b), Section 8(b) and Section 14(a), but unless otherwise superseded by the terms of such sub-plan, the provisions of the Plan shall govern the operation of such sub-plan. Alternatively and in order to comply with the laws of a foreign jurisdiction, the Committee shall have the power, in its discretion, to grant options in an Offering to citizens or residents of a non-U.S. jurisdiction (without regard to whether they are also citizens of the United States or resident aliens) that provide terms which are less favorable than the terms of options granted under the same Offering to employees resident in the United States, subject to compliance with Section 423 of the Code.</w:t>
      </w:r>
    </w:p>
    <w:p>
      <w:pPr>
        <w:spacing w:after="0" w:line="205"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6"/>
          <w:szCs w:val="16"/>
          <w:u w:val="single" w:color="auto"/>
          <w:color w:val="auto"/>
        </w:rPr>
        <w:t>SECTION 4</w:t>
        <w:tab/>
        <w:t>Enrollment and Participation.</w:t>
      </w:r>
    </w:p>
    <w:p>
      <w:pPr>
        <w:spacing w:after="0" w:line="248" w:lineRule="exact"/>
        <w:rPr>
          <w:sz w:val="20"/>
          <w:szCs w:val="20"/>
          <w:color w:val="auto"/>
        </w:rPr>
      </w:pPr>
    </w:p>
    <w:p>
      <w:pPr>
        <w:ind w:left="820" w:right="60" w:hanging="4"/>
        <w:spacing w:after="0" w:line="282" w:lineRule="auto"/>
        <w:tabs>
          <w:tab w:leader="none" w:pos="1153"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Offering Periods</w:t>
      </w:r>
      <w:r>
        <w:rPr>
          <w:rFonts w:ascii="Arial" w:cs="Arial" w:eastAsia="Arial" w:hAnsi="Arial"/>
          <w:sz w:val="16"/>
          <w:szCs w:val="16"/>
          <w:color w:val="auto"/>
        </w:rPr>
        <w:t>. While the Plan is in effect, the Committee may from time to time grant options to purchase shares of Stock pursuant to the Plan to Eligible Employees during a specified Offering Period. Each such Offering shall be in such form and shall contain such terms and conditions as the Committee shall determine, subject to compliance with the terms and conditions of the Plan (which may be incorporated by reference) and the requirements of Section 423 of the Code, including the requirement that all Eligible Employees have the same rights and privileges. The Committee shall specify prior to the commencement of each Offering (i) the period during which the Offering shall be effective, which may not exceed twenty-seven (27) months from the Offering Date and may include one or more successive Purchase Periods within the Offering, (ii) the Purchase Dates and Purchase Price for shares of Stock which may be purchased pursuant to the Offering, and (iii) if applicable, any limits on the number of shares purchasable by a Participant, or by all Participants in the aggregate, during any Offering Period or, if applicable, Purchase Period, in each case consistent with the limitations of the Plan. The Committee shall have the discretion to provide for the automatic termination of an Offering following any Purchase Date on which the Fair Market Value of a share of Stock is equal to or less than the Fair Market Value of a share of Stock on the Offering Date, and for the Participants in the terminated Offering to be automatically re-enrolled in a new Offering that commences immediately after such Purchase Date. The terms and conditions of each Offering need not be identical, and shall be deemed incorporated by reference and made a part of the Plan.</w:t>
      </w:r>
    </w:p>
    <w:p>
      <w:pPr>
        <w:spacing w:after="0" w:line="213" w:lineRule="exact"/>
        <w:rPr>
          <w:rFonts w:ascii="Arial" w:cs="Arial" w:eastAsia="Arial" w:hAnsi="Arial"/>
          <w:sz w:val="16"/>
          <w:szCs w:val="16"/>
          <w:color w:val="auto"/>
        </w:rPr>
      </w:pPr>
    </w:p>
    <w:p>
      <w:pPr>
        <w:ind w:left="820" w:right="120" w:hanging="4"/>
        <w:spacing w:after="0" w:line="288" w:lineRule="auto"/>
        <w:tabs>
          <w:tab w:leader="none" w:pos="1153"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Enrollment</w:t>
      </w:r>
      <w:r>
        <w:rPr>
          <w:rFonts w:ascii="Arial" w:cs="Arial" w:eastAsia="Arial" w:hAnsi="Arial"/>
          <w:sz w:val="16"/>
          <w:szCs w:val="16"/>
          <w:color w:val="auto"/>
        </w:rPr>
        <w:t>. Any individual who, on the day preceding the first day of an Offering Period, qualifies as an Eligible Employee may elect to become a Participant in the Plan for such Offering Period by completing the enrollment process prescribed and communicated for this purpose from time to time by the Company to Eligible Employees.</w:t>
      </w:r>
    </w:p>
    <w:p>
      <w:pPr>
        <w:spacing w:after="0" w:line="201" w:lineRule="exact"/>
        <w:rPr>
          <w:rFonts w:ascii="Arial" w:cs="Arial" w:eastAsia="Arial" w:hAnsi="Arial"/>
          <w:sz w:val="16"/>
          <w:szCs w:val="16"/>
          <w:color w:val="auto"/>
        </w:rPr>
      </w:pPr>
    </w:p>
    <w:p>
      <w:pPr>
        <w:ind w:left="820" w:right="140" w:hanging="4"/>
        <w:spacing w:after="0" w:line="283" w:lineRule="auto"/>
        <w:tabs>
          <w:tab w:leader="none" w:pos="1144"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Duration of Participation</w:t>
      </w:r>
      <w:r>
        <w:rPr>
          <w:rFonts w:ascii="Arial" w:cs="Arial" w:eastAsia="Arial" w:hAnsi="Arial"/>
          <w:sz w:val="16"/>
          <w:szCs w:val="16"/>
          <w:color w:val="auto"/>
        </w:rPr>
        <w:t>. Once enrolled in the Plan, a Participant shall continue to participate in the Plan until he or she ceases to be an Eligible Employee or withdraws from the Plan under Section 6(a). A Participant who withdrew from the Plan under Section 6(a) may again become a Participant, if he or she then is an Eligible Employee, by following the procedure described in Subsection (b) above. A Participant whose employee contributions were discontinued automatically under Section 9(b) shall automatically resume participation at the beginning of the earliest Offering Period ending in the next calendar year, if he or she then is an Eligible Employee. When a Participant reaches the end of an Offering Period but his or her participation is to continue, then such Participant shall automatically be re-enrolled for the Offering Period that commences immediately after the end of the prior Offering Period.</w:t>
      </w:r>
    </w:p>
    <w:p>
      <w:pPr>
        <w:spacing w:after="0" w:line="208"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6"/>
          <w:szCs w:val="16"/>
          <w:u w:val="single" w:color="auto"/>
          <w:color w:val="auto"/>
        </w:rPr>
        <w:t>SECTION 5</w:t>
        <w:tab/>
        <w:t>Employee Contributions.</w:t>
      </w:r>
    </w:p>
    <w:p>
      <w:pPr>
        <w:spacing w:after="0" w:line="248" w:lineRule="exact"/>
        <w:rPr>
          <w:sz w:val="20"/>
          <w:szCs w:val="20"/>
          <w:color w:val="auto"/>
        </w:rPr>
      </w:pPr>
    </w:p>
    <w:p>
      <w:pPr>
        <w:ind w:left="820" w:right="220" w:hanging="4"/>
        <w:spacing w:after="0" w:line="285" w:lineRule="auto"/>
        <w:tabs>
          <w:tab w:leader="none" w:pos="1153"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Frequency of Payroll Deductions</w:t>
      </w:r>
      <w:r>
        <w:rPr>
          <w:rFonts w:ascii="Arial" w:cs="Arial" w:eastAsia="Arial" w:hAnsi="Arial"/>
          <w:sz w:val="16"/>
          <w:szCs w:val="16"/>
          <w:color w:val="auto"/>
        </w:rPr>
        <w:t>. A Participant may purchase shares of Stock under the Plan solely by means of payroll deductions; provided, however, that to the extent provided in the terms and conditions of an Offering, a Participant may also make contributions through payment by cash or check prior to one or more Purchase Dates during the Offering. Payroll deductions, subject to the provisions of Subsection (b) below or as otherwise provided under the terms and conditions of an Offering, shall occur on each payday during participation in the Plan.</w:t>
      </w:r>
    </w:p>
    <w:p>
      <w:pPr>
        <w:spacing w:after="0" w:line="203" w:lineRule="exact"/>
        <w:rPr>
          <w:rFonts w:ascii="Arial" w:cs="Arial" w:eastAsia="Arial" w:hAnsi="Arial"/>
          <w:sz w:val="16"/>
          <w:szCs w:val="16"/>
          <w:color w:val="auto"/>
        </w:rPr>
      </w:pPr>
    </w:p>
    <w:p>
      <w:pPr>
        <w:ind w:left="820" w:hanging="4"/>
        <w:spacing w:after="0" w:line="286" w:lineRule="auto"/>
        <w:tabs>
          <w:tab w:leader="none" w:pos="1153"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Amount of Payroll Deductions</w:t>
      </w:r>
      <w:r>
        <w:rPr>
          <w:rFonts w:ascii="Arial" w:cs="Arial" w:eastAsia="Arial" w:hAnsi="Arial"/>
          <w:sz w:val="16"/>
          <w:szCs w:val="16"/>
          <w:color w:val="auto"/>
        </w:rPr>
        <w:t>. An Eligible Employee shall designate during the enrollment process the portion of his or her Compensation that he or she elects to have withheld for the purchase of Stock. Such portion shall be a whole percentage of the Eligible Employee’s Compensation, but not less than one percent (1%) nor more than fifteen percent (15%) (or such lower rate of Compensation specified as the limit in the terms and conditions of the applicable Offering).</w:t>
      </w:r>
    </w:p>
    <w:p>
      <w:pPr>
        <w:sectPr>
          <w:pgSz w:w="11900" w:h="16838" w:orient="portrait"/>
          <w:cols w:equalWidth="0" w:num="1">
            <w:col w:w="10040"/>
          </w:cols>
          <w:pgMar w:left="580" w:top="131" w:right="1279" w:bottom="1440" w:gutter="0" w:footer="0" w:header="0"/>
        </w:sectPr>
      </w:pPr>
    </w:p>
    <w:p>
      <w:pPr>
        <w:spacing w:after="0" w:line="368"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3"/>
          <w:szCs w:val="13"/>
          <w:b w:val="1"/>
          <w:bCs w:val="1"/>
          <w:color w:val="auto"/>
        </w:rPr>
        <w:t>A-22</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1" w:right="1279" w:bottom="1440" w:gutter="0" w:footer="0" w:header="0"/>
          <w:type w:val="continuous"/>
        </w:sectPr>
      </w:pPr>
    </w:p>
    <w:bookmarkStart w:id="108" w:name="page109"/>
    <w:bookmarkEnd w:id="108"/>
    <w:p>
      <w:pPr>
        <w:spacing w:after="0"/>
        <w:rPr>
          <w:rFonts w:ascii="Arial" w:cs="Arial" w:eastAsia="Arial" w:hAnsi="Arial"/>
          <w:sz w:val="14"/>
          <w:szCs w:val="14"/>
          <w:color w:val="003366"/>
        </w:rPr>
      </w:pPr>
      <w:hyperlink w:anchor="page10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20" w:right="820" w:hanging="4"/>
        <w:spacing w:after="0" w:line="264" w:lineRule="auto"/>
        <w:tabs>
          <w:tab w:leader="none" w:pos="1144"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Changing Withholding Rate</w:t>
      </w:r>
      <w:r>
        <w:rPr>
          <w:rFonts w:ascii="Arial" w:cs="Arial" w:eastAsia="Arial" w:hAnsi="Arial"/>
          <w:sz w:val="16"/>
          <w:szCs w:val="16"/>
          <w:color w:val="auto"/>
        </w:rPr>
        <w:t>. Unless otherwise provided under the terms and conditions of an Offering, a Participant may not increase the rate of payroll withholding during the Offering Period, but may discontinue or decrease the rate of payroll withholding during the Offering Period to a whole percentage of his or her Compensation in accordance with such procedures and subject to such limitations as the Company may establish for all Participants. A Participant may also increase or decrease the rate of payroll withholding effective for a new Offering Period by submitting an authorization to change the payroll deduction rate pursuant to the process prescribed by the Company from time to time. The new withholding rate shall be a</w:t>
      </w:r>
    </w:p>
    <w:p>
      <w:pPr>
        <w:ind w:left="820"/>
        <w:spacing w:after="0"/>
        <w:rPr>
          <w:rFonts w:ascii="Arial" w:cs="Arial" w:eastAsia="Arial" w:hAnsi="Arial"/>
          <w:sz w:val="16"/>
          <w:szCs w:val="16"/>
          <w:color w:val="auto"/>
        </w:rPr>
      </w:pPr>
      <w:r>
        <w:rPr>
          <w:rFonts w:ascii="Arial" w:cs="Arial" w:eastAsia="Arial" w:hAnsi="Arial"/>
          <w:sz w:val="16"/>
          <w:szCs w:val="16"/>
          <w:color w:val="auto"/>
        </w:rPr>
        <w:t>whole percentage of the Eligible Employee’s Compensation consistent with Subsection (b) above.</w:t>
      </w:r>
    </w:p>
    <w:p>
      <w:pPr>
        <w:spacing w:after="0" w:line="234" w:lineRule="exact"/>
        <w:rPr>
          <w:rFonts w:ascii="Arial" w:cs="Arial" w:eastAsia="Arial" w:hAnsi="Arial"/>
          <w:sz w:val="16"/>
          <w:szCs w:val="16"/>
          <w:color w:val="auto"/>
        </w:rPr>
      </w:pPr>
    </w:p>
    <w:p>
      <w:pPr>
        <w:ind w:left="820" w:right="720" w:hanging="4"/>
        <w:spacing w:after="0" w:line="271" w:lineRule="auto"/>
        <w:tabs>
          <w:tab w:leader="none" w:pos="1153"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Discontinuing Payroll Deductions</w:t>
      </w:r>
      <w:r>
        <w:rPr>
          <w:rFonts w:ascii="Arial" w:cs="Arial" w:eastAsia="Arial" w:hAnsi="Arial"/>
          <w:sz w:val="16"/>
          <w:szCs w:val="16"/>
          <w:color w:val="auto"/>
        </w:rPr>
        <w:t>. If a Participant wishes to discontinue employee contributions entirely, he or she may do so by withdrawing from the Plan pursuant to Section 6(a). In addition, employee contributions may be discontinued automatically pursuant to Section 9(b).</w:t>
      </w:r>
    </w:p>
    <w:p>
      <w:pPr>
        <w:spacing w:after="0" w:line="214"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6"/>
          <w:szCs w:val="16"/>
          <w:u w:val="single" w:color="auto"/>
          <w:color w:val="auto"/>
        </w:rPr>
        <w:t>SECTION 6</w:t>
        <w:tab/>
        <w:t>Withdrawal from the Plan.</w:t>
      </w:r>
    </w:p>
    <w:p>
      <w:pPr>
        <w:spacing w:after="0" w:line="235" w:lineRule="exact"/>
        <w:rPr>
          <w:sz w:val="20"/>
          <w:szCs w:val="20"/>
          <w:color w:val="auto"/>
        </w:rPr>
      </w:pPr>
    </w:p>
    <w:p>
      <w:pPr>
        <w:ind w:left="1140" w:hanging="324"/>
        <w:spacing w:after="0"/>
        <w:tabs>
          <w:tab w:leader="none" w:pos="1140"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Withdrawal</w:t>
      </w:r>
      <w:r>
        <w:rPr>
          <w:rFonts w:ascii="Arial" w:cs="Arial" w:eastAsia="Arial" w:hAnsi="Arial"/>
          <w:sz w:val="16"/>
          <w:szCs w:val="16"/>
          <w:color w:val="auto"/>
        </w:rPr>
        <w:t>.  A Participant may elect to withdraw from the Plan by giving notice pursuant to the process prescribed and</w:t>
      </w:r>
    </w:p>
    <w:p>
      <w:pPr>
        <w:spacing w:after="0" w:line="18" w:lineRule="exact"/>
        <w:rPr>
          <w:rFonts w:ascii="Arial" w:cs="Arial" w:eastAsia="Arial" w:hAnsi="Arial"/>
          <w:sz w:val="16"/>
          <w:szCs w:val="16"/>
          <w:color w:val="auto"/>
        </w:rPr>
      </w:pPr>
    </w:p>
    <w:p>
      <w:pPr>
        <w:ind w:left="820" w:right="680"/>
        <w:spacing w:after="0" w:line="266" w:lineRule="auto"/>
        <w:rPr>
          <w:rFonts w:ascii="Arial" w:cs="Arial" w:eastAsia="Arial" w:hAnsi="Arial"/>
          <w:sz w:val="16"/>
          <w:szCs w:val="16"/>
          <w:color w:val="auto"/>
        </w:rPr>
      </w:pPr>
      <w:r>
        <w:rPr>
          <w:rFonts w:ascii="Arial" w:cs="Arial" w:eastAsia="Arial" w:hAnsi="Arial"/>
          <w:sz w:val="16"/>
          <w:szCs w:val="16"/>
          <w:color w:val="auto"/>
        </w:rPr>
        <w:t>communicated by the Company from time to time. Such withdrawal may be elected at any time before the last day of an Offering Period, except as otherwise provided in the Offering. In addition, if payment by cash or check is permitted under the terms and conditions of an Offering, Participants may be deemed to withdraw from the Plan by declining or failing to remit timely payment to the Company for the shares of Stock. As soon as reasonably practicable thereafter, payroll deductions shall cease and the entire amount credited to the Participant’s Plan Account shall be refunded to him or her in cash, without interest. No partial withdrawals shall be permitted.</w:t>
      </w:r>
    </w:p>
    <w:p>
      <w:pPr>
        <w:spacing w:after="0" w:line="207" w:lineRule="exact"/>
        <w:rPr>
          <w:rFonts w:ascii="Arial" w:cs="Arial" w:eastAsia="Arial" w:hAnsi="Arial"/>
          <w:sz w:val="16"/>
          <w:szCs w:val="16"/>
          <w:color w:val="auto"/>
        </w:rPr>
      </w:pPr>
    </w:p>
    <w:p>
      <w:pPr>
        <w:ind w:left="820" w:right="720" w:hanging="4"/>
        <w:spacing w:after="0" w:line="278" w:lineRule="auto"/>
        <w:tabs>
          <w:tab w:leader="none" w:pos="1153"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Re-enrollment After Withdrawal</w:t>
      </w:r>
      <w:r>
        <w:rPr>
          <w:rFonts w:ascii="Arial" w:cs="Arial" w:eastAsia="Arial" w:hAnsi="Arial"/>
          <w:sz w:val="16"/>
          <w:szCs w:val="16"/>
          <w:color w:val="auto"/>
        </w:rPr>
        <w:t>. A former Participant who has withdrawn from the Plan shall not be a Participant until he or she re-enrolls in the Plan under Section 4(b). Re-enrollment may be effective only at the commencement of an Offering Period.</w:t>
      </w:r>
    </w:p>
    <w:p>
      <w:pPr>
        <w:spacing w:after="0" w:line="208"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6"/>
          <w:szCs w:val="16"/>
          <w:u w:val="single" w:color="auto"/>
          <w:color w:val="auto"/>
        </w:rPr>
        <w:t>SECTION 7</w:t>
      </w:r>
      <w:r>
        <w:rPr>
          <w:sz w:val="20"/>
          <w:szCs w:val="20"/>
          <w:color w:val="auto"/>
        </w:rPr>
        <w:tab/>
      </w:r>
      <w:r>
        <w:rPr>
          <w:rFonts w:ascii="Arial" w:cs="Arial" w:eastAsia="Arial" w:hAnsi="Arial"/>
          <w:sz w:val="16"/>
          <w:szCs w:val="16"/>
          <w:u w:val="single" w:color="auto"/>
          <w:color w:val="auto"/>
        </w:rPr>
        <w:t>Change in Employment Status</w:t>
      </w:r>
      <w:r>
        <w:rPr>
          <w:rFonts w:ascii="Arial" w:cs="Arial" w:eastAsia="Arial" w:hAnsi="Arial"/>
          <w:sz w:val="16"/>
          <w:szCs w:val="16"/>
          <w:color w:val="auto"/>
        </w:rPr>
        <w:t>.</w:t>
      </w:r>
    </w:p>
    <w:p>
      <w:pPr>
        <w:spacing w:after="0" w:line="235" w:lineRule="exact"/>
        <w:rPr>
          <w:sz w:val="20"/>
          <w:szCs w:val="20"/>
          <w:color w:val="auto"/>
        </w:rPr>
      </w:pPr>
    </w:p>
    <w:p>
      <w:pPr>
        <w:ind w:left="820" w:right="720" w:hanging="4"/>
        <w:spacing w:after="0" w:line="271" w:lineRule="auto"/>
        <w:tabs>
          <w:tab w:leader="none" w:pos="1153"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Termination of employment as an Eligible Employee for any reason, including death, shall be treated as an automatic withdrawal from the Plan under Section 6(a). A transfer from one Participating Company to another shall not be treated as a termination of employment.</w:t>
      </w:r>
    </w:p>
    <w:p>
      <w:pPr>
        <w:spacing w:after="0" w:line="200" w:lineRule="exact"/>
        <w:rPr>
          <w:rFonts w:ascii="Arial" w:cs="Arial" w:eastAsia="Arial" w:hAnsi="Arial"/>
          <w:sz w:val="16"/>
          <w:szCs w:val="16"/>
          <w:color w:val="auto"/>
        </w:rPr>
      </w:pPr>
    </w:p>
    <w:p>
      <w:pPr>
        <w:ind w:left="820" w:right="680" w:hanging="4"/>
        <w:spacing w:after="0" w:line="267" w:lineRule="auto"/>
        <w:tabs>
          <w:tab w:leader="none" w:pos="1153"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Leave of Absence</w:t>
      </w:r>
      <w:r>
        <w:rPr>
          <w:rFonts w:ascii="Arial" w:cs="Arial" w:eastAsia="Arial" w:hAnsi="Arial"/>
          <w:sz w:val="16"/>
          <w:szCs w:val="16"/>
          <w:color w:val="auto"/>
        </w:rPr>
        <w:t>. For purposes of the Plan, employment shall not be deemed to terminate when the Participant goes on a military leave, a sick leave or another bona fide leave of absence, if the leave was approved by the Company in writing. Employment, however, shall be deemed to terminate three (3) months after the Participant goes on a leave, unless a contract or statute guarantees his or her right to return to work. Employment shall be deemed to terminate in any event when the approved leave ends, unless the Participant immediately returns to work.</w:t>
      </w:r>
    </w:p>
    <w:p>
      <w:pPr>
        <w:spacing w:after="0" w:line="205" w:lineRule="exact"/>
        <w:rPr>
          <w:rFonts w:ascii="Arial" w:cs="Arial" w:eastAsia="Arial" w:hAnsi="Arial"/>
          <w:sz w:val="16"/>
          <w:szCs w:val="16"/>
          <w:color w:val="auto"/>
        </w:rPr>
      </w:pPr>
    </w:p>
    <w:p>
      <w:pPr>
        <w:ind w:left="820" w:right="1480" w:hanging="4"/>
        <w:spacing w:after="0" w:line="278" w:lineRule="auto"/>
        <w:tabs>
          <w:tab w:leader="none" w:pos="1144"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Death</w:t>
      </w:r>
      <w:r>
        <w:rPr>
          <w:rFonts w:ascii="Arial" w:cs="Arial" w:eastAsia="Arial" w:hAnsi="Arial"/>
          <w:sz w:val="16"/>
          <w:szCs w:val="16"/>
          <w:color w:val="auto"/>
        </w:rPr>
        <w:t>. In the event of the Participant’s death, the amount credited to his or her Plan Account shall be paid to the Participant’s estate.</w:t>
      </w:r>
    </w:p>
    <w:p>
      <w:pPr>
        <w:spacing w:after="0" w:line="208"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6"/>
          <w:szCs w:val="16"/>
          <w:u w:val="single" w:color="auto"/>
          <w:color w:val="auto"/>
        </w:rPr>
        <w:t>SECTION 8</w:t>
      </w:r>
      <w:r>
        <w:rPr>
          <w:sz w:val="20"/>
          <w:szCs w:val="20"/>
          <w:color w:val="auto"/>
        </w:rPr>
        <w:tab/>
      </w:r>
      <w:r>
        <w:rPr>
          <w:rFonts w:ascii="Arial" w:cs="Arial" w:eastAsia="Arial" w:hAnsi="Arial"/>
          <w:sz w:val="16"/>
          <w:szCs w:val="16"/>
          <w:u w:val="single" w:color="auto"/>
          <w:color w:val="auto"/>
        </w:rPr>
        <w:t>Plan Accounts and Purchase of Shares</w:t>
      </w:r>
      <w:r>
        <w:rPr>
          <w:rFonts w:ascii="Arial" w:cs="Arial" w:eastAsia="Arial" w:hAnsi="Arial"/>
          <w:sz w:val="16"/>
          <w:szCs w:val="16"/>
          <w:color w:val="auto"/>
        </w:rPr>
        <w:t>.</w:t>
      </w:r>
    </w:p>
    <w:p>
      <w:pPr>
        <w:spacing w:after="0" w:line="235" w:lineRule="exact"/>
        <w:rPr>
          <w:sz w:val="20"/>
          <w:szCs w:val="20"/>
          <w:color w:val="auto"/>
        </w:rPr>
      </w:pPr>
    </w:p>
    <w:p>
      <w:pPr>
        <w:ind w:left="820" w:right="820" w:hanging="4"/>
        <w:spacing w:after="0" w:line="268" w:lineRule="auto"/>
        <w:tabs>
          <w:tab w:leader="none" w:pos="1153"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Plan Accounts</w:t>
      </w:r>
      <w:r>
        <w:rPr>
          <w:rFonts w:ascii="Arial" w:cs="Arial" w:eastAsia="Arial" w:hAnsi="Arial"/>
          <w:sz w:val="16"/>
          <w:szCs w:val="16"/>
          <w:color w:val="auto"/>
        </w:rPr>
        <w:t>. The Company shall maintain a Plan Account on its books in the name of each Participant. Whenever an amount is deducted from the Participant’s Compensation under the Plan, such amount shall be credited to the Participant’s Plan Account. Amounts credited to Plan Accounts shall not be trust funds and may be commingled with the Company’s general assets and applied to general corporate purposes. No interest shall be credited to Plan Accounts.</w:t>
      </w:r>
    </w:p>
    <w:p>
      <w:pPr>
        <w:spacing w:after="0" w:line="217" w:lineRule="exact"/>
        <w:rPr>
          <w:rFonts w:ascii="Arial" w:cs="Arial" w:eastAsia="Arial" w:hAnsi="Arial"/>
          <w:sz w:val="16"/>
          <w:szCs w:val="16"/>
          <w:color w:val="auto"/>
        </w:rPr>
      </w:pPr>
    </w:p>
    <w:p>
      <w:pPr>
        <w:ind w:left="1140" w:hanging="324"/>
        <w:spacing w:after="0"/>
        <w:tabs>
          <w:tab w:leader="none" w:pos="1140"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Purchase Price</w:t>
      </w:r>
      <w:r>
        <w:rPr>
          <w:rFonts w:ascii="Arial" w:cs="Arial" w:eastAsia="Arial" w:hAnsi="Arial"/>
          <w:sz w:val="16"/>
          <w:szCs w:val="16"/>
          <w:color w:val="auto"/>
        </w:rPr>
        <w:t>.  The Purchase Price for each share of Stock purchased during an Offering Period shall be the lesser of:</w:t>
      </w:r>
    </w:p>
    <w:p>
      <w:pPr>
        <w:spacing w:after="0" w:line="248" w:lineRule="exact"/>
        <w:rPr>
          <w:rFonts w:ascii="Arial" w:cs="Arial" w:eastAsia="Arial" w:hAnsi="Arial"/>
          <w:sz w:val="16"/>
          <w:szCs w:val="16"/>
          <w:color w:val="auto"/>
        </w:rPr>
      </w:pPr>
    </w:p>
    <w:p>
      <w:pPr>
        <w:ind w:left="1260" w:hanging="282"/>
        <w:spacing w:after="0"/>
        <w:tabs>
          <w:tab w:leader="none" w:pos="1260" w:val="left"/>
        </w:tabs>
        <w:numPr>
          <w:ilvl w:val="1"/>
          <w:numId w:val="95"/>
        </w:numPr>
        <w:rPr>
          <w:rFonts w:ascii="Arial" w:cs="Arial" w:eastAsia="Arial" w:hAnsi="Arial"/>
          <w:sz w:val="16"/>
          <w:szCs w:val="16"/>
          <w:color w:val="auto"/>
        </w:rPr>
      </w:pPr>
      <w:r>
        <w:rPr>
          <w:rFonts w:ascii="Arial" w:cs="Arial" w:eastAsia="Arial" w:hAnsi="Arial"/>
          <w:sz w:val="16"/>
          <w:szCs w:val="16"/>
          <w:color w:val="auto"/>
        </w:rPr>
        <w:t>eighty-five percent (85%) of the Fair Market Value of such share on the Purchase Date; or</w:t>
      </w:r>
    </w:p>
    <w:p>
      <w:pPr>
        <w:spacing w:after="0" w:line="248" w:lineRule="exact"/>
        <w:rPr>
          <w:rFonts w:ascii="Arial" w:cs="Arial" w:eastAsia="Arial" w:hAnsi="Arial"/>
          <w:sz w:val="16"/>
          <w:szCs w:val="16"/>
          <w:color w:val="auto"/>
        </w:rPr>
      </w:pPr>
    </w:p>
    <w:p>
      <w:pPr>
        <w:ind w:left="1300" w:hanging="322"/>
        <w:spacing w:after="0"/>
        <w:tabs>
          <w:tab w:leader="none" w:pos="1300" w:val="left"/>
        </w:tabs>
        <w:numPr>
          <w:ilvl w:val="1"/>
          <w:numId w:val="95"/>
        </w:numPr>
        <w:rPr>
          <w:rFonts w:ascii="Arial" w:cs="Arial" w:eastAsia="Arial" w:hAnsi="Arial"/>
          <w:sz w:val="16"/>
          <w:szCs w:val="16"/>
          <w:color w:val="auto"/>
        </w:rPr>
      </w:pPr>
      <w:r>
        <w:rPr>
          <w:rFonts w:ascii="Arial" w:cs="Arial" w:eastAsia="Arial" w:hAnsi="Arial"/>
          <w:sz w:val="16"/>
          <w:szCs w:val="16"/>
          <w:color w:val="auto"/>
        </w:rPr>
        <w:t>eighty-five percent (85%) of the Fair Market Value of such share on the Offering Date.</w:t>
      </w:r>
    </w:p>
    <w:p>
      <w:pPr>
        <w:spacing w:after="0" w:line="235" w:lineRule="exact"/>
        <w:rPr>
          <w:sz w:val="20"/>
          <w:szCs w:val="20"/>
          <w:color w:val="auto"/>
        </w:rPr>
      </w:pPr>
    </w:p>
    <w:p>
      <w:pPr>
        <w:ind w:left="660" w:right="700"/>
        <w:spacing w:after="0" w:line="271" w:lineRule="auto"/>
        <w:rPr>
          <w:sz w:val="20"/>
          <w:szCs w:val="20"/>
          <w:color w:val="auto"/>
        </w:rPr>
      </w:pPr>
      <w:r>
        <w:rPr>
          <w:rFonts w:ascii="Arial" w:cs="Arial" w:eastAsia="Arial" w:hAnsi="Arial"/>
          <w:sz w:val="16"/>
          <w:szCs w:val="16"/>
          <w:color w:val="auto"/>
        </w:rPr>
        <w:t>The Committee may specify for an alternate Purchase Price amount or formula in the terms and conditions of an Offering, but in no event may such amount or formula result in a Purchase Price less than that calculated pursuant to the immediately preceding formula.</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840" w:type="dxa"/>
            <w:vAlign w:val="bottom"/>
          </w:tcPr>
          <w:p>
            <w:pPr>
              <w:ind w:left="660"/>
              <w:spacing w:after="0"/>
              <w:rPr>
                <w:sz w:val="20"/>
                <w:szCs w:val="20"/>
                <w:color w:val="auto"/>
              </w:rPr>
            </w:pPr>
            <w:r>
              <w:rPr>
                <w:rFonts w:ascii="Arial" w:cs="Arial" w:eastAsia="Arial" w:hAnsi="Arial"/>
                <w:sz w:val="13"/>
                <w:szCs w:val="13"/>
                <w:color w:val="auto"/>
              </w:rPr>
              <w:t>2022 Proxy Statement</w:t>
            </w:r>
          </w:p>
        </w:tc>
        <w:tc>
          <w:tcPr>
            <w:tcW w:w="4880" w:type="dxa"/>
            <w:vAlign w:val="bottom"/>
          </w:tcPr>
          <w:p>
            <w:pPr>
              <w:ind w:left="3920"/>
              <w:spacing w:after="0"/>
              <w:rPr>
                <w:sz w:val="20"/>
                <w:szCs w:val="20"/>
                <w:color w:val="auto"/>
              </w:rPr>
            </w:pPr>
            <w:r>
              <w:rPr>
                <w:rFonts w:ascii="Arial" w:cs="Arial" w:eastAsia="Arial" w:hAnsi="Arial"/>
                <w:sz w:val="13"/>
                <w:szCs w:val="13"/>
                <w:b w:val="1"/>
                <w:bCs w:val="1"/>
                <w:color w:val="auto"/>
              </w:rPr>
              <w:t>A-23</w:t>
            </w:r>
          </w:p>
        </w:tc>
      </w:tr>
      <w:tr>
        <w:trPr>
          <w:trHeight w:val="172"/>
        </w:trPr>
        <w:tc>
          <w:tcPr>
            <w:tcW w:w="5840" w:type="dxa"/>
            <w:vAlign w:val="bottom"/>
            <w:tcBorders>
              <w:bottom w:val="single" w:sz="8" w:color="9A9A9A"/>
            </w:tcBorders>
          </w:tcPr>
          <w:p>
            <w:pPr>
              <w:spacing w:after="0"/>
              <w:rPr>
                <w:sz w:val="14"/>
                <w:szCs w:val="14"/>
                <w:color w:val="auto"/>
              </w:rPr>
            </w:pPr>
          </w:p>
        </w:tc>
        <w:tc>
          <w:tcPr>
            <w:tcW w:w="488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09" w:name="page110"/>
    <w:bookmarkEnd w:id="109"/>
    <w:p>
      <w:pPr>
        <w:spacing w:after="0"/>
        <w:rPr>
          <w:rFonts w:ascii="Arial" w:cs="Arial" w:eastAsia="Arial" w:hAnsi="Arial"/>
          <w:sz w:val="14"/>
          <w:szCs w:val="14"/>
          <w:color w:val="003366"/>
        </w:rPr>
      </w:pPr>
      <w:hyperlink w:anchor="page10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20" w:right="60" w:hanging="4"/>
        <w:spacing w:after="0" w:line="265" w:lineRule="auto"/>
        <w:tabs>
          <w:tab w:leader="none" w:pos="1144"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Number of Shares Purchased</w:t>
      </w:r>
      <w:r>
        <w:rPr>
          <w:rFonts w:ascii="Arial" w:cs="Arial" w:eastAsia="Arial" w:hAnsi="Arial"/>
          <w:sz w:val="16"/>
          <w:szCs w:val="16"/>
          <w:color w:val="auto"/>
        </w:rPr>
        <w:t>. As of each Purchase Date, each Participant shall be deemed to have elected to purchase the number of shares of Stock calculated in accordance with this Subsection (c), unless the Participant has previously elected to withdraw from the Plan in accordance with Section 6(a). The amount then in the Participant’s Plan Account shall be divided by the Purchase Price, and the number of shares that results shall be purchased from the Company with the funds in the Participant’s Plan Account. Unless provided otherwise by the Committee prior to commencement of an Offering, the maximum number of shares of Stock which may be purchased by an individual Participant during such Offering is 25,000 shares. The foregoing notwithstanding, no Participant shall purchase more than such number of shares of Stock as may be determined by the Committee with respect to the Offering Period, or Purchase Period, if applicable, nor more than the amounts of Stock set forth in Sections 9(b) and 14(a). For each Offering Period and, if applicable, Purchase Period, the Committee shall have the authority to establish additional limits on the number of shares purchasable by all Participants in the aggregate.</w:t>
      </w:r>
    </w:p>
    <w:p>
      <w:pPr>
        <w:spacing w:after="0" w:line="209" w:lineRule="exact"/>
        <w:rPr>
          <w:rFonts w:ascii="Arial" w:cs="Arial" w:eastAsia="Arial" w:hAnsi="Arial"/>
          <w:sz w:val="16"/>
          <w:szCs w:val="16"/>
          <w:color w:val="auto"/>
        </w:rPr>
      </w:pPr>
    </w:p>
    <w:p>
      <w:pPr>
        <w:ind w:left="820" w:right="220" w:hanging="4"/>
        <w:spacing w:after="0" w:line="266" w:lineRule="auto"/>
        <w:tabs>
          <w:tab w:leader="none" w:pos="1153"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Available Shares Insufficient</w:t>
      </w:r>
      <w:r>
        <w:rPr>
          <w:rFonts w:ascii="Arial" w:cs="Arial" w:eastAsia="Arial" w:hAnsi="Arial"/>
          <w:sz w:val="16"/>
          <w:szCs w:val="16"/>
          <w:color w:val="auto"/>
        </w:rPr>
        <w:t>. In the event that the aggregate number of shares that all Participants elect to purchase during an Offering Period exceeds the maximum number of shares remaining available for issuance under Section 14(a), or which may be purchased pursuant to any additional aggregate limits imposed by the Committee, then the number of shares to which each Participant is entitled shall be determined by multiplying the number of shares available for issuance by a fraction, the numerator of which is the number of shares that such Participant has elected to purchase and the denominator of which is the number of shares that all Participants have elected to purchase.</w:t>
      </w:r>
    </w:p>
    <w:p>
      <w:pPr>
        <w:spacing w:after="0" w:line="207" w:lineRule="exact"/>
        <w:rPr>
          <w:rFonts w:ascii="Arial" w:cs="Arial" w:eastAsia="Arial" w:hAnsi="Arial"/>
          <w:sz w:val="16"/>
          <w:szCs w:val="16"/>
          <w:color w:val="auto"/>
        </w:rPr>
      </w:pPr>
    </w:p>
    <w:p>
      <w:pPr>
        <w:ind w:left="820" w:right="60" w:hanging="4"/>
        <w:spacing w:after="0" w:line="267" w:lineRule="auto"/>
        <w:tabs>
          <w:tab w:leader="none" w:pos="1153"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Issuance of Stock</w:t>
      </w:r>
      <w:r>
        <w:rPr>
          <w:rFonts w:ascii="Arial" w:cs="Arial" w:eastAsia="Arial" w:hAnsi="Arial"/>
          <w:sz w:val="16"/>
          <w:szCs w:val="16"/>
          <w:color w:val="auto"/>
        </w:rPr>
        <w:t>. Certificates representing the shares of Stock purchased by a Participant under the Plan shall be issued to him or her as soon as reasonably practicable after the applicable Purchase Date, except that the Company may determine that such shares shall be held for each Participant’s benefit by a broker designated by the Company. Shares may be registered in the name of the Participant or jointly in the name of the Participant and his or her spouse as joint tenants with right of survivorship or as community property.</w:t>
      </w:r>
    </w:p>
    <w:p>
      <w:pPr>
        <w:spacing w:after="0" w:line="205" w:lineRule="exact"/>
        <w:rPr>
          <w:rFonts w:ascii="Arial" w:cs="Arial" w:eastAsia="Arial" w:hAnsi="Arial"/>
          <w:sz w:val="16"/>
          <w:szCs w:val="16"/>
          <w:color w:val="auto"/>
        </w:rPr>
      </w:pPr>
    </w:p>
    <w:p>
      <w:pPr>
        <w:ind w:left="820" w:right="20" w:hanging="4"/>
        <w:spacing w:after="0" w:line="267" w:lineRule="auto"/>
        <w:tabs>
          <w:tab w:leader="none" w:pos="1108"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Unused Cash Balances</w:t>
      </w:r>
      <w:r>
        <w:rPr>
          <w:rFonts w:ascii="Arial" w:cs="Arial" w:eastAsia="Arial" w:hAnsi="Arial"/>
          <w:sz w:val="16"/>
          <w:szCs w:val="16"/>
          <w:color w:val="auto"/>
        </w:rPr>
        <w:t>. An amount remaining in the Participant’s Plan Account that represents the Purchase Price for any fractional share shall be carried over in the Participant’s Plan Account to the next Offering Period or refunded to the Participant in cash at the end of the Offering Period, without interest, if his or her participation is not continued. Any amount remaining in the Participant’s Plan Account that represents the Purchase Price for whole shares that could not be purchased by reason of Subsection (c) or (d) above, Section 9(b) or Section 14(a) shall be refunded to the Participant in cash, without interest.</w:t>
      </w:r>
    </w:p>
    <w:p>
      <w:pPr>
        <w:spacing w:after="0" w:line="205" w:lineRule="exact"/>
        <w:rPr>
          <w:rFonts w:ascii="Arial" w:cs="Arial" w:eastAsia="Arial" w:hAnsi="Arial"/>
          <w:sz w:val="16"/>
          <w:szCs w:val="16"/>
          <w:color w:val="auto"/>
        </w:rPr>
      </w:pPr>
    </w:p>
    <w:p>
      <w:pPr>
        <w:jc w:val="both"/>
        <w:ind w:left="820" w:right="20" w:hanging="4"/>
        <w:spacing w:after="0" w:line="271" w:lineRule="auto"/>
        <w:tabs>
          <w:tab w:leader="none" w:pos="1153"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Stockholder Approval</w:t>
      </w:r>
      <w:r>
        <w:rPr>
          <w:rFonts w:ascii="Arial" w:cs="Arial" w:eastAsia="Arial" w:hAnsi="Arial"/>
          <w:sz w:val="16"/>
          <w:szCs w:val="16"/>
          <w:color w:val="auto"/>
        </w:rPr>
        <w:t>. The Plan shall be submitted to the stockholders of the Company for their approval within twelve (12) months after the date the Plan is adopted by the Board. Any other provision of the Plan notwithstanding, no shares of Stock shall be purchased under the Plan unless and until the stockholders have approved the adoption of the Plan.</w:t>
      </w:r>
    </w:p>
    <w:p>
      <w:pPr>
        <w:spacing w:after="0" w:line="214"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6"/>
          <w:szCs w:val="16"/>
          <w:u w:val="single" w:color="auto"/>
          <w:color w:val="auto"/>
        </w:rPr>
        <w:t>SECTION 9</w:t>
        <w:tab/>
        <w:t>Limitations on Stock Ownership.</w:t>
      </w:r>
    </w:p>
    <w:p>
      <w:pPr>
        <w:spacing w:after="0" w:line="235" w:lineRule="exact"/>
        <w:rPr>
          <w:sz w:val="20"/>
          <w:szCs w:val="20"/>
          <w:color w:val="auto"/>
        </w:rPr>
      </w:pPr>
    </w:p>
    <w:p>
      <w:pPr>
        <w:ind w:left="820" w:right="140" w:hanging="4"/>
        <w:spacing w:after="0" w:line="268" w:lineRule="auto"/>
        <w:tabs>
          <w:tab w:leader="none" w:pos="1153"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Five Percent Limit</w:t>
      </w:r>
      <w:r>
        <w:rPr>
          <w:rFonts w:ascii="Arial" w:cs="Arial" w:eastAsia="Arial" w:hAnsi="Arial"/>
          <w:sz w:val="16"/>
          <w:szCs w:val="16"/>
          <w:color w:val="auto"/>
        </w:rPr>
        <w:t>. Any other provision of the Plan notwithstanding, no Participant shall be granted a right to purchase Stock under the Plan if such Participant, immediately after his or her election to purchase such Stock, would own stock possessing five percent (5%) or more of the total combined voting power or value of all classes of stock of the Company or any parent or Subsidiary of the Company. For purposes of this Subsection (a), the following rules shall apply:</w:t>
      </w:r>
    </w:p>
    <w:p>
      <w:pPr>
        <w:spacing w:after="0" w:line="217" w:lineRule="exact"/>
        <w:rPr>
          <w:rFonts w:ascii="Arial" w:cs="Arial" w:eastAsia="Arial" w:hAnsi="Arial"/>
          <w:sz w:val="16"/>
          <w:szCs w:val="16"/>
          <w:color w:val="auto"/>
        </w:rPr>
      </w:pPr>
    </w:p>
    <w:p>
      <w:pPr>
        <w:ind w:left="1260" w:hanging="282"/>
        <w:spacing w:after="0"/>
        <w:tabs>
          <w:tab w:leader="none" w:pos="1260" w:val="left"/>
        </w:tabs>
        <w:numPr>
          <w:ilvl w:val="1"/>
          <w:numId w:val="97"/>
        </w:numPr>
        <w:rPr>
          <w:rFonts w:ascii="Arial" w:cs="Arial" w:eastAsia="Arial" w:hAnsi="Arial"/>
          <w:sz w:val="16"/>
          <w:szCs w:val="16"/>
          <w:color w:val="auto"/>
        </w:rPr>
      </w:pPr>
      <w:r>
        <w:rPr>
          <w:rFonts w:ascii="Arial" w:cs="Arial" w:eastAsia="Arial" w:hAnsi="Arial"/>
          <w:sz w:val="16"/>
          <w:szCs w:val="16"/>
          <w:color w:val="auto"/>
        </w:rPr>
        <w:t>Ownership of stock shall be determined after applying the attribution rules of section 424(d) of the Code;</w:t>
      </w:r>
    </w:p>
    <w:p>
      <w:pPr>
        <w:spacing w:after="0" w:line="234" w:lineRule="exact"/>
        <w:rPr>
          <w:rFonts w:ascii="Arial" w:cs="Arial" w:eastAsia="Arial" w:hAnsi="Arial"/>
          <w:sz w:val="16"/>
          <w:szCs w:val="16"/>
          <w:color w:val="auto"/>
        </w:rPr>
      </w:pPr>
    </w:p>
    <w:p>
      <w:pPr>
        <w:ind w:left="980" w:right="20" w:hanging="2"/>
        <w:spacing w:after="0" w:line="278" w:lineRule="auto"/>
        <w:tabs>
          <w:tab w:leader="none" w:pos="1295" w:val="left"/>
        </w:tabs>
        <w:numPr>
          <w:ilvl w:val="1"/>
          <w:numId w:val="97"/>
        </w:numPr>
        <w:rPr>
          <w:rFonts w:ascii="Arial" w:cs="Arial" w:eastAsia="Arial" w:hAnsi="Arial"/>
          <w:sz w:val="16"/>
          <w:szCs w:val="16"/>
          <w:color w:val="auto"/>
        </w:rPr>
      </w:pPr>
      <w:r>
        <w:rPr>
          <w:rFonts w:ascii="Arial" w:cs="Arial" w:eastAsia="Arial" w:hAnsi="Arial"/>
          <w:sz w:val="16"/>
          <w:szCs w:val="16"/>
          <w:color w:val="auto"/>
        </w:rPr>
        <w:t>Each Participant shall be deemed to own any stock that he or she has a right or option to purchase under this or any other plan; and</w:t>
      </w:r>
    </w:p>
    <w:p>
      <w:pPr>
        <w:spacing w:after="0" w:line="194" w:lineRule="exact"/>
        <w:rPr>
          <w:rFonts w:ascii="Arial" w:cs="Arial" w:eastAsia="Arial" w:hAnsi="Arial"/>
          <w:sz w:val="16"/>
          <w:szCs w:val="16"/>
          <w:color w:val="auto"/>
        </w:rPr>
      </w:pPr>
    </w:p>
    <w:p>
      <w:pPr>
        <w:ind w:left="980" w:right="100" w:hanging="2"/>
        <w:spacing w:after="0" w:line="271" w:lineRule="auto"/>
        <w:tabs>
          <w:tab w:leader="none" w:pos="1331" w:val="left"/>
        </w:tabs>
        <w:numPr>
          <w:ilvl w:val="1"/>
          <w:numId w:val="97"/>
        </w:numPr>
        <w:rPr>
          <w:rFonts w:ascii="Arial" w:cs="Arial" w:eastAsia="Arial" w:hAnsi="Arial"/>
          <w:sz w:val="16"/>
          <w:szCs w:val="16"/>
          <w:color w:val="auto"/>
        </w:rPr>
      </w:pPr>
      <w:r>
        <w:rPr>
          <w:rFonts w:ascii="Arial" w:cs="Arial" w:eastAsia="Arial" w:hAnsi="Arial"/>
          <w:sz w:val="16"/>
          <w:szCs w:val="16"/>
          <w:color w:val="auto"/>
        </w:rPr>
        <w:t>Each Participant shall be deemed to have the right to purchase up to the maximum number of shares of Stock that may be purchased by a Participant under the Plan under the individual limit specified pursuant to Section 8(c) with respect to each Offering Period.</w:t>
      </w:r>
    </w:p>
    <w:p>
      <w:pPr>
        <w:spacing w:after="0" w:line="200" w:lineRule="exact"/>
        <w:rPr>
          <w:rFonts w:ascii="Arial" w:cs="Arial" w:eastAsia="Arial" w:hAnsi="Arial"/>
          <w:sz w:val="16"/>
          <w:szCs w:val="16"/>
          <w:color w:val="auto"/>
        </w:rPr>
      </w:pPr>
    </w:p>
    <w:p>
      <w:pPr>
        <w:ind w:left="820" w:right="80" w:hanging="4"/>
        <w:spacing w:after="0" w:line="268" w:lineRule="auto"/>
        <w:tabs>
          <w:tab w:leader="none" w:pos="1153"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Dollar Limit</w:t>
      </w:r>
      <w:r>
        <w:rPr>
          <w:rFonts w:ascii="Arial" w:cs="Arial" w:eastAsia="Arial" w:hAnsi="Arial"/>
          <w:sz w:val="16"/>
          <w:szCs w:val="16"/>
          <w:color w:val="auto"/>
        </w:rPr>
        <w:t>. Any other provision of the Plan notwithstanding, no Participant shall accrue the right to purchase Stock at a rate which exceeds twenty-five thousand dollars ($25,000) of Fair Market Value of such Stock per calendar year (under the Plan and all other employee stock purchase plans of the Company or any parent or Subsidiary of the Company), determined in accordance with the provisions of Section 423(b)(8) of the Code and applicable Treasury Regulations promulgated thereunder.</w:t>
      </w:r>
    </w:p>
    <w:p>
      <w:pPr>
        <w:spacing w:after="0" w:line="204" w:lineRule="exact"/>
        <w:rPr>
          <w:sz w:val="20"/>
          <w:szCs w:val="20"/>
          <w:color w:val="auto"/>
        </w:rPr>
      </w:pPr>
    </w:p>
    <w:p>
      <w:pPr>
        <w:jc w:val="both"/>
        <w:ind w:left="660" w:right="100"/>
        <w:spacing w:after="0" w:line="278" w:lineRule="auto"/>
        <w:rPr>
          <w:sz w:val="20"/>
          <w:szCs w:val="20"/>
          <w:color w:val="auto"/>
        </w:rPr>
      </w:pPr>
      <w:r>
        <w:rPr>
          <w:rFonts w:ascii="Arial" w:cs="Arial" w:eastAsia="Arial" w:hAnsi="Arial"/>
          <w:sz w:val="16"/>
          <w:szCs w:val="16"/>
          <w:color w:val="auto"/>
        </w:rPr>
        <w:t>For purposes of this Subsection (b), the Fair Market Value of Stock shall be determined as of the beginning of the Offering Period in which such Stock is purchased. Employee stock purchase plans not described in Section 423 of the Code shall be disregarded.</w:t>
      </w:r>
    </w:p>
    <w:p>
      <w:pPr>
        <w:spacing w:after="0" w:line="373"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3"/>
          <w:szCs w:val="13"/>
          <w:b w:val="1"/>
          <w:bCs w:val="1"/>
          <w:color w:val="auto"/>
        </w:rPr>
        <w:t>A-24</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1" w:right="1279" w:bottom="1440" w:gutter="0" w:footer="0" w:header="0"/>
        </w:sectPr>
      </w:pPr>
    </w:p>
    <w:bookmarkStart w:id="110" w:name="page111"/>
    <w:bookmarkEnd w:id="110"/>
    <w:p>
      <w:pPr>
        <w:spacing w:after="0"/>
        <w:rPr>
          <w:rFonts w:ascii="Arial" w:cs="Arial" w:eastAsia="Arial" w:hAnsi="Arial"/>
          <w:sz w:val="14"/>
          <w:szCs w:val="14"/>
          <w:color w:val="003366"/>
        </w:rPr>
      </w:pPr>
      <w:hyperlink w:anchor="page10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60" w:right="1000"/>
        <w:spacing w:after="0" w:line="288" w:lineRule="auto"/>
        <w:rPr>
          <w:sz w:val="20"/>
          <w:szCs w:val="20"/>
          <w:color w:val="auto"/>
        </w:rPr>
      </w:pPr>
      <w:r>
        <w:rPr>
          <w:rFonts w:ascii="Arial" w:cs="Arial" w:eastAsia="Arial" w:hAnsi="Arial"/>
          <w:sz w:val="16"/>
          <w:szCs w:val="16"/>
          <w:color w:val="auto"/>
        </w:rPr>
        <w:t>If a Participant is precluded by this Subsection (b) from purchasing additional Stock under the Plan, then his or her employee contributions shall automatically be discontinued and shall resume at the beginning of the earliest Offering Period ending in the next calendar year (if he or she then is an Eligible Employee).</w:t>
      </w:r>
    </w:p>
    <w:p>
      <w:pPr>
        <w:spacing w:after="0" w:line="20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6"/>
          <w:szCs w:val="16"/>
          <w:u w:val="single" w:color="auto"/>
          <w:color w:val="auto"/>
        </w:rPr>
        <w:t>SECTION 10</w:t>
        <w:tab/>
        <w:t>Rights Not Transferable.</w:t>
      </w:r>
    </w:p>
    <w:p>
      <w:pPr>
        <w:spacing w:after="0" w:line="248" w:lineRule="exact"/>
        <w:rPr>
          <w:sz w:val="20"/>
          <w:szCs w:val="20"/>
          <w:color w:val="auto"/>
        </w:rPr>
      </w:pPr>
    </w:p>
    <w:p>
      <w:pPr>
        <w:ind w:left="660" w:right="680"/>
        <w:spacing w:after="0" w:line="285" w:lineRule="auto"/>
        <w:rPr>
          <w:sz w:val="20"/>
          <w:szCs w:val="20"/>
          <w:color w:val="auto"/>
        </w:rPr>
      </w:pPr>
      <w:r>
        <w:rPr>
          <w:rFonts w:ascii="Arial" w:cs="Arial" w:eastAsia="Arial" w:hAnsi="Arial"/>
          <w:sz w:val="16"/>
          <w:szCs w:val="16"/>
          <w:color w:val="auto"/>
        </w:rPr>
        <w:t>The rights of any Participant under the Plan, or any Participant’s interest in any Stock or moneys to which he or she may be entitled under the Plan, shall not be transferable by voluntary or involuntary assignment or by operation of law, or in any other manner other than by the laws of descent and distribution. If a Participant in any manner attempts to transfer, assign or otherwise encumber his or her rights or interest under the Plan, other than by the laws of descent and distribution, then such act shall be treated as an election by the Participant to withdraw from the Plan under Section 6(a).</w:t>
      </w:r>
    </w:p>
    <w:p>
      <w:pPr>
        <w:spacing w:after="0" w:line="20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6"/>
          <w:szCs w:val="16"/>
          <w:u w:val="single" w:color="auto"/>
          <w:color w:val="auto"/>
        </w:rPr>
        <w:t>SECTION 11</w:t>
        <w:tab/>
        <w:t>No Rights as An Employee.</w:t>
      </w:r>
    </w:p>
    <w:p>
      <w:pPr>
        <w:spacing w:after="0" w:line="248" w:lineRule="exact"/>
        <w:rPr>
          <w:sz w:val="20"/>
          <w:szCs w:val="20"/>
          <w:color w:val="auto"/>
        </w:rPr>
      </w:pPr>
    </w:p>
    <w:p>
      <w:pPr>
        <w:ind w:left="660" w:right="800"/>
        <w:spacing w:after="0" w:line="286" w:lineRule="auto"/>
        <w:rPr>
          <w:sz w:val="20"/>
          <w:szCs w:val="20"/>
          <w:color w:val="auto"/>
        </w:rPr>
      </w:pPr>
      <w:r>
        <w:rPr>
          <w:rFonts w:ascii="Arial" w:cs="Arial" w:eastAsia="Arial" w:hAnsi="Arial"/>
          <w:sz w:val="16"/>
          <w:szCs w:val="16"/>
          <w:color w:val="auto"/>
        </w:rPr>
        <w:t>Nothing in the Plan or in any right granted under the Plan shall confer upon the Participant any right to continue in the employ of a Participating Company for any period of specific duration or interfere with or otherwise restrict in any way the rights of the Participating Companies or of the Participant, which rights are hereby expressly reserved by each, to terminate his or her employment at any time and for any reason, with or without cause.</w:t>
      </w:r>
    </w:p>
    <w:p>
      <w:pPr>
        <w:spacing w:after="0" w:line="20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6"/>
          <w:szCs w:val="16"/>
          <w:u w:val="single" w:color="auto"/>
          <w:color w:val="auto"/>
        </w:rPr>
        <w:t>SECTION 12</w:t>
        <w:tab/>
        <w:t>No Rights as A Stockholder.</w:t>
      </w:r>
    </w:p>
    <w:p>
      <w:pPr>
        <w:spacing w:after="0" w:line="248" w:lineRule="exact"/>
        <w:rPr>
          <w:sz w:val="20"/>
          <w:szCs w:val="20"/>
          <w:color w:val="auto"/>
        </w:rPr>
      </w:pPr>
    </w:p>
    <w:p>
      <w:pPr>
        <w:ind w:left="660" w:right="760"/>
        <w:spacing w:after="0" w:line="295" w:lineRule="auto"/>
        <w:rPr>
          <w:sz w:val="20"/>
          <w:szCs w:val="20"/>
          <w:color w:val="auto"/>
        </w:rPr>
      </w:pPr>
      <w:r>
        <w:rPr>
          <w:rFonts w:ascii="Arial" w:cs="Arial" w:eastAsia="Arial" w:hAnsi="Arial"/>
          <w:sz w:val="16"/>
          <w:szCs w:val="16"/>
          <w:color w:val="auto"/>
        </w:rPr>
        <w:t>A Participant shall have no rights as a stockholder with respect to any shares of Stock that he or she may have a right to purchase under the Plan until such shares have been purchased on the applicable Purchase Date.</w:t>
      </w:r>
    </w:p>
    <w:p>
      <w:pPr>
        <w:spacing w:after="0" w:line="19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6"/>
          <w:szCs w:val="16"/>
          <w:u w:val="single" w:color="auto"/>
          <w:color w:val="auto"/>
        </w:rPr>
        <w:t>SECTION 13</w:t>
        <w:tab/>
        <w:t>Securities Law Requirements.</w:t>
      </w:r>
    </w:p>
    <w:p>
      <w:pPr>
        <w:spacing w:after="0" w:line="248" w:lineRule="exact"/>
        <w:rPr>
          <w:sz w:val="20"/>
          <w:szCs w:val="20"/>
          <w:color w:val="auto"/>
        </w:rPr>
      </w:pPr>
    </w:p>
    <w:p>
      <w:pPr>
        <w:ind w:left="660" w:right="960"/>
        <w:spacing w:after="0" w:line="286" w:lineRule="auto"/>
        <w:rPr>
          <w:sz w:val="20"/>
          <w:szCs w:val="20"/>
          <w:color w:val="auto"/>
        </w:rPr>
      </w:pPr>
      <w:r>
        <w:rPr>
          <w:rFonts w:ascii="Arial" w:cs="Arial" w:eastAsia="Arial" w:hAnsi="Arial"/>
          <w:sz w:val="16"/>
          <w:szCs w:val="16"/>
          <w:color w:val="auto"/>
        </w:rPr>
        <w:t>Shares of Stock shall not be issued under the Plan unless the issuance and delivery of such shares comply with (or are exempt from)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w:t>
      </w:r>
    </w:p>
    <w:p>
      <w:pPr>
        <w:spacing w:after="0" w:line="20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6"/>
          <w:szCs w:val="16"/>
          <w:u w:val="single" w:color="auto"/>
          <w:color w:val="auto"/>
        </w:rPr>
        <w:t>SECTION 14</w:t>
        <w:tab/>
        <w:t>Stock Offered Under the Plan.</w:t>
      </w:r>
    </w:p>
    <w:p>
      <w:pPr>
        <w:spacing w:after="0" w:line="248" w:lineRule="exact"/>
        <w:rPr>
          <w:sz w:val="20"/>
          <w:szCs w:val="20"/>
          <w:color w:val="auto"/>
        </w:rPr>
      </w:pPr>
    </w:p>
    <w:p>
      <w:pPr>
        <w:ind w:left="820" w:right="800" w:hanging="4"/>
        <w:spacing w:after="0" w:line="285" w:lineRule="auto"/>
        <w:tabs>
          <w:tab w:leader="none" w:pos="1153"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Authorized Shares</w:t>
      </w:r>
      <w:r>
        <w:rPr>
          <w:rFonts w:ascii="Arial" w:cs="Arial" w:eastAsia="Arial" w:hAnsi="Arial"/>
          <w:sz w:val="16"/>
          <w:szCs w:val="16"/>
          <w:color w:val="auto"/>
        </w:rPr>
        <w:t>. Unless otherwise determined by the Committee, the maximum aggregate number of Shares available for purchase under the Plan during any calendar year is two and a half million (2,500,000) Shares; provided, however, that the maximum aggregate number of Shares available for purchase under the Plan shall not exceed the limit set forth in Section 5 of the 2021 SIP. The aggregate number of shares available for purchase under the Plan shall at all times be subject to adjustment pursuant to Section 14(b).</w:t>
      </w:r>
    </w:p>
    <w:p>
      <w:pPr>
        <w:spacing w:after="0" w:line="203" w:lineRule="exact"/>
        <w:rPr>
          <w:rFonts w:ascii="Arial" w:cs="Arial" w:eastAsia="Arial" w:hAnsi="Arial"/>
          <w:sz w:val="16"/>
          <w:szCs w:val="16"/>
          <w:color w:val="auto"/>
        </w:rPr>
      </w:pPr>
    </w:p>
    <w:p>
      <w:pPr>
        <w:ind w:left="820" w:right="700" w:hanging="4"/>
        <w:spacing w:after="0" w:line="283" w:lineRule="auto"/>
        <w:tabs>
          <w:tab w:leader="none" w:pos="1153"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Antidilution Adjustments</w:t>
      </w:r>
      <w:r>
        <w:rPr>
          <w:rFonts w:ascii="Arial" w:cs="Arial" w:eastAsia="Arial" w:hAnsi="Arial"/>
          <w:sz w:val="16"/>
          <w:szCs w:val="16"/>
          <w:color w:val="auto"/>
        </w:rPr>
        <w:t>. The aggregate number of shares of Stock offered under the Plan, the individual and aggregate Participant share limitations described in Section 8(c) and the price of shares that any Participant has elected to purchase shall be adjusted proportionately by the Committee in the event of any change in the number of issued shares of Stock (or issuance of shares other than Common Shares) by reason of any forward or reverse share split, subdivision or consolidation, or share dividend or bonus issue, recapitalization, reclassification, merger, amalgamation, consolidation, split-up, spin-off, reorganization, combination, exchange of shares of Stock, the issuance of warrants or other rights to purchase shares of Stock or other securities, or any other change in corporate structure or in the event of any extraordinary distribution (whether in the form of cash, shares of Stock, other securities or other property).</w:t>
      </w:r>
    </w:p>
    <w:p>
      <w:pPr>
        <w:spacing w:after="0" w:line="208" w:lineRule="exact"/>
        <w:rPr>
          <w:rFonts w:ascii="Arial" w:cs="Arial" w:eastAsia="Arial" w:hAnsi="Arial"/>
          <w:sz w:val="16"/>
          <w:szCs w:val="16"/>
          <w:color w:val="auto"/>
        </w:rPr>
      </w:pPr>
    </w:p>
    <w:p>
      <w:pPr>
        <w:ind w:left="820" w:right="760" w:hanging="4"/>
        <w:spacing w:after="0" w:line="284" w:lineRule="auto"/>
        <w:tabs>
          <w:tab w:leader="none" w:pos="1144"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Reorganizations.</w:t>
      </w:r>
      <w:r>
        <w:rPr>
          <w:rFonts w:ascii="Arial" w:cs="Arial" w:eastAsia="Arial" w:hAnsi="Arial"/>
          <w:sz w:val="16"/>
          <w:szCs w:val="16"/>
          <w:color w:val="auto"/>
        </w:rPr>
        <w:t xml:space="preserve"> Any other provision of the Plan notwithstanding, in the event of a Corporate Reorganization in which the Plan is not assumed by the surviving corporation or its parent corporation pursuant to the applicable plan of merger or consolidation, the Offering Period then in progress shall terminate immediately prior to the effective time of such Corporate Reorganization and either shares shall be purchased pursuant to Section 8 or, if so determined by the Board or Committee, all amounts in all Participant Accounts shall be refunded pursuant to Section 15 without any purchase of shares. The Plan shall in no event be construed to restrict in any way the Company’s right to undertake a dissolution, liquidation, merger, consolidation or other reorganization.</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840" w:type="dxa"/>
            <w:vAlign w:val="bottom"/>
          </w:tcPr>
          <w:p>
            <w:pPr>
              <w:ind w:left="660"/>
              <w:spacing w:after="0"/>
              <w:rPr>
                <w:sz w:val="20"/>
                <w:szCs w:val="20"/>
                <w:color w:val="auto"/>
              </w:rPr>
            </w:pPr>
            <w:r>
              <w:rPr>
                <w:rFonts w:ascii="Arial" w:cs="Arial" w:eastAsia="Arial" w:hAnsi="Arial"/>
                <w:sz w:val="13"/>
                <w:szCs w:val="13"/>
                <w:color w:val="auto"/>
              </w:rPr>
              <w:t>2022 Proxy Statement</w:t>
            </w:r>
          </w:p>
        </w:tc>
        <w:tc>
          <w:tcPr>
            <w:tcW w:w="4880" w:type="dxa"/>
            <w:vAlign w:val="bottom"/>
          </w:tcPr>
          <w:p>
            <w:pPr>
              <w:ind w:left="3920"/>
              <w:spacing w:after="0"/>
              <w:rPr>
                <w:sz w:val="20"/>
                <w:szCs w:val="20"/>
                <w:color w:val="auto"/>
              </w:rPr>
            </w:pPr>
            <w:r>
              <w:rPr>
                <w:rFonts w:ascii="Arial" w:cs="Arial" w:eastAsia="Arial" w:hAnsi="Arial"/>
                <w:sz w:val="13"/>
                <w:szCs w:val="13"/>
                <w:b w:val="1"/>
                <w:bCs w:val="1"/>
                <w:color w:val="auto"/>
              </w:rPr>
              <w:t>A-25</w:t>
            </w:r>
          </w:p>
        </w:tc>
      </w:tr>
      <w:tr>
        <w:trPr>
          <w:trHeight w:val="172"/>
        </w:trPr>
        <w:tc>
          <w:tcPr>
            <w:tcW w:w="5840" w:type="dxa"/>
            <w:vAlign w:val="bottom"/>
            <w:tcBorders>
              <w:bottom w:val="single" w:sz="8" w:color="9A9A9A"/>
            </w:tcBorders>
          </w:tcPr>
          <w:p>
            <w:pPr>
              <w:spacing w:after="0"/>
              <w:rPr>
                <w:sz w:val="14"/>
                <w:szCs w:val="14"/>
                <w:color w:val="auto"/>
              </w:rPr>
            </w:pPr>
          </w:p>
        </w:tc>
        <w:tc>
          <w:tcPr>
            <w:tcW w:w="488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11" w:name="page112"/>
    <w:bookmarkEnd w:id="111"/>
    <w:p>
      <w:pPr>
        <w:spacing w:after="0"/>
        <w:rPr>
          <w:rFonts w:ascii="Arial" w:cs="Arial" w:eastAsia="Arial" w:hAnsi="Arial"/>
          <w:sz w:val="14"/>
          <w:szCs w:val="14"/>
          <w:color w:val="003366"/>
        </w:rPr>
      </w:pPr>
      <w:hyperlink w:anchor="page10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6"/>
          <w:szCs w:val="16"/>
          <w:u w:val="single" w:color="auto"/>
          <w:color w:val="auto"/>
        </w:rPr>
        <w:t>SECTION 15</w:t>
        <w:tab/>
        <w:t>Amendment or Discontinuance.</w:t>
      </w:r>
    </w:p>
    <w:p>
      <w:pPr>
        <w:spacing w:after="0" w:line="248" w:lineRule="exact"/>
        <w:rPr>
          <w:sz w:val="20"/>
          <w:szCs w:val="20"/>
          <w:color w:val="auto"/>
        </w:rPr>
      </w:pPr>
    </w:p>
    <w:p>
      <w:pPr>
        <w:ind w:left="660"/>
        <w:spacing w:after="0" w:line="283" w:lineRule="auto"/>
        <w:rPr>
          <w:sz w:val="20"/>
          <w:szCs w:val="20"/>
          <w:color w:val="auto"/>
        </w:rPr>
      </w:pPr>
      <w:r>
        <w:rPr>
          <w:rFonts w:ascii="Arial" w:cs="Arial" w:eastAsia="Arial" w:hAnsi="Arial"/>
          <w:sz w:val="16"/>
          <w:szCs w:val="16"/>
          <w:color w:val="auto"/>
        </w:rPr>
        <w:t>The Board or Committee shall have the right to amend, suspend or terminate the Plan at any time and without notice. Upon any such amendment, suspension or termination of the Plan during an Offering Period, the Board or Committee may in its discretion determine that the applicable Offering shall immediately terminate and that all amounts in the Participant Accounts shall be carried forward into a payroll deduction account for each Participant under a successor plan, if any, or promptly refunded to each Participant. Except as provided in Section 14, any increase in the aggregate number of shares of Stock to be issued under the Plan shall be subject to approval by a vote of the stockholders of the Company. In addition, any other amendment of the Plan shall be subject to approval by a vote of the stockholders of the Company to the extent required by an applicable law or regulation. The Plan shall continue until the earlier to occur of (a) termination of the Plan pursuant to this Section 15 or (b) issuance of all of the shares of Stock reserved for issuance under the Plan.</w:t>
      </w:r>
    </w:p>
    <w:p>
      <w:pPr>
        <w:spacing w:after="0" w:line="207"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6"/>
          <w:szCs w:val="16"/>
          <w:u w:val="single" w:color="auto"/>
          <w:color w:val="auto"/>
        </w:rPr>
        <w:t>SECTION 16</w:t>
        <w:tab/>
        <w:t>Execution.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record the adoption of the Plan by the Board, the Company has caused its authorized officer to execute the same.</w:t>
      </w:r>
    </w:p>
    <w:p>
      <w:pPr>
        <w:spacing w:after="0" w:line="248"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LUCID GROUP, INC.</w:t>
      </w:r>
    </w:p>
    <w:p>
      <w:pPr>
        <w:spacing w:after="0" w:line="248" w:lineRule="exact"/>
        <w:rPr>
          <w:sz w:val="20"/>
          <w:szCs w:val="20"/>
          <w:color w:val="auto"/>
        </w:rPr>
      </w:pPr>
    </w:p>
    <w:p>
      <w:pPr>
        <w:ind w:left="5520"/>
        <w:spacing w:after="0"/>
        <w:tabs>
          <w:tab w:leader="none" w:pos="60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Jonathan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3843020</wp:posOffset>
            </wp:positionH>
            <wp:positionV relativeFrom="paragraph">
              <wp:posOffset>19050</wp:posOffset>
            </wp:positionV>
            <wp:extent cx="253746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93"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Name: Jonathan Butler</w:t>
      </w:r>
    </w:p>
    <w:p>
      <w:pPr>
        <w:spacing w:after="0" w:line="86" w:lineRule="exact"/>
        <w:rPr>
          <w:sz w:val="20"/>
          <w:szCs w:val="20"/>
          <w:color w:val="auto"/>
        </w:rPr>
      </w:pPr>
    </w:p>
    <w:p>
      <w:pPr>
        <w:ind w:left="5520"/>
        <w:spacing w:after="0"/>
        <w:tabs>
          <w:tab w:leader="none" w:pos="6020" w:val="left"/>
        </w:tabs>
        <w:rPr>
          <w:sz w:val="20"/>
          <w:szCs w:val="20"/>
          <w:color w:val="auto"/>
        </w:rPr>
      </w:pPr>
      <w:r>
        <w:rPr>
          <w:rFonts w:ascii="Arial" w:cs="Arial" w:eastAsia="Arial" w:hAnsi="Arial"/>
          <w:sz w:val="16"/>
          <w:szCs w:val="16"/>
          <w:color w:val="auto"/>
        </w:rPr>
        <w:t>Title:</w:t>
        <w:tab/>
        <w:t>General Counsel and Secretary</w:t>
      </w:r>
    </w:p>
    <w:p>
      <w:pPr>
        <w:spacing w:after="0" w:line="86" w:lineRule="exact"/>
        <w:rPr>
          <w:sz w:val="20"/>
          <w:szCs w:val="20"/>
          <w:color w:val="auto"/>
        </w:rPr>
      </w:pPr>
    </w:p>
    <w:p>
      <w:pPr>
        <w:ind w:left="5520"/>
        <w:spacing w:after="0"/>
        <w:tabs>
          <w:tab w:leader="none" w:pos="6020" w:val="left"/>
        </w:tabs>
        <w:rPr>
          <w:sz w:val="20"/>
          <w:szCs w:val="20"/>
          <w:color w:val="auto"/>
        </w:rPr>
      </w:pPr>
      <w:r>
        <w:rPr>
          <w:rFonts w:ascii="Arial" w:cs="Arial" w:eastAsia="Arial" w:hAnsi="Arial"/>
          <w:sz w:val="16"/>
          <w:szCs w:val="16"/>
          <w:color w:val="auto"/>
        </w:rPr>
        <w:t>Date:</w:t>
        <w:tab/>
        <w:t>August 3, 2021</w:t>
      </w:r>
    </w:p>
    <w:p>
      <w:pPr>
        <w:sectPr>
          <w:pgSz w:w="11900" w:h="16838" w:orient="portrait"/>
          <w:cols w:equalWidth="0" w:num="1">
            <w:col w:w="10040"/>
          </w:cols>
          <w:pgMar w:left="580" w:top="131"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8780" w:val="left"/>
        </w:tabs>
        <w:rPr>
          <w:sz w:val="20"/>
          <w:szCs w:val="20"/>
          <w:color w:val="auto"/>
        </w:rPr>
      </w:pPr>
      <w:r>
        <w:rPr>
          <w:rFonts w:ascii="Arial" w:cs="Arial" w:eastAsia="Arial" w:hAnsi="Arial"/>
          <w:sz w:val="13"/>
          <w:szCs w:val="13"/>
          <w:b w:val="1"/>
          <w:bCs w:val="1"/>
          <w:color w:val="auto"/>
        </w:rPr>
        <w:t>A-26</w:t>
      </w:r>
      <w:r>
        <w:rPr>
          <w:sz w:val="20"/>
          <w:szCs w:val="20"/>
          <w:color w:val="auto"/>
        </w:rPr>
        <w:tab/>
      </w:r>
      <w:r>
        <w:rPr>
          <w:rFonts w:ascii="Arial" w:cs="Arial" w:eastAsia="Arial" w:hAnsi="Arial"/>
          <w:sz w:val="12"/>
          <w:szCs w:val="12"/>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131" w:right="1279" w:bottom="1440" w:gutter="0" w:footer="0" w:header="0"/>
          <w:type w:val="continuous"/>
        </w:sectPr>
      </w:pPr>
    </w:p>
    <w:bookmarkStart w:id="112" w:name="page113"/>
    <w:bookmarkEnd w:id="112"/>
    <w:p>
      <w:pPr>
        <w:spacing w:after="0"/>
        <w:rPr>
          <w:rFonts w:ascii="Arial" w:cs="Arial" w:eastAsia="Arial" w:hAnsi="Arial"/>
          <w:sz w:val="14"/>
          <w:szCs w:val="14"/>
          <w:color w:val="003366"/>
        </w:rPr>
      </w:pPr>
      <w:hyperlink w:anchor="page10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168275</wp:posOffset>
            </wp:positionV>
            <wp:extent cx="6831965" cy="87566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31965" cy="875665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3" w:name="page114"/>
    <w:bookmarkEnd w:id="113"/>
    <w:p>
      <w:pPr>
        <w:spacing w:after="0"/>
        <w:rPr>
          <w:rFonts w:ascii="Arial" w:cs="Arial" w:eastAsia="Arial" w:hAnsi="Arial"/>
          <w:sz w:val="14"/>
          <w:szCs w:val="14"/>
          <w:color w:val="003366"/>
        </w:rPr>
      </w:pPr>
      <w:hyperlink w:anchor="page10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31115</wp:posOffset>
            </wp:positionV>
            <wp:extent cx="6831965" cy="82251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31965" cy="8225155"/>
                    </a:xfrm>
                    <a:prstGeom prst="rect">
                      <a:avLst/>
                    </a:prstGeom>
                    <a:noFill/>
                  </pic:spPr>
                </pic:pic>
              </a:graphicData>
            </a:graphic>
          </wp:anchor>
        </w:drawing>
      </w:r>
    </w:p>
    <w:sectPr>
      <w:pgSz w:w="11900" w:h="16838" w:orient="portrait"/>
      <w:cols w:equalWidth="0" w:num="1">
        <w:col w:w="9879"/>
      </w:cols>
      <w:pgMar w:left="58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1."/>
      <w:numFmt w:val="decimal"/>
      <w:start w:val="1"/>
    </w:lvl>
  </w:abstractNum>
  <w:abstractNum w:abstractNumId="8">
    <w:nsid w:val="520EEDD1"/>
    <w:multiLevelType w:val="hybridMultilevel"/>
    <w:lvl w:ilvl="0">
      <w:lvlJc w:val="left"/>
      <w:lvlText w:val="1"/>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1)"/>
      <w:numFmt w:val="lowerRoman"/>
      <w:start w:val="5"/>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1)"/>
      <w:numFmt w:val="decimal"/>
      <w:start w:val="1"/>
    </w:lvl>
  </w:abstractNum>
  <w:abstractNum w:abstractNumId="21">
    <w:nsid w:val="741226BB"/>
    <w:multiLevelType w:val="hybridMultilevel"/>
    <w:lvl w:ilvl="0">
      <w:lvlJc w:val="left"/>
      <w:lvlText w:val="(%1)"/>
      <w:numFmt w:val="decimal"/>
      <w:start w:val="1"/>
    </w:lvl>
  </w:abstractNum>
  <w:abstractNum w:abstractNumId="22">
    <w:nsid w:val="D34B6A8"/>
    <w:multiLevelType w:val="hybridMultilevel"/>
    <w:lvl w:ilvl="0">
      <w:lvlJc w:val="left"/>
      <w:lvlText w:val="(%1)"/>
      <w:numFmt w:val="lowerRoman"/>
      <w:start w:val="2"/>
    </w:lvl>
  </w:abstractNum>
  <w:abstractNum w:abstractNumId="23">
    <w:nsid w:val="10233C99"/>
    <w:multiLevelType w:val="hybridMultilevel"/>
    <w:lvl w:ilvl="0">
      <w:lvlJc w:val="left"/>
      <w:lvlText w:val="(%1)"/>
      <w:numFmt w:val="lowerRoman"/>
      <w:start w:val="4"/>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1)"/>
      <w:numFmt w:val="decimal"/>
      <w:start w:val="1"/>
    </w:lvl>
  </w:abstractNum>
  <w:abstractNum w:abstractNumId="30">
    <w:nsid w:val="5FF87E05"/>
    <w:multiLevelType w:val="hybridMultilevel"/>
    <w:lvl w:ilvl="0">
      <w:lvlJc w:val="left"/>
      <w:lvlText w:val="(%1)"/>
      <w:numFmt w:val="decimal"/>
      <w:start w:val="1"/>
    </w:lvl>
  </w:abstractNum>
  <w:abstractNum w:abstractNumId="31">
    <w:nsid w:val="2F305DEF"/>
    <w:multiLevelType w:val="hybridMultilevel"/>
    <w:lvl w:ilvl="0">
      <w:lvlJc w:val="left"/>
      <w:lvlText w:val="(%1)"/>
      <w:numFmt w:val="lowerRoman"/>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
      <w:numFmt w:val="bullet"/>
      <w:start w:val="1"/>
    </w:lvl>
  </w:abstractNum>
  <w:abstractNum w:abstractNumId="35">
    <w:nsid w:val="1F48EAA1"/>
    <w:multiLevelType w:val="hybridMultilevel"/>
    <w:lvl w:ilvl="0">
      <w:lvlJc w:val="left"/>
      <w:lvlText w:val="■"/>
      <w:numFmt w:val="bullet"/>
      <w:start w:val="1"/>
    </w:lvl>
  </w:abstractNum>
  <w:abstractNum w:abstractNumId="36">
    <w:nsid w:val="1381823A"/>
    <w:multiLevelType w:val="hybridMultilevel"/>
    <w:lvl w:ilvl="0">
      <w:lvlJc w:val="left"/>
      <w:lvlText w:val="%1)"/>
      <w:numFmt w:val="decimal"/>
      <w:start w:val="1"/>
    </w:lvl>
  </w:abstractNum>
  <w:abstractNum w:abstractNumId="37">
    <w:nsid w:val="5DB70AE5"/>
    <w:multiLevelType w:val="hybridMultilevel"/>
    <w:lvl w:ilvl="0">
      <w:lvlJc w:val="left"/>
      <w:lvlText w:val="(%1)"/>
      <w:numFmt w:val="decimal"/>
      <w:start w:val="1"/>
    </w:lvl>
  </w:abstractNum>
  <w:abstractNum w:abstractNumId="38">
    <w:nsid w:val="100F8FCA"/>
    <w:multiLevelType w:val="hybridMultilevel"/>
    <w:lvl w:ilvl="0">
      <w:lvlJc w:val="left"/>
      <w:lvlText w:val="(%1)"/>
      <w:numFmt w:val="decimal"/>
      <w:start w:val="1"/>
    </w:lvl>
  </w:abstractNum>
  <w:abstractNum w:abstractNumId="39">
    <w:nsid w:val="6590700B"/>
    <w:multiLevelType w:val="hybridMultilevel"/>
    <w:lvl w:ilvl="0">
      <w:lvlJc w:val="left"/>
      <w:lvlText w:val="(%1)"/>
      <w:numFmt w:val="decimal"/>
      <w:start w:val="1"/>
    </w:lvl>
  </w:abstractNum>
  <w:abstractNum w:abstractNumId="40">
    <w:nsid w:val="15014ACB"/>
    <w:multiLevelType w:val="hybridMultilevel"/>
    <w:lvl w:ilvl="0">
      <w:lvlJc w:val="left"/>
      <w:lvlText w:val="(%1)"/>
      <w:numFmt w:val="decimal"/>
      <w:start w:val="1"/>
    </w:lvl>
  </w:abstractNum>
  <w:abstractNum w:abstractNumId="41">
    <w:nsid w:val="5F5E7FD0"/>
    <w:multiLevelType w:val="hybridMultilevel"/>
    <w:lvl w:ilvl="0">
      <w:lvlJc w:val="left"/>
      <w:lvlText w:val="(%1)"/>
      <w:numFmt w:val="decimal"/>
      <w:start w:val="1"/>
    </w:lvl>
  </w:abstractNum>
  <w:abstractNum w:abstractNumId="42">
    <w:nsid w:val="98A3148"/>
    <w:multiLevelType w:val="hybridMultilevel"/>
    <w:lvl w:ilvl="0">
      <w:lvlJc w:val="left"/>
      <w:lvlText w:val="(%1)"/>
      <w:numFmt w:val="decimal"/>
      <w:start w:val="2"/>
    </w:lvl>
  </w:abstractNum>
  <w:abstractNum w:abstractNumId="43">
    <w:nsid w:val="799D0247"/>
    <w:multiLevelType w:val="hybridMultilevel"/>
    <w:lvl w:ilvl="0">
      <w:lvlJc w:val="left"/>
      <w:lvlText w:val="(%1)"/>
      <w:numFmt w:val="decimal"/>
      <w:start w:val="1"/>
    </w:lvl>
  </w:abstractNum>
  <w:abstractNum w:abstractNumId="44">
    <w:nsid w:val="6B94764"/>
    <w:multiLevelType w:val="hybridMultilevel"/>
    <w:lvl w:ilvl="0">
      <w:lvlJc w:val="left"/>
      <w:lvlText w:val="■"/>
      <w:numFmt w:val="bullet"/>
      <w:start w:val="1"/>
    </w:lvl>
  </w:abstractNum>
  <w:abstractNum w:abstractNumId="45">
    <w:nsid w:val="42C296BD"/>
    <w:multiLevelType w:val="hybridMultilevel"/>
    <w:lvl w:ilvl="0">
      <w:lvlJc w:val="left"/>
      <w:lvlText w:val="(%1)"/>
      <w:numFmt w:val="decimal"/>
      <w:start w:val="1"/>
    </w:lvl>
  </w:abstractNum>
  <w:abstractNum w:abstractNumId="46">
    <w:nsid w:val="168E121F"/>
    <w:multiLevelType w:val="hybridMultilevel"/>
    <w:lvl w:ilvl="0">
      <w:lvlJc w:val="left"/>
      <w:lvlText w:val="(%1)"/>
      <w:numFmt w:val="decimal"/>
      <w:start w:val="1"/>
    </w:lvl>
  </w:abstractNum>
  <w:abstractNum w:abstractNumId="47">
    <w:nsid w:val="1EBA5D23"/>
    <w:multiLevelType w:val="hybridMultilevel"/>
    <w:lvl w:ilvl="0">
      <w:lvlJc w:val="left"/>
      <w:lvlText w:val="■"/>
      <w:numFmt w:val="bullet"/>
      <w:start w:val="1"/>
    </w:lvl>
  </w:abstractNum>
  <w:abstractNum w:abstractNumId="48">
    <w:nsid w:val="661E3F1E"/>
    <w:multiLevelType w:val="hybridMultilevel"/>
    <w:lvl w:ilvl="0">
      <w:lvlJc w:val="left"/>
      <w:lvlText w:val="(%1)"/>
      <w:numFmt w:val="decimal"/>
      <w:start w:val="1"/>
    </w:lvl>
  </w:abstractNum>
  <w:abstractNum w:abstractNumId="49">
    <w:nsid w:val="5DC79EA8"/>
    <w:multiLevelType w:val="hybridMultilevel"/>
    <w:lvl w:ilvl="0">
      <w:lvlJc w:val="left"/>
      <w:lvlText w:val="■"/>
      <w:numFmt w:val="bullet"/>
      <w:start w:val="1"/>
    </w:lvl>
  </w:abstractNum>
  <w:abstractNum w:abstractNumId="50">
    <w:nsid w:val="540A471C"/>
    <w:multiLevelType w:val="hybridMultilevel"/>
    <w:lvl w:ilvl="0">
      <w:lvlJc w:val="left"/>
      <w:lvlText w:val="(%1)"/>
      <w:numFmt w:val="lowerRoman"/>
      <w:start w:val="2"/>
    </w:lvl>
  </w:abstractNum>
  <w:abstractNum w:abstractNumId="51">
    <w:nsid w:val="7BD3EE7B"/>
    <w:multiLevelType w:val="hybridMultilevel"/>
    <w:lvl w:ilvl="0">
      <w:lvlJc w:val="left"/>
      <w:lvlText w:val="■"/>
      <w:numFmt w:val="bullet"/>
      <w:start w:val="1"/>
    </w:lvl>
  </w:abstractNum>
  <w:abstractNum w:abstractNumId="52">
    <w:nsid w:val="51D9C564"/>
    <w:multiLevelType w:val="hybridMultilevel"/>
    <w:lvl w:ilvl="0">
      <w:lvlJc w:val="left"/>
      <w:lvlText w:val="(%1)"/>
      <w:numFmt w:val="lowerLetter"/>
      <w:start w:val="1"/>
    </w:lvl>
  </w:abstractNum>
  <w:abstractNum w:abstractNumId="53">
    <w:nsid w:val="613EFDC5"/>
    <w:multiLevelType w:val="hybridMultilevel"/>
    <w:lvl w:ilvl="0">
      <w:lvlJc w:val="left"/>
      <w:lvlText w:val="(%1)"/>
      <w:numFmt w:val="lowerLetter"/>
      <w:start w:val="35"/>
    </w:lvl>
  </w:abstractNum>
  <w:abstractNum w:abstractNumId="54">
    <w:nsid w:val="BF72B14"/>
    <w:multiLevelType w:val="hybridMultilevel"/>
    <w:lvl w:ilvl="0">
      <w:lvlJc w:val="left"/>
      <w:lvlText w:val="(%1)"/>
      <w:numFmt w:val="lowerLetter"/>
      <w:start w:val="10"/>
    </w:lvl>
    <w:lvl w:ilvl="1">
      <w:lvlJc w:val="left"/>
      <w:lvlText w:val="(%2)"/>
      <w:numFmt w:val="lowerRoman"/>
      <w:start w:val="1"/>
    </w:lvl>
    <w:lvl w:ilvl="2">
      <w:lvlJc w:val="left"/>
      <w:lvlText w:val="(%3)"/>
      <w:numFmt w:val="upperLetter"/>
      <w:start w:val="1"/>
    </w:lvl>
  </w:abstractNum>
  <w:abstractNum w:abstractNumId="55">
    <w:nsid w:val="11447B73"/>
    <w:multiLevelType w:val="hybridMultilevel"/>
    <w:lvl w:ilvl="0">
      <w:lvlJc w:val="left"/>
      <w:lvlText w:val="(%1)"/>
      <w:numFmt w:val="lowerRoman"/>
      <w:start w:val="2"/>
    </w:lvl>
  </w:abstractNum>
  <w:abstractNum w:abstractNumId="56">
    <w:nsid w:val="42963E5A"/>
    <w:multiLevelType w:val="hybridMultilevel"/>
    <w:lvl w:ilvl="0">
      <w:lvlJc w:val="left"/>
      <w:lvlText w:val="(%1)"/>
      <w:numFmt w:val="lowerLetter"/>
      <w:start w:val="11"/>
    </w:lvl>
  </w:abstractNum>
  <w:abstractNum w:abstractNumId="57">
    <w:nsid w:val="A0382C5"/>
    <w:multiLevelType w:val="hybridMultilevel"/>
    <w:lvl w:ilvl="0">
      <w:lvlJc w:val="left"/>
      <w:lvlText w:val="(%1)"/>
      <w:numFmt w:val="lowerLetter"/>
      <w:start w:val="13"/>
    </w:lvl>
    <w:lvl w:ilvl="1">
      <w:lvlJc w:val="left"/>
      <w:lvlText w:val="(%2)"/>
      <w:numFmt w:val="lowerRoman"/>
      <w:start w:val="1"/>
    </w:lvl>
  </w:abstractNum>
  <w:abstractNum w:abstractNumId="58">
    <w:nsid w:val="8F2B15E"/>
    <w:multiLevelType w:val="hybridMultilevel"/>
    <w:lvl w:ilvl="0">
      <w:lvlJc w:val="left"/>
      <w:lvlText w:val="(%1)"/>
      <w:numFmt w:val="lowerLetter"/>
      <w:start w:val="22"/>
    </w:lvl>
  </w:abstractNum>
  <w:abstractNum w:abstractNumId="59">
    <w:nsid w:val="1A32234B"/>
    <w:multiLevelType w:val="hybridMultilevel"/>
    <w:lvl w:ilvl="0">
      <w:lvlJc w:val="left"/>
      <w:lvlText w:val="(%1)"/>
      <w:numFmt w:val="lowerLetter"/>
      <w:start w:val="28"/>
    </w:lvl>
  </w:abstractNum>
  <w:abstractNum w:abstractNumId="60">
    <w:nsid w:val="3B0FD379"/>
    <w:multiLevelType w:val="hybridMultilevel"/>
    <w:lvl w:ilvl="0">
      <w:lvlJc w:val="left"/>
      <w:lvlText w:val="(%1)"/>
      <w:numFmt w:val="lowerLetter"/>
      <w:start w:val="1"/>
    </w:lvl>
  </w:abstractNum>
  <w:abstractNum w:abstractNumId="61">
    <w:nsid w:val="68EB2F63"/>
    <w:multiLevelType w:val="hybridMultilevel"/>
    <w:lvl w:ilvl="0">
      <w:lvlJc w:val="left"/>
      <w:lvlText w:val="(%1)"/>
      <w:numFmt w:val="lowerLetter"/>
      <w:start w:val="3"/>
    </w:lvl>
    <w:lvl w:ilvl="1">
      <w:lvlJc w:val="left"/>
      <w:lvlText w:val="(%2)"/>
      <w:numFmt w:val="lowerRoman"/>
      <w:start w:val="1"/>
    </w:lvl>
  </w:abstractNum>
  <w:abstractNum w:abstractNumId="62">
    <w:nsid w:val="4962813B"/>
    <w:multiLevelType w:val="hybridMultilevel"/>
    <w:lvl w:ilvl="0">
      <w:lvlJc w:val="left"/>
      <w:lvlText w:val="(%1)"/>
      <w:numFmt w:val="lowerLetter"/>
      <w:start w:val="1"/>
    </w:lvl>
  </w:abstractNum>
  <w:abstractNum w:abstractNumId="63">
    <w:nsid w:val="60B6DF70"/>
    <w:multiLevelType w:val="hybridMultilevel"/>
    <w:lvl w:ilvl="0">
      <w:lvlJc w:val="left"/>
      <w:lvlText w:val="(%1)"/>
      <w:numFmt w:val="lowerLetter"/>
      <w:start w:val="2"/>
    </w:lvl>
  </w:abstractNum>
  <w:abstractNum w:abstractNumId="64">
    <w:nsid w:val="6A5EE64"/>
    <w:multiLevelType w:val="hybridMultilevel"/>
    <w:lvl w:ilvl="0">
      <w:lvlJc w:val="left"/>
      <w:lvlText w:val="(%1)"/>
      <w:numFmt w:val="lowerLetter"/>
      <w:start w:val="1"/>
    </w:lvl>
  </w:abstractNum>
  <w:abstractNum w:abstractNumId="65">
    <w:nsid w:val="14330624"/>
    <w:multiLevelType w:val="hybridMultilevel"/>
    <w:lvl w:ilvl="0">
      <w:lvlJc w:val="left"/>
      <w:lvlText w:val="(%1)"/>
      <w:numFmt w:val="lowerLetter"/>
      <w:start w:val="1"/>
    </w:lvl>
  </w:abstractNum>
  <w:abstractNum w:abstractNumId="66">
    <w:nsid w:val="7FFFCA11"/>
    <w:multiLevelType w:val="hybridMultilevel"/>
    <w:lvl w:ilvl="0">
      <w:lvlJc w:val="left"/>
      <w:lvlText w:val="(%1)"/>
      <w:numFmt w:val="lowerLetter"/>
      <w:start w:val="1"/>
    </w:lvl>
  </w:abstractNum>
  <w:abstractNum w:abstractNumId="67">
    <w:nsid w:val="1A27709E"/>
    <w:multiLevelType w:val="hybridMultilevel"/>
    <w:lvl w:ilvl="0">
      <w:lvlJc w:val="left"/>
      <w:lvlText w:val="(%1)"/>
      <w:numFmt w:val="lowerLetter"/>
      <w:start w:val="5"/>
    </w:lvl>
  </w:abstractNum>
  <w:abstractNum w:abstractNumId="68">
    <w:nsid w:val="71EA1109"/>
    <w:multiLevelType w:val="hybridMultilevel"/>
    <w:lvl w:ilvl="0">
      <w:lvlJc w:val="left"/>
      <w:lvlText w:val="(%1)"/>
      <w:numFmt w:val="lowerLetter"/>
      <w:start w:val="1"/>
    </w:lvl>
  </w:abstractNum>
  <w:abstractNum w:abstractNumId="69">
    <w:nsid w:val="100F59DC"/>
    <w:multiLevelType w:val="hybridMultilevel"/>
    <w:lvl w:ilvl="0">
      <w:lvlJc w:val="left"/>
      <w:lvlText w:val="(%1)"/>
      <w:numFmt w:val="lowerLetter"/>
      <w:start w:val="3"/>
    </w:lvl>
  </w:abstractNum>
  <w:abstractNum w:abstractNumId="70">
    <w:nsid w:val="7FB7E0AA"/>
    <w:multiLevelType w:val="hybridMultilevel"/>
    <w:lvl w:ilvl="0">
      <w:lvlJc w:val="left"/>
      <w:lvlText w:val="(%1)"/>
      <w:numFmt w:val="lowerLetter"/>
      <w:start w:val="1"/>
    </w:lvl>
  </w:abstractNum>
  <w:abstractNum w:abstractNumId="71">
    <w:nsid w:val="6EB5BD4"/>
    <w:multiLevelType w:val="hybridMultilevel"/>
    <w:lvl w:ilvl="0">
      <w:lvlJc w:val="left"/>
      <w:lvlText w:val="(%1)"/>
      <w:numFmt w:val="lowerLetter"/>
      <w:start w:val="6"/>
    </w:lvl>
  </w:abstractNum>
  <w:abstractNum w:abstractNumId="72">
    <w:nsid w:val="6F6DD9AC"/>
    <w:multiLevelType w:val="hybridMultilevel"/>
    <w:lvl w:ilvl="0">
      <w:lvlJc w:val="left"/>
      <w:lvlText w:val="(%1)"/>
      <w:numFmt w:val="lowerLetter"/>
      <w:start w:val="1"/>
    </w:lvl>
  </w:abstractNum>
  <w:abstractNum w:abstractNumId="73">
    <w:nsid w:val="94211F2"/>
    <w:multiLevelType w:val="hybridMultilevel"/>
    <w:lvl w:ilvl="0">
      <w:lvlJc w:val="left"/>
      <w:lvlText w:val="(%1)"/>
      <w:numFmt w:val="lowerLetter"/>
      <w:start w:val="7"/>
    </w:lvl>
  </w:abstractNum>
  <w:abstractNum w:abstractNumId="74">
    <w:nsid w:val="885E1B"/>
    <w:multiLevelType w:val="hybridMultilevel"/>
    <w:lvl w:ilvl="0">
      <w:lvlJc w:val="left"/>
      <w:lvlText w:val="(%1)"/>
      <w:numFmt w:val="lowerLetter"/>
      <w:start w:val="1"/>
    </w:lvl>
    <w:lvl w:ilvl="1">
      <w:lvlJc w:val="left"/>
      <w:lvlText w:val="(%2)"/>
      <w:numFmt w:val="lowerRoman"/>
      <w:start w:val="1"/>
    </w:lvl>
  </w:abstractNum>
  <w:abstractNum w:abstractNumId="75">
    <w:nsid w:val="76272110"/>
    <w:multiLevelType w:val="hybridMultilevel"/>
    <w:lvl w:ilvl="0">
      <w:lvlJc w:val="left"/>
      <w:lvlText w:val="(%1)"/>
      <w:numFmt w:val="lowerLetter"/>
      <w:start w:val="2"/>
    </w:lvl>
  </w:abstractNum>
  <w:abstractNum w:abstractNumId="76">
    <w:nsid w:val="4C04A8AF"/>
    <w:multiLevelType w:val="hybridMultilevel"/>
    <w:lvl w:ilvl="0">
      <w:lvlJc w:val="left"/>
      <w:lvlText w:val="(%1)"/>
      <w:numFmt w:val="lowerRoman"/>
      <w:start w:val="1"/>
    </w:lvl>
  </w:abstractNum>
  <w:abstractNum w:abstractNumId="77">
    <w:nsid w:val="1716703B"/>
    <w:multiLevelType w:val="hybridMultilevel"/>
    <w:lvl w:ilvl="0">
      <w:lvlJc w:val="left"/>
      <w:lvlText w:val="(%1)"/>
      <w:numFmt w:val="lowerLetter"/>
      <w:start w:val="4"/>
    </w:lvl>
  </w:abstractNum>
  <w:abstractNum w:abstractNumId="78">
    <w:nsid w:val="14E17E33"/>
    <w:multiLevelType w:val="hybridMultilevel"/>
    <w:lvl w:ilvl="0">
      <w:lvlJc w:val="left"/>
      <w:lvlText w:val="(%1)"/>
      <w:numFmt w:val="lowerLetter"/>
      <w:start w:val="1"/>
    </w:lvl>
    <w:lvl w:ilvl="1">
      <w:lvlJc w:val="left"/>
      <w:lvlText w:val="(%2)"/>
      <w:numFmt w:val="lowerRoman"/>
      <w:start w:val="1"/>
    </w:lvl>
  </w:abstractNum>
  <w:abstractNum w:abstractNumId="79">
    <w:nsid w:val="3222E7CD"/>
    <w:multiLevelType w:val="hybridMultilevel"/>
    <w:lvl w:ilvl="0">
      <w:lvlJc w:val="left"/>
      <w:lvlText w:val="(%1)"/>
      <w:numFmt w:val="lowerLetter"/>
      <w:start w:val="2"/>
    </w:lvl>
  </w:abstractNum>
  <w:abstractNum w:abstractNumId="80">
    <w:nsid w:val="74DE0EE3"/>
    <w:multiLevelType w:val="hybridMultilevel"/>
    <w:lvl w:ilvl="0">
      <w:lvlJc w:val="left"/>
      <w:lvlText w:val="(%1)"/>
      <w:numFmt w:val="lowerLetter"/>
      <w:start w:val="1"/>
    </w:lvl>
  </w:abstractNum>
  <w:abstractNum w:abstractNumId="81">
    <w:nsid w:val="68EBC550"/>
    <w:multiLevelType w:val="hybridMultilevel"/>
    <w:lvl w:ilvl="0">
      <w:lvlJc w:val="left"/>
      <w:lvlText w:val="(%1)"/>
      <w:numFmt w:val="lowerLetter"/>
      <w:start w:val="1"/>
    </w:lvl>
  </w:abstractNum>
  <w:abstractNum w:abstractNumId="82">
    <w:nsid w:val="2DF6D648"/>
    <w:multiLevelType w:val="hybridMultilevel"/>
    <w:lvl w:ilvl="0">
      <w:lvlJc w:val="left"/>
      <w:lvlText w:val="(%1)"/>
      <w:numFmt w:val="lowerLetter"/>
      <w:start w:val="1"/>
    </w:lvl>
  </w:abstractNum>
  <w:abstractNum w:abstractNumId="83">
    <w:nsid w:val="46B7D447"/>
    <w:multiLevelType w:val="hybridMultilevel"/>
    <w:lvl w:ilvl="0">
      <w:lvlJc w:val="left"/>
      <w:lvlText w:val="(%1)"/>
      <w:numFmt w:val="lowerLetter"/>
      <w:start w:val="1"/>
    </w:lvl>
    <w:lvl w:ilvl="1">
      <w:lvlJc w:val="left"/>
      <w:lvlText w:val="(%2)"/>
      <w:numFmt w:val="lowerRoman"/>
      <w:start w:val="1"/>
    </w:lvl>
  </w:abstractNum>
  <w:abstractNum w:abstractNumId="84">
    <w:nsid w:val="4A2AC315"/>
    <w:multiLevelType w:val="hybridMultilevel"/>
    <w:lvl w:ilvl="0">
      <w:lvlJc w:val="left"/>
      <w:lvlText w:val="(%1)"/>
      <w:numFmt w:val="lowerLetter"/>
      <w:start w:val="6"/>
    </w:lvl>
    <w:lvl w:ilvl="1">
      <w:lvlJc w:val="left"/>
      <w:lvlText w:val="(%2)"/>
      <w:numFmt w:val="lowerLetter"/>
      <w:start w:val="9"/>
    </w:lvl>
  </w:abstractNum>
  <w:abstractNum w:abstractNumId="85">
    <w:nsid w:val="39EE015C"/>
    <w:multiLevelType w:val="hybridMultilevel"/>
    <w:lvl w:ilvl="0">
      <w:lvlJc w:val="left"/>
      <w:lvlText w:val="(%1)"/>
      <w:numFmt w:val="lowerRoman"/>
      <w:start w:val="2"/>
    </w:lvl>
  </w:abstractNum>
  <w:abstractNum w:abstractNumId="86">
    <w:nsid w:val="57FC4FBB"/>
    <w:multiLevelType w:val="hybridMultilevel"/>
    <w:lvl w:ilvl="0">
      <w:lvlJc w:val="left"/>
      <w:lvlText w:val="(%1)"/>
      <w:numFmt w:val="lowerLetter"/>
      <w:start w:val="7"/>
    </w:lvl>
  </w:abstractNum>
  <w:abstractNum w:abstractNumId="87">
    <w:nsid w:val="CC1016F"/>
    <w:multiLevelType w:val="hybridMultilevel"/>
    <w:lvl w:ilvl="0">
      <w:lvlJc w:val="left"/>
      <w:lvlText w:val="(%1)"/>
      <w:numFmt w:val="lowerLetter"/>
      <w:start w:val="1"/>
    </w:lvl>
  </w:abstractNum>
  <w:abstractNum w:abstractNumId="88">
    <w:nsid w:val="43F18422"/>
    <w:multiLevelType w:val="hybridMultilevel"/>
    <w:lvl w:ilvl="0">
      <w:lvlJc w:val="left"/>
      <w:lvlText w:val="(%1)"/>
      <w:numFmt w:val="lowerLetter"/>
      <w:start w:val="2"/>
    </w:lvl>
  </w:abstractNum>
  <w:abstractNum w:abstractNumId="89">
    <w:nsid w:val="60EF0119"/>
    <w:multiLevelType w:val="hybridMultilevel"/>
    <w:lvl w:ilvl="0">
      <w:lvlJc w:val="left"/>
      <w:lvlText w:val="(%1)"/>
      <w:numFmt w:val="lowerLetter"/>
      <w:start w:val="1"/>
    </w:lvl>
  </w:abstractNum>
  <w:abstractNum w:abstractNumId="90">
    <w:nsid w:val="26F324BA"/>
    <w:multiLevelType w:val="hybridMultilevel"/>
    <w:lvl w:ilvl="0">
      <w:lvlJc w:val="left"/>
      <w:lvlText w:val="(%1)"/>
      <w:numFmt w:val="lowerLetter"/>
      <w:start w:val="1"/>
    </w:lvl>
  </w:abstractNum>
  <w:abstractNum w:abstractNumId="91">
    <w:nsid w:val="7F01579B"/>
    <w:multiLevelType w:val="hybridMultilevel"/>
    <w:lvl w:ilvl="0">
      <w:lvlJc w:val="left"/>
      <w:lvlText w:val="(%1)"/>
      <w:numFmt w:val="lowerLetter"/>
      <w:start w:val="3"/>
    </w:lvl>
  </w:abstractNum>
  <w:abstractNum w:abstractNumId="92">
    <w:nsid w:val="49DA307D"/>
    <w:multiLevelType w:val="hybridMultilevel"/>
    <w:lvl w:ilvl="0">
      <w:lvlJc w:val="left"/>
      <w:lvlText w:val="(%1)"/>
      <w:numFmt w:val="lowerLetter"/>
      <w:start w:val="1"/>
    </w:lvl>
  </w:abstractNum>
  <w:abstractNum w:abstractNumId="93">
    <w:nsid w:val="7055A5F5"/>
    <w:multiLevelType w:val="hybridMultilevel"/>
    <w:lvl w:ilvl="0">
      <w:lvlJc w:val="left"/>
      <w:lvlText w:val="(%1)"/>
      <w:numFmt w:val="lowerLetter"/>
      <w:start w:val="1"/>
    </w:lvl>
  </w:abstractNum>
  <w:abstractNum w:abstractNumId="94">
    <w:nsid w:val="5FB8370B"/>
    <w:multiLevelType w:val="hybridMultilevel"/>
    <w:lvl w:ilvl="0">
      <w:lvlJc w:val="left"/>
      <w:lvlText w:val="(%1)"/>
      <w:numFmt w:val="lowerLetter"/>
      <w:start w:val="1"/>
    </w:lvl>
    <w:lvl w:ilvl="1">
      <w:lvlJc w:val="left"/>
      <w:lvlText w:val="(%2)"/>
      <w:numFmt w:val="lowerRoman"/>
      <w:start w:val="1"/>
    </w:lvl>
  </w:abstractNum>
  <w:abstractNum w:abstractNumId="95">
    <w:nsid w:val="50801EE1"/>
    <w:multiLevelType w:val="hybridMultilevel"/>
    <w:lvl w:ilvl="0">
      <w:lvlJc w:val="left"/>
      <w:lvlText w:val="(%1)"/>
      <w:numFmt w:val="lowerLetter"/>
      <w:start w:val="3"/>
    </w:lvl>
  </w:abstractNum>
  <w:abstractNum w:abstractNumId="96">
    <w:nsid w:val="488AC1A"/>
    <w:multiLevelType w:val="hybridMultilevel"/>
    <w:lvl w:ilvl="0">
      <w:lvlJc w:val="left"/>
      <w:lvlText w:val="(%1)"/>
      <w:numFmt w:val="lowerLetter"/>
      <w:start w:val="1"/>
    </w:lvl>
    <w:lvl w:ilvl="1">
      <w:lvlJc w:val="left"/>
      <w:lvlText w:val="(%2)"/>
      <w:numFmt w:val="lowerRoman"/>
      <w:start w:val="1"/>
    </w:lvl>
  </w:abstractNum>
  <w:abstractNum w:abstractNumId="97">
    <w:nsid w:val="5FB8011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2022-04-28T07:19:39Z</dcterms:created>
  <dcterms:modified xsi:type="dcterms:W3CDTF">2022-04-28T07:19:39Z</dcterms:modified>
</cp:coreProperties>
</file>