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png" ContentType="image/png"/>
  <Override PartName="/word/media/image3.png" ContentType="image/pn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bookmarkStart w:id="0" w:name="dp192556_defa14a.htm"/>
      <w:bookmarkStart w:id="1" w:name="ksdp192556_defa14a"/>
      <w:bookmarkEnd w:id="0"/>
      <w:bookmarkEnd w:id="1"/>
      <w:r>
        <w:rPr/>
        <w:t> </w:t>
      </w:r>
    </w:p>
    <w:p>
      <w:pPr>
        <w:pStyle w:val="TextBody"/>
        <w:spacing w:before="20" w:after="20"/>
        <w:rPr>
          <w:bdr w:val="single" w:sz="28" w:space="1" w:color="000000"/>
        </w:rPr>
      </w:pPr>
      <w:r>
        <w:rPr>
          <w:bdr w:val="single" w:sz="28" w:space="1" w:color="000000"/>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UNITED STATES</w:t>
        <w:br/>
        <w:t>SECURITIES AND EXCHANGE COMMISSION</w:t>
      </w:r>
    </w:p>
    <w:p>
      <w:pPr>
        <w:pStyle w:val="TextBody"/>
        <w:spacing w:before="0" w:after="0"/>
        <w:ind w:left="0" w:right="0" w:hanging="0"/>
        <w:jc w:val="center"/>
        <w:rPr>
          <w:rFonts w:ascii="Times New Roman;Times;Serif" w:hAnsi="Times New Roman;Times;Serif"/>
          <w:b w:val="false"/>
          <w:i w:val="false"/>
          <w:caps w:val="false"/>
          <w:smallCaps w:val="false"/>
          <w:sz w:val="26"/>
        </w:rPr>
      </w:pPr>
      <w:r>
        <w:rPr>
          <w:rFonts w:ascii="Times New Roman;Times;Serif" w:hAnsi="Times New Roman;Times;Serif"/>
          <w:b w:val="false"/>
          <w:i w:val="false"/>
          <w:caps w:val="false"/>
          <w:smallCaps w:val="false"/>
          <w:sz w:val="26"/>
        </w:rPr>
        <w:t>Washington, D.C. 20549</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SCHEDULE 14A INFORMATION</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Proxy Statement Pursuant to Section 14(a)</w:t>
        <w:br/>
        <w:t>of the Securities Exchange Act of 1934</w:t>
      </w:r>
    </w:p>
    <w:p>
      <w:pPr>
        <w:pStyle w:val="TextBody"/>
        <w:spacing w:before="0" w:after="0"/>
        <w:ind w:left="0" w:right="0" w:hanging="0"/>
        <w:jc w:val="center"/>
        <w:rPr>
          <w:caps w:val="false"/>
          <w:smallCaps w:val="false"/>
        </w:rPr>
      </w:pPr>
      <w:r>
        <w:rPr>
          <w:caps w:val="false"/>
          <w:smallCaps w:val="false"/>
        </w:rPr>
        <w:t> </w:t>
      </w:r>
    </w:p>
    <w:p>
      <w:pPr>
        <w:pStyle w:val="TextBody"/>
        <w:spacing w:before="60" w:after="60"/>
        <w:jc w:val="center"/>
        <w:rPr>
          <w:bdr w:val="single" w:sz="8" w:space="1" w:color="000000"/>
        </w:rPr>
      </w:pPr>
      <w:r>
        <w:rPr>
          <w:bdr w:val="single" w:sz="8" w:space="1" w:color="000000"/>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 ☒ Filed by a Party other than the Registrant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28"/>
        <w:gridCol w:w="778"/>
        <w:gridCol w:w="9299"/>
      </w:tblGrid>
      <w:tr>
        <w:trPr/>
        <w:tc>
          <w:tcPr>
            <w:tcW w:w="128" w:type="dxa"/>
            <w:tcBorders/>
            <w:shd w:fill="auto" w:val="clear"/>
            <w:vAlign w:val="center"/>
          </w:tcPr>
          <w:p>
            <w:pPr>
              <w:pStyle w:val="TableContents"/>
              <w:spacing w:before="0" w:after="283"/>
              <w:rPr>
                <w:sz w:val="4"/>
                <w:szCs w:val="4"/>
              </w:rPr>
            </w:pPr>
            <w:r>
              <w:rPr>
                <w:sz w:val="4"/>
                <w:szCs w:val="4"/>
              </w:rPr>
            </w:r>
          </w:p>
        </w:tc>
        <w:tc>
          <w:tcPr>
            <w:tcW w:w="778" w:type="dxa"/>
            <w:tcBorders/>
            <w:shd w:fill="auto" w:val="clear"/>
            <w:vAlign w:val="center"/>
          </w:tcPr>
          <w:p>
            <w:pPr>
              <w:pStyle w:val="TableContents"/>
              <w:spacing w:before="0" w:after="283"/>
              <w:rPr/>
            </w:pPr>
            <w:r>
              <w:rPr/>
              <w:t>☐</w:t>
            </w:r>
          </w:p>
        </w:tc>
        <w:tc>
          <w:tcPr>
            <w:tcW w:w="9299" w:type="dxa"/>
            <w:tcBorders/>
            <w:shd w:fill="auto" w:val="clear"/>
            <w:vAlign w:val="center"/>
          </w:tcPr>
          <w:p>
            <w:pPr>
              <w:pStyle w:val="TableContents"/>
              <w:spacing w:before="0" w:after="283"/>
              <w:rPr/>
            </w:pPr>
            <w:r>
              <w:rPr/>
              <w:t>Preliminary Proxy Statement</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46"/>
        <w:gridCol w:w="280"/>
        <w:gridCol w:w="9879"/>
      </w:tblGrid>
      <w:tr>
        <w:trPr/>
        <w:tc>
          <w:tcPr>
            <w:tcW w:w="46"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pPr>
            <w:r>
              <w:rPr/>
              <w:t>☐</w:t>
            </w:r>
          </w:p>
        </w:tc>
        <w:tc>
          <w:tcPr>
            <w:tcW w:w="9879" w:type="dxa"/>
            <w:tcBorders/>
            <w:shd w:fill="auto" w:val="clear"/>
            <w:vAlign w:val="center"/>
          </w:tcPr>
          <w:p>
            <w:pPr>
              <w:pStyle w:val="TableContents"/>
              <w:spacing w:before="0" w:after="283"/>
              <w:rPr>
                <w:b/>
              </w:rPr>
            </w:pPr>
            <w:r>
              <w:rPr>
                <w:b/>
              </w:rPr>
              <w:t>Confidential, for Use of the Commission Only (as permitted by Rule 14a-6(e)(2))</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35"/>
        <w:gridCol w:w="818"/>
        <w:gridCol w:w="9252"/>
      </w:tblGrid>
      <w:tr>
        <w:trPr/>
        <w:tc>
          <w:tcPr>
            <w:tcW w:w="135" w:type="dxa"/>
            <w:tcBorders/>
            <w:shd w:fill="auto" w:val="clear"/>
            <w:vAlign w:val="center"/>
          </w:tcPr>
          <w:p>
            <w:pPr>
              <w:pStyle w:val="TableContents"/>
              <w:spacing w:before="0" w:after="283"/>
              <w:rPr>
                <w:sz w:val="4"/>
                <w:szCs w:val="4"/>
              </w:rPr>
            </w:pPr>
            <w:r>
              <w:rPr>
                <w:sz w:val="4"/>
                <w:szCs w:val="4"/>
              </w:rPr>
            </w:r>
          </w:p>
        </w:tc>
        <w:tc>
          <w:tcPr>
            <w:tcW w:w="818" w:type="dxa"/>
            <w:tcBorders/>
            <w:shd w:fill="auto" w:val="clear"/>
            <w:vAlign w:val="center"/>
          </w:tcPr>
          <w:p>
            <w:pPr>
              <w:pStyle w:val="TableContents"/>
              <w:spacing w:before="0" w:after="283"/>
              <w:rPr/>
            </w:pPr>
            <w:r>
              <w:rPr/>
              <w:t>☐</w:t>
            </w:r>
          </w:p>
        </w:tc>
        <w:tc>
          <w:tcPr>
            <w:tcW w:w="9252" w:type="dxa"/>
            <w:tcBorders/>
            <w:shd w:fill="auto" w:val="clear"/>
            <w:vAlign w:val="center"/>
          </w:tcPr>
          <w:p>
            <w:pPr>
              <w:pStyle w:val="TableContents"/>
              <w:spacing w:before="0" w:after="283"/>
              <w:rPr/>
            </w:pPr>
            <w:r>
              <w:rPr/>
              <w:t>Definitive Proxy Statement</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19"/>
        <w:gridCol w:w="724"/>
        <w:gridCol w:w="9362"/>
      </w:tblGrid>
      <w:tr>
        <w:trPr/>
        <w:tc>
          <w:tcPr>
            <w:tcW w:w="119"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pPr>
            <w:r>
              <w:rPr/>
              <w:t>☒</w:t>
            </w:r>
          </w:p>
        </w:tc>
        <w:tc>
          <w:tcPr>
            <w:tcW w:w="9362" w:type="dxa"/>
            <w:tcBorders/>
            <w:shd w:fill="auto" w:val="clear"/>
            <w:vAlign w:val="center"/>
          </w:tcPr>
          <w:p>
            <w:pPr>
              <w:pStyle w:val="TableContents"/>
              <w:spacing w:before="0" w:after="283"/>
              <w:rPr/>
            </w:pPr>
            <w:r>
              <w:rPr/>
              <w:t>Definitive Additional Materials</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97"/>
        <w:gridCol w:w="592"/>
        <w:gridCol w:w="9516"/>
      </w:tblGrid>
      <w:tr>
        <w:trPr/>
        <w:tc>
          <w:tcPr>
            <w:tcW w:w="97"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center"/>
          </w:tcPr>
          <w:p>
            <w:pPr>
              <w:pStyle w:val="TableContents"/>
              <w:spacing w:before="0" w:after="283"/>
              <w:rPr/>
            </w:pPr>
            <w:r>
              <w:rPr/>
              <w:t>☐</w:t>
            </w:r>
          </w:p>
        </w:tc>
        <w:tc>
          <w:tcPr>
            <w:tcW w:w="9516" w:type="dxa"/>
            <w:tcBorders/>
            <w:shd w:fill="auto" w:val="clear"/>
            <w:vAlign w:val="center"/>
          </w:tcPr>
          <w:p>
            <w:pPr>
              <w:pStyle w:val="TableContents"/>
              <w:spacing w:before="0" w:after="283"/>
              <w:rPr/>
            </w:pPr>
            <w:r>
              <w:rPr/>
              <w:t>Soliciting Material under § 240.14a-12</w:t>
            </w:r>
          </w:p>
        </w:tc>
      </w:tr>
    </w:tbl>
    <w:p>
      <w:pPr>
        <w:pStyle w:val="TextBody"/>
        <w:spacing w:before="0" w:after="0"/>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drawing>
          <wp:inline distT="0" distB="0" distL="0" distR="0">
            <wp:extent cx="4572000" cy="609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572000" cy="609600"/>
                    </a:xfrm>
                    <a:prstGeom prst="rect">
                      <a:avLst/>
                    </a:prstGeom>
                  </pic:spPr>
                </pic:pic>
              </a:graphicData>
            </a:graphic>
          </wp:inline>
        </w:drawing>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Lucid Group, Inc.</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Registrant as Specified In Its Charter)</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Person(s) Filing Proxy Statement if Other Than the Registrant)</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the appropriate box):</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209"/>
        <w:gridCol w:w="1270"/>
        <w:gridCol w:w="8726"/>
      </w:tblGrid>
      <w:tr>
        <w:trPr/>
        <w:tc>
          <w:tcPr>
            <w:tcW w:w="209" w:type="dxa"/>
            <w:tcBorders/>
            <w:shd w:fill="auto" w:val="clear"/>
            <w:vAlign w:val="center"/>
          </w:tcPr>
          <w:p>
            <w:pPr>
              <w:pStyle w:val="TableContents"/>
              <w:spacing w:before="0" w:after="283"/>
              <w:rPr>
                <w:sz w:val="4"/>
                <w:szCs w:val="4"/>
              </w:rPr>
            </w:pPr>
            <w:r>
              <w:rPr>
                <w:sz w:val="4"/>
                <w:szCs w:val="4"/>
              </w:rPr>
            </w:r>
          </w:p>
        </w:tc>
        <w:tc>
          <w:tcPr>
            <w:tcW w:w="1270" w:type="dxa"/>
            <w:tcBorders/>
            <w:shd w:fill="auto" w:val="clear"/>
            <w:vAlign w:val="center"/>
          </w:tcPr>
          <w:p>
            <w:pPr>
              <w:pStyle w:val="TableContents"/>
              <w:spacing w:before="0" w:after="283"/>
              <w:rPr/>
            </w:pPr>
            <w:r>
              <w:rPr/>
              <w:t>☒</w:t>
            </w:r>
          </w:p>
        </w:tc>
        <w:tc>
          <w:tcPr>
            <w:tcW w:w="8726" w:type="dxa"/>
            <w:tcBorders/>
            <w:shd w:fill="auto" w:val="clear"/>
            <w:vAlign w:val="center"/>
          </w:tcPr>
          <w:p>
            <w:pPr>
              <w:pStyle w:val="TableContents"/>
              <w:spacing w:before="0" w:after="283"/>
              <w:rPr/>
            </w:pPr>
            <w:r>
              <w:rPr/>
              <w:t>No fee required.</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51"/>
        <w:gridCol w:w="313"/>
        <w:gridCol w:w="9841"/>
      </w:tblGrid>
      <w:tr>
        <w:trPr/>
        <w:tc>
          <w:tcPr>
            <w:tcW w:w="51"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pPr>
            <w:r>
              <w:rPr/>
              <w:t>☐</w:t>
            </w:r>
          </w:p>
        </w:tc>
        <w:tc>
          <w:tcPr>
            <w:tcW w:w="9841" w:type="dxa"/>
            <w:tcBorders/>
            <w:shd w:fill="auto" w:val="clear"/>
            <w:vAlign w:val="center"/>
          </w:tcPr>
          <w:p>
            <w:pPr>
              <w:pStyle w:val="TableContents"/>
              <w:spacing w:before="0" w:after="283"/>
              <w:rPr/>
            </w:pPr>
            <w:r>
              <w:rPr/>
              <w:t>Fee computed on table below per Exchange Act Rules 14a-6(i)(1) and 0-11.</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64"/>
        <w:gridCol w:w="494"/>
        <w:gridCol w:w="9647"/>
      </w:tblGrid>
      <w:tr>
        <w:trPr/>
        <w:tc>
          <w:tcPr>
            <w:tcW w:w="64" w:type="dxa"/>
            <w:tcBorders/>
            <w:shd w:fill="auto" w:val="clear"/>
            <w:vAlign w:val="center"/>
          </w:tcPr>
          <w:p>
            <w:pPr>
              <w:pStyle w:val="TableContents"/>
              <w:spacing w:before="0" w:after="283"/>
              <w:rPr>
                <w:sz w:val="4"/>
                <w:szCs w:val="4"/>
              </w:rPr>
            </w:pPr>
            <w:r>
              <w:rPr>
                <w:sz w:val="4"/>
                <w:szCs w:val="4"/>
              </w:rPr>
            </w:r>
          </w:p>
        </w:tc>
        <w:tc>
          <w:tcPr>
            <w:tcW w:w="494" w:type="dxa"/>
            <w:tcBorders/>
            <w:shd w:fill="auto" w:val="clear"/>
            <w:vAlign w:val="center"/>
          </w:tcPr>
          <w:p>
            <w:pPr>
              <w:pStyle w:val="TableContents"/>
              <w:spacing w:before="0" w:after="283"/>
              <w:rPr/>
            </w:pPr>
            <w:r>
              <w:rPr/>
              <w:t>(1)</w:t>
            </w:r>
          </w:p>
        </w:tc>
        <w:tc>
          <w:tcPr>
            <w:tcW w:w="9647" w:type="dxa"/>
            <w:tcBorders/>
            <w:shd w:fill="auto" w:val="clear"/>
            <w:vAlign w:val="center"/>
          </w:tcPr>
          <w:p>
            <w:pPr>
              <w:pStyle w:val="TableContents"/>
              <w:spacing w:before="0" w:after="283"/>
              <w:rPr/>
            </w:pPr>
            <w:r>
              <w:rPr/>
              <w:t>Title of each class of securities to which transaction applies:</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63"/>
        <w:gridCol w:w="488"/>
        <w:gridCol w:w="9654"/>
      </w:tblGrid>
      <w:tr>
        <w:trPr/>
        <w:tc>
          <w:tcPr>
            <w:tcW w:w="63"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pPr>
            <w:r>
              <w:rPr/>
              <w:t>(2)</w:t>
            </w:r>
          </w:p>
        </w:tc>
        <w:tc>
          <w:tcPr>
            <w:tcW w:w="9654" w:type="dxa"/>
            <w:tcBorders/>
            <w:shd w:fill="auto" w:val="clear"/>
            <w:vAlign w:val="center"/>
          </w:tcPr>
          <w:p>
            <w:pPr>
              <w:pStyle w:val="TableContents"/>
              <w:spacing w:before="0" w:after="283"/>
              <w:rPr/>
            </w:pPr>
            <w:r>
              <w:rPr/>
              <w:t>Aggregate number of securities to which transaction applies:</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53"/>
        <w:gridCol w:w="9915"/>
      </w:tblGrid>
      <w:tr>
        <w:trPr/>
        <w:tc>
          <w:tcPr>
            <w:tcW w:w="37"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pPr>
            <w:r>
              <w:rPr/>
              <w:t>(3)</w:t>
            </w:r>
          </w:p>
        </w:tc>
        <w:tc>
          <w:tcPr>
            <w:tcW w:w="9915" w:type="dxa"/>
            <w:tcBorders/>
            <w:shd w:fill="auto" w:val="clear"/>
            <w:vAlign w:val="center"/>
          </w:tcPr>
          <w:p>
            <w:pPr>
              <w:pStyle w:val="TableContents"/>
              <w:spacing w:before="0" w:after="283"/>
              <w:rPr/>
            </w:pPr>
            <w:r>
              <w:rPr/>
              <w:t>Per unit price or other underlying value of transaction computed pursuant to Exchange Act Rule 0-11 (set forth the amount on which the filing fee is calculated and state how it was determined):</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74"/>
        <w:gridCol w:w="570"/>
        <w:gridCol w:w="9561"/>
      </w:tblGrid>
      <w:tr>
        <w:trPr/>
        <w:tc>
          <w:tcPr>
            <w:tcW w:w="74"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pPr>
            <w:r>
              <w:rPr/>
              <w:t>(4)</w:t>
            </w:r>
          </w:p>
        </w:tc>
        <w:tc>
          <w:tcPr>
            <w:tcW w:w="9561" w:type="dxa"/>
            <w:tcBorders/>
            <w:shd w:fill="auto" w:val="clear"/>
            <w:vAlign w:val="center"/>
          </w:tcPr>
          <w:p>
            <w:pPr>
              <w:pStyle w:val="TableContents"/>
              <w:spacing w:before="0" w:after="283"/>
              <w:rPr/>
            </w:pPr>
            <w:r>
              <w:rPr/>
              <w:t>Proposed maximum aggregate value of transaction:</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224"/>
        <w:gridCol w:w="1713"/>
        <w:gridCol w:w="8268"/>
      </w:tblGrid>
      <w:tr>
        <w:trPr/>
        <w:tc>
          <w:tcPr>
            <w:tcW w:w="224" w:type="dxa"/>
            <w:tcBorders/>
            <w:shd w:fill="auto" w:val="clear"/>
            <w:vAlign w:val="center"/>
          </w:tcPr>
          <w:p>
            <w:pPr>
              <w:pStyle w:val="TableContents"/>
              <w:spacing w:before="0" w:after="283"/>
              <w:rPr>
                <w:sz w:val="4"/>
                <w:szCs w:val="4"/>
              </w:rPr>
            </w:pPr>
            <w:r>
              <w:rPr>
                <w:sz w:val="4"/>
                <w:szCs w:val="4"/>
              </w:rPr>
            </w:r>
          </w:p>
        </w:tc>
        <w:tc>
          <w:tcPr>
            <w:tcW w:w="1713" w:type="dxa"/>
            <w:tcBorders/>
            <w:shd w:fill="auto" w:val="clear"/>
            <w:vAlign w:val="center"/>
          </w:tcPr>
          <w:p>
            <w:pPr>
              <w:pStyle w:val="TableContents"/>
              <w:spacing w:before="0" w:after="283"/>
              <w:rPr/>
            </w:pPr>
            <w:r>
              <w:rPr/>
              <w:t>(5)</w:t>
            </w:r>
          </w:p>
        </w:tc>
        <w:tc>
          <w:tcPr>
            <w:tcW w:w="8268" w:type="dxa"/>
            <w:tcBorders/>
            <w:shd w:fill="auto" w:val="clear"/>
            <w:vAlign w:val="center"/>
          </w:tcPr>
          <w:p>
            <w:pPr>
              <w:pStyle w:val="TableContents"/>
              <w:spacing w:before="0" w:after="283"/>
              <w:rPr/>
            </w:pPr>
            <w:r>
              <w:rPr/>
              <w:t>Total fee paid:</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81"/>
        <w:gridCol w:w="495"/>
        <w:gridCol w:w="9629"/>
      </w:tblGrid>
      <w:tr>
        <w:trPr/>
        <w:tc>
          <w:tcPr>
            <w:tcW w:w="81"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pPr>
            <w:r>
              <w:rPr/>
              <w:t>☐</w:t>
            </w:r>
          </w:p>
        </w:tc>
        <w:tc>
          <w:tcPr>
            <w:tcW w:w="9629" w:type="dxa"/>
            <w:tcBorders/>
            <w:shd w:fill="auto" w:val="clear"/>
            <w:vAlign w:val="center"/>
          </w:tcPr>
          <w:p>
            <w:pPr>
              <w:pStyle w:val="TableContents"/>
              <w:spacing w:before="0" w:after="283"/>
              <w:rPr/>
            </w:pPr>
            <w:r>
              <w:rPr/>
              <w:t>Fee previously paid with preliminary materials.</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30"/>
        <w:gridCol w:w="9938"/>
      </w:tblGrid>
      <w:tr>
        <w:trPr/>
        <w:tc>
          <w:tcPr>
            <w:tcW w:w="37"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pPr>
            <w:r>
              <w:rPr/>
              <w:t>☐</w:t>
            </w:r>
          </w:p>
        </w:tc>
        <w:tc>
          <w:tcPr>
            <w:tcW w:w="9938" w:type="dxa"/>
            <w:tcBorders/>
            <w:shd w:fill="auto" w:val="clear"/>
            <w:vAlign w:val="center"/>
          </w:tcPr>
          <w:p>
            <w:pPr>
              <w:pStyle w:val="TableContents"/>
              <w:spacing w:before="0" w:after="283"/>
              <w:rPr/>
            </w:pPr>
            <w:r>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41"/>
        <w:gridCol w:w="1076"/>
        <w:gridCol w:w="8988"/>
      </w:tblGrid>
      <w:tr>
        <w:trPr/>
        <w:tc>
          <w:tcPr>
            <w:tcW w:w="141" w:type="dxa"/>
            <w:tcBorders/>
            <w:shd w:fill="auto" w:val="clear"/>
            <w:vAlign w:val="center"/>
          </w:tcPr>
          <w:p>
            <w:pPr>
              <w:pStyle w:val="TableContents"/>
              <w:spacing w:before="0" w:after="283"/>
              <w:rPr>
                <w:sz w:val="4"/>
                <w:szCs w:val="4"/>
              </w:rPr>
            </w:pPr>
            <w:r>
              <w:rPr>
                <w:sz w:val="4"/>
                <w:szCs w:val="4"/>
              </w:rPr>
            </w:r>
          </w:p>
        </w:tc>
        <w:tc>
          <w:tcPr>
            <w:tcW w:w="1076" w:type="dxa"/>
            <w:tcBorders/>
            <w:shd w:fill="auto" w:val="clear"/>
            <w:vAlign w:val="center"/>
          </w:tcPr>
          <w:p>
            <w:pPr>
              <w:pStyle w:val="TableContents"/>
              <w:spacing w:before="0" w:after="283"/>
              <w:rPr/>
            </w:pPr>
            <w:r>
              <w:rPr/>
              <w:t>(1)</w:t>
            </w:r>
          </w:p>
        </w:tc>
        <w:tc>
          <w:tcPr>
            <w:tcW w:w="8988" w:type="dxa"/>
            <w:tcBorders/>
            <w:shd w:fill="auto" w:val="clear"/>
            <w:vAlign w:val="center"/>
          </w:tcPr>
          <w:p>
            <w:pPr>
              <w:pStyle w:val="TableContents"/>
              <w:spacing w:before="0" w:after="283"/>
              <w:rPr/>
            </w:pPr>
            <w:r>
              <w:rPr/>
              <w:t>Amount Previously Paid:</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80"/>
        <w:gridCol w:w="619"/>
        <w:gridCol w:w="9506"/>
      </w:tblGrid>
      <w:tr>
        <w:trPr/>
        <w:tc>
          <w:tcPr>
            <w:tcW w:w="80" w:type="dxa"/>
            <w:tcBorders/>
            <w:shd w:fill="auto" w:val="clear"/>
            <w:vAlign w:val="center"/>
          </w:tcPr>
          <w:p>
            <w:pPr>
              <w:pStyle w:val="TableContents"/>
              <w:spacing w:before="0" w:after="283"/>
              <w:rPr>
                <w:sz w:val="4"/>
                <w:szCs w:val="4"/>
              </w:rPr>
            </w:pPr>
            <w:r>
              <w:rPr>
                <w:sz w:val="4"/>
                <w:szCs w:val="4"/>
              </w:rPr>
            </w:r>
          </w:p>
        </w:tc>
        <w:tc>
          <w:tcPr>
            <w:tcW w:w="619" w:type="dxa"/>
            <w:tcBorders/>
            <w:shd w:fill="auto" w:val="clear"/>
            <w:vAlign w:val="center"/>
          </w:tcPr>
          <w:p>
            <w:pPr>
              <w:pStyle w:val="TableContents"/>
              <w:spacing w:before="0" w:after="283"/>
              <w:rPr/>
            </w:pPr>
            <w:r>
              <w:rPr/>
              <w:t>(2)</w:t>
            </w:r>
          </w:p>
        </w:tc>
        <w:tc>
          <w:tcPr>
            <w:tcW w:w="9506" w:type="dxa"/>
            <w:tcBorders/>
            <w:shd w:fill="auto" w:val="clear"/>
            <w:vAlign w:val="center"/>
          </w:tcPr>
          <w:p>
            <w:pPr>
              <w:pStyle w:val="TableContents"/>
              <w:spacing w:before="0" w:after="283"/>
              <w:rPr/>
            </w:pPr>
            <w:r>
              <w:rPr/>
              <w:t>Form, Schedule or Registration Statement No.:</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252"/>
        <w:gridCol w:w="1931"/>
        <w:gridCol w:w="8022"/>
      </w:tblGrid>
      <w:tr>
        <w:trPr/>
        <w:tc>
          <w:tcPr>
            <w:tcW w:w="252" w:type="dxa"/>
            <w:tcBorders/>
            <w:shd w:fill="auto" w:val="clear"/>
            <w:vAlign w:val="center"/>
          </w:tcPr>
          <w:p>
            <w:pPr>
              <w:pStyle w:val="TableContents"/>
              <w:spacing w:before="0" w:after="283"/>
              <w:rPr>
                <w:sz w:val="4"/>
                <w:szCs w:val="4"/>
              </w:rPr>
            </w:pPr>
            <w:r>
              <w:rPr>
                <w:sz w:val="4"/>
                <w:szCs w:val="4"/>
              </w:rPr>
            </w:r>
          </w:p>
        </w:tc>
        <w:tc>
          <w:tcPr>
            <w:tcW w:w="1931" w:type="dxa"/>
            <w:tcBorders/>
            <w:shd w:fill="auto" w:val="clear"/>
            <w:vAlign w:val="center"/>
          </w:tcPr>
          <w:p>
            <w:pPr>
              <w:pStyle w:val="TableContents"/>
              <w:spacing w:before="0" w:after="283"/>
              <w:rPr/>
            </w:pPr>
            <w:r>
              <w:rPr/>
              <w:t>(3)</w:t>
            </w:r>
          </w:p>
        </w:tc>
        <w:tc>
          <w:tcPr>
            <w:tcW w:w="8022" w:type="dxa"/>
            <w:tcBorders/>
            <w:shd w:fill="auto" w:val="clear"/>
            <w:vAlign w:val="center"/>
          </w:tcPr>
          <w:p>
            <w:pPr>
              <w:pStyle w:val="TableContents"/>
              <w:spacing w:before="0" w:after="283"/>
              <w:rPr/>
            </w:pPr>
            <w:r>
              <w:rPr/>
              <w:t>Filing Party:</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274"/>
        <w:gridCol w:w="2094"/>
        <w:gridCol w:w="7837"/>
      </w:tblGrid>
      <w:tr>
        <w:trPr/>
        <w:tc>
          <w:tcPr>
            <w:tcW w:w="274" w:type="dxa"/>
            <w:tcBorders/>
            <w:shd w:fill="auto" w:val="clear"/>
            <w:vAlign w:val="center"/>
          </w:tcPr>
          <w:p>
            <w:pPr>
              <w:pStyle w:val="TableContents"/>
              <w:spacing w:before="0" w:after="283"/>
              <w:rPr>
                <w:sz w:val="4"/>
                <w:szCs w:val="4"/>
              </w:rPr>
            </w:pPr>
            <w:r>
              <w:rPr>
                <w:sz w:val="4"/>
                <w:szCs w:val="4"/>
              </w:rPr>
            </w:r>
          </w:p>
        </w:tc>
        <w:tc>
          <w:tcPr>
            <w:tcW w:w="2094" w:type="dxa"/>
            <w:tcBorders/>
            <w:shd w:fill="auto" w:val="clear"/>
            <w:vAlign w:val="center"/>
          </w:tcPr>
          <w:p>
            <w:pPr>
              <w:pStyle w:val="TableContents"/>
              <w:spacing w:before="0" w:after="283"/>
              <w:rPr/>
            </w:pPr>
            <w:r>
              <w:rPr/>
              <w:t>(4)</w:t>
            </w:r>
          </w:p>
        </w:tc>
        <w:tc>
          <w:tcPr>
            <w:tcW w:w="7837" w:type="dxa"/>
            <w:tcBorders/>
            <w:shd w:fill="auto" w:val="clear"/>
            <w:vAlign w:val="center"/>
          </w:tcPr>
          <w:p>
            <w:pPr>
              <w:pStyle w:val="TableContents"/>
              <w:spacing w:before="0" w:after="283"/>
              <w:rPr/>
            </w:pPr>
            <w:r>
              <w:rPr/>
              <w:t>Date Filed:</w:t>
            </w:r>
          </w:p>
        </w:tc>
      </w:tr>
    </w:tbl>
    <w:p>
      <w:pPr>
        <w:pStyle w:val="TextBody"/>
        <w:spacing w:before="0" w:after="0"/>
        <w:rPr>
          <w:caps w:val="false"/>
          <w:smallCaps w:val="false"/>
        </w:rPr>
      </w:pPr>
      <w:r>
        <w:rPr>
          <w:caps w:val="false"/>
          <w:smallCaps w:val="false"/>
        </w:rPr>
        <w:t> </w:t>
      </w:r>
    </w:p>
    <w:p>
      <w:pPr>
        <w:pStyle w:val="TextBody"/>
        <w:spacing w:before="20" w:after="20"/>
        <w:rPr>
          <w:bdr w:val="single" w:sz="8" w:space="1" w:color="000000"/>
        </w:rPr>
      </w:pPr>
      <w:r>
        <w:rPr>
          <w:bdr w:val="single" w:sz="8" w:space="1" w:color="000000"/>
        </w:rPr>
        <w:t> </w:t>
      </w:r>
    </w:p>
    <w:p>
      <w:pPr>
        <w:pStyle w:val="TextBody"/>
        <w:spacing w:before="0" w:after="0"/>
        <w:jc w:val="center"/>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following tweet and LinkedIn posts were issued by Lucid Group, Inc. on April 23, 2023: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color w:val="212121"/>
          <w:sz w:val="20"/>
        </w:rPr>
      </w:pPr>
      <w:r>
        <w:rPr>
          <w:rFonts w:ascii="Times New Roman;Times;Serif" w:hAnsi="Times New Roman;Times;Serif"/>
          <w:b w:val="false"/>
          <w:i w:val="false"/>
          <w:caps w:val="false"/>
          <w:smallCaps w:val="false"/>
          <w:color w:val="212121"/>
          <w:sz w:val="20"/>
          <w:u w:val="single"/>
        </w:rPr>
        <w:t>Tweet</w:t>
      </w:r>
      <w:r>
        <w:rPr>
          <w:rFonts w:ascii="Times New Roman;Times;Serif" w:hAnsi="Times New Roman;Times;Serif"/>
          <w:b w:val="false"/>
          <w:i w:val="false"/>
          <w:caps w:val="false"/>
          <w:smallCaps w:val="false"/>
          <w:color w:val="212121"/>
          <w:sz w:val="20"/>
        </w:rPr>
        <w:t>:</w:t>
      </w:r>
    </w:p>
    <w:p>
      <w:pPr>
        <w:pStyle w:val="TextBody"/>
        <w:spacing w:before="0" w:after="0"/>
        <w:ind w:left="180" w:right="0" w:hanging="0"/>
        <w:rPr>
          <w:rFonts w:ascii="Times New Roman;Times;Serif" w:hAnsi="Times New Roman;Times;Serif"/>
          <w:b w:val="false"/>
          <w:i w:val="false"/>
          <w:caps w:val="false"/>
          <w:smallCaps w:val="false"/>
          <w:color w:val="212121"/>
          <w:sz w:val="20"/>
        </w:rPr>
      </w:pPr>
      <w:r>
        <w:rPr>
          <w:rFonts w:ascii="Times New Roman;Times;Serif" w:hAnsi="Times New Roman;Times;Serif"/>
          <w:b w:val="false"/>
          <w:i w:val="false"/>
          <w:caps w:val="false"/>
          <w:smallCaps w:val="false"/>
          <w:color w:val="212121"/>
          <w:sz w:val="20"/>
        </w:rPr>
        <w:t>Reminder: We’re hosting our Annual Meeting of Stockholders on Monday, April 24 at 9:00 a.m. PDT. $LCID shareholders who held shares as of February 28, 2023 are encouraged to submit their votes in advance of the virtual meeting.</w:t>
      </w:r>
    </w:p>
    <w:p>
      <w:pPr>
        <w:pStyle w:val="TextBody"/>
        <w:spacing w:before="0" w:after="0"/>
        <w:ind w:left="180" w:right="0" w:hanging="0"/>
        <w:rPr>
          <w:caps w:val="false"/>
          <w:smallCaps w:val="false"/>
          <w:color w:val="212121"/>
        </w:rPr>
      </w:pPr>
      <w:r>
        <w:rPr>
          <w:caps w:val="false"/>
          <w:smallCaps w:val="false"/>
          <w:color w:val="212121"/>
        </w:rPr>
        <w:t> </w:t>
      </w:r>
    </w:p>
    <w:p>
      <w:pPr>
        <w:pStyle w:val="TextBody"/>
        <w:spacing w:before="0" w:after="0"/>
        <w:ind w:left="180" w:right="0" w:hanging="0"/>
        <w:rPr>
          <w:caps w:val="false"/>
          <w:smallCaps w:val="false"/>
          <w:color w:val="212121"/>
        </w:rPr>
      </w:pPr>
      <w:r>
        <w:rPr>
          <w:caps w:val="false"/>
          <w:smallCaps w:val="false"/>
          <w:color w:val="212121"/>
        </w:rPr>
        <w:t> </w:t>
      </w:r>
      <w:r>
        <w:rPr>
          <w:caps w:val="false"/>
          <w:smallCaps w:val="false"/>
          <w:color w:val="212121"/>
        </w:rPr>
        <w:drawing>
          <wp:inline distT="0" distB="0" distL="0" distR="0">
            <wp:extent cx="3733800" cy="23241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733800" cy="2324100"/>
                    </a:xfrm>
                    <a:prstGeom prst="rect">
                      <a:avLst/>
                    </a:prstGeom>
                  </pic:spPr>
                </pic:pic>
              </a:graphicData>
            </a:graphic>
          </wp:inline>
        </w:drawing>
      </w:r>
    </w:p>
    <w:p>
      <w:pPr>
        <w:pStyle w:val="TextBody"/>
        <w:spacing w:before="0" w:after="0"/>
        <w:ind w:left="180" w:right="0" w:hanging="0"/>
        <w:rPr>
          <w:caps w:val="false"/>
          <w:smallCaps w:val="false"/>
          <w:color w:val="212121"/>
        </w:rPr>
      </w:pPr>
      <w:r>
        <w:rPr>
          <w:caps w:val="false"/>
          <w:smallCaps w:val="false"/>
          <w:color w:val="212121"/>
        </w:rPr>
        <w:t> </w:t>
      </w:r>
    </w:p>
    <w:p>
      <w:pPr>
        <w:pStyle w:val="TextBody"/>
        <w:spacing w:before="0" w:after="0"/>
        <w:ind w:left="0" w:right="0" w:hanging="0"/>
        <w:rPr>
          <w:rFonts w:ascii="Times New Roman;Times;Serif" w:hAnsi="Times New Roman;Times;Serif"/>
          <w:b w:val="false"/>
          <w:i w:val="false"/>
          <w:caps w:val="false"/>
          <w:smallCaps w:val="false"/>
          <w:color w:val="212121"/>
          <w:sz w:val="20"/>
        </w:rPr>
      </w:pPr>
      <w:r>
        <w:rPr>
          <w:rFonts w:ascii="Times New Roman;Times;Serif" w:hAnsi="Times New Roman;Times;Serif"/>
          <w:b w:val="false"/>
          <w:i w:val="false"/>
          <w:caps w:val="false"/>
          <w:smallCaps w:val="false"/>
          <w:color w:val="212121"/>
          <w:sz w:val="20"/>
          <w:u w:val="single"/>
        </w:rPr>
        <w:t>LinkedIn Post</w:t>
      </w:r>
      <w:r>
        <w:rPr>
          <w:rFonts w:ascii="Times New Roman;Times;Serif" w:hAnsi="Times New Roman;Times;Serif"/>
          <w:b w:val="false"/>
          <w:i w:val="false"/>
          <w:caps w:val="false"/>
          <w:smallCaps w:val="false"/>
          <w:color w:val="212121"/>
          <w:sz w:val="20"/>
        </w:rPr>
        <w:t>:</w:t>
      </w:r>
    </w:p>
    <w:p>
      <w:pPr>
        <w:pStyle w:val="TextBody"/>
        <w:spacing w:before="0" w:after="0"/>
        <w:ind w:left="18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Reminder: We’re hosting our Annual Meeting of Stockholders on Monday, April 24 at 9:00 a.m. PDT. $LCID shareholders who held shares as of February 28, 2023 are encouraged to submit their votes in advance of the virtual meeting.</w:t>
      </w:r>
    </w:p>
    <w:p>
      <w:pPr>
        <w:pStyle w:val="TextBody"/>
        <w:spacing w:before="0" w:after="0"/>
        <w:ind w:left="180" w:right="0" w:hanging="0"/>
        <w:rPr>
          <w:caps w:val="false"/>
          <w:smallCaps w:val="false"/>
        </w:rPr>
      </w:pPr>
      <w:r>
        <w:rPr>
          <w:caps w:val="false"/>
          <w:smallCaps w:val="false"/>
        </w:rPr>
        <w:t> </w:t>
      </w:r>
    </w:p>
    <w:p>
      <w:pPr>
        <w:pStyle w:val="TextBody"/>
        <w:spacing w:before="0" w:after="0"/>
        <w:ind w:left="180" w:right="0" w:hanging="0"/>
        <w:rPr>
          <w:caps w:val="false"/>
          <w:smallCaps w:val="false"/>
        </w:rPr>
      </w:pPr>
      <w:r>
        <w:rPr>
          <w:caps w:val="false"/>
          <w:smallCaps w:val="false"/>
        </w:rPr>
        <w:drawing>
          <wp:inline distT="0" distB="0" distL="0" distR="0">
            <wp:extent cx="3733800" cy="23241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3733800" cy="2324100"/>
                    </a:xfrm>
                    <a:prstGeom prst="rect">
                      <a:avLst/>
                    </a:prstGeom>
                  </pic:spPr>
                </pic:pic>
              </a:graphicData>
            </a:graphic>
          </wp:inline>
        </w:drawing>
      </w:r>
      <w:r>
        <w:rPr>
          <w:caps w:val="false"/>
          <w:smallCaps w:val="false"/>
        </w:rPr>
        <w:t> </w:t>
      </w:r>
    </w:p>
    <w:p>
      <w:pPr>
        <w:pStyle w:val="TextBody"/>
        <w:spacing w:before="0" w:after="0"/>
        <w:ind w:left="180" w:right="0" w:hanging="0"/>
        <w:rPr>
          <w:caps w:val="false"/>
          <w:smallCaps w:val="false"/>
        </w:rPr>
      </w:pPr>
      <w:r>
        <w:rPr>
          <w:caps w:val="false"/>
          <w:smallCaps w:val="false"/>
        </w:rPr>
        <w:t> </w:t>
      </w:r>
    </w:p>
    <w:p>
      <w:pPr>
        <w:pStyle w:val="TextBody"/>
        <w:spacing w:before="0" w:after="0"/>
        <w:jc w:val="center"/>
        <w:rPr>
          <w:caps w:val="false"/>
          <w:smallCaps w:val="false"/>
          <w:bdr w:val="single" w:sz="8" w:space="1" w:color="000000"/>
        </w:rPr>
      </w:pPr>
      <w:r>
        <w:rPr>
          <w:caps w:val="false"/>
          <w:smallCaps w:val="false"/>
          <w:bdr w:val="single" w:sz="8" w:space="1" w:color="000000"/>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354</Words>
  <CharactersWithSpaces>2179</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