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alibri" w:cs="Calibri" w:eastAsia="Calibri" w:hAnsi="Calibri"/>
          <w:sz w:val="11"/>
          <w:szCs w:val="11"/>
          <w:color w:val="003366"/>
        </w:rPr>
        <w:t>TABLE OF CONTENTS</w:t>
      </w: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October 16, 2024</w:t>
      </w:r>
    </w:p>
    <w:p>
      <w:pPr>
        <w:spacing w:after="0" w:line="15" w:lineRule="exact"/>
        <w:rPr>
          <w:sz w:val="24"/>
          <w:szCs w:val="24"/>
          <w:color w:val="auto"/>
        </w:rPr>
      </w:pPr>
    </w:p>
    <w:p>
      <w:pPr>
        <w:jc w:val="right"/>
        <w:ind w:right="659"/>
        <w:spacing w:after="0"/>
        <w:rPr>
          <w:sz w:val="20"/>
          <w:szCs w:val="20"/>
          <w:color w:val="auto"/>
        </w:rPr>
      </w:pPr>
      <w:r>
        <w:rPr>
          <w:rFonts w:ascii="Times New Roman" w:cs="Times New Roman" w:eastAsia="Times New Roman" w:hAnsi="Times New Roman"/>
          <w:sz w:val="13"/>
          <w:szCs w:val="13"/>
          <w:b w:val="1"/>
          <w:bCs w:val="1"/>
          <w:color w:val="auto"/>
        </w:rPr>
        <w:t>Registration No. 333-          ​</w:t>
      </w:r>
    </w:p>
    <w:p>
      <w:pPr>
        <w:spacing w:after="0" w:line="64"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435610</wp:posOffset>
            </wp:positionH>
            <wp:positionV relativeFrom="paragraph">
              <wp:posOffset>1905</wp:posOffset>
            </wp:positionV>
            <wp:extent cx="484886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48860" cy="13335"/>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35560</wp:posOffset>
            </wp:positionV>
            <wp:extent cx="48488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48860" cy="6985"/>
                    </a:xfrm>
                    <a:prstGeom prst="rect">
                      <a:avLst/>
                    </a:prstGeom>
                    <a:noFill/>
                  </pic:spPr>
                </pic:pic>
              </a:graphicData>
            </a:graphic>
          </wp:anchor>
        </w:drawing>
      </w:r>
    </w:p>
    <w:p>
      <w:pPr>
        <w:spacing w:after="0" w:line="9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spacing w:after="0" w:line="228"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96837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S-3</w:t>
      </w:r>
    </w:p>
    <w:p>
      <w:pPr>
        <w:spacing w:after="0" w:line="55"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3"/>
          <w:szCs w:val="13"/>
          <w:b w:val="1"/>
          <w:bCs w:val="1"/>
          <w:color w:val="auto"/>
        </w:rPr>
        <w:t>REGISTRATION STATEMENT UNDER</w:t>
      </w:r>
    </w:p>
    <w:p>
      <w:pPr>
        <w:spacing w:after="0" w:line="15"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9683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LUCID GROUP, INC.</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r>
        <w:rPr>
          <w:rFonts w:ascii="Times New Roman" w:cs="Times New Roman" w:eastAsia="Times New Roman" w:hAnsi="Times New Roman"/>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51435</wp:posOffset>
            </wp:positionV>
            <wp:extent cx="96837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117" w:lineRule="exact"/>
        <w:rPr>
          <w:sz w:val="24"/>
          <w:szCs w:val="24"/>
          <w:color w:val="auto"/>
        </w:rPr>
      </w:pPr>
    </w:p>
    <w:tbl>
      <w:tblPr>
        <w:tblLayout w:type="fixed"/>
        <w:tblInd w:w="680" w:type="dxa"/>
        <w:tblCellMar>
          <w:top w:w="0" w:type="dxa"/>
          <w:left w:w="0" w:type="dxa"/>
          <w:bottom w:w="0" w:type="dxa"/>
          <w:right w:w="0" w:type="dxa"/>
        </w:tblCellMar>
      </w:tblPr>
      <w:tr>
        <w:trPr>
          <w:trHeight w:val="149"/>
        </w:trPr>
        <w:tc>
          <w:tcPr>
            <w:tcW w:w="6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2280" w:type="dxa"/>
            <w:vAlign w:val="bottom"/>
          </w:tcPr>
          <w:p>
            <w:pPr>
              <w:ind w:left="1020"/>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980" w:type="dxa"/>
            <w:vAlign w:val="bottom"/>
          </w:tcPr>
          <w:p>
            <w:pPr>
              <w:ind w:left="900"/>
              <w:spacing w:after="0"/>
              <w:rPr>
                <w:sz w:val="20"/>
                <w:szCs w:val="20"/>
                <w:color w:val="auto"/>
              </w:rPr>
            </w:pPr>
            <w:r>
              <w:rPr>
                <w:rFonts w:ascii="Times New Roman" w:cs="Times New Roman" w:eastAsia="Times New Roman" w:hAnsi="Times New Roman"/>
                <w:sz w:val="11"/>
                <w:szCs w:val="11"/>
                <w:color w:val="auto"/>
              </w:rPr>
              <w:t>​ ​</w:t>
            </w:r>
          </w:p>
        </w:tc>
        <w:tc>
          <w:tcPr>
            <w:tcW w:w="2120" w:type="dxa"/>
            <w:vAlign w:val="bottom"/>
          </w:tcPr>
          <w:p>
            <w:pPr>
              <w:jc w:val="right"/>
              <w:ind w:right="861"/>
              <w:spacing w:after="0"/>
              <w:rPr>
                <w:sz w:val="20"/>
                <w:szCs w:val="20"/>
                <w:color w:val="auto"/>
              </w:rPr>
            </w:pPr>
            <w:r>
              <w:rPr>
                <w:rFonts w:ascii="Times New Roman" w:cs="Times New Roman" w:eastAsia="Times New Roman" w:hAnsi="Times New Roman"/>
                <w:sz w:val="13"/>
                <w:szCs w:val="13"/>
                <w:b w:val="1"/>
                <w:bCs w:val="1"/>
                <w:color w:val="auto"/>
              </w:rPr>
              <w:t>85-0891392</w:t>
            </w:r>
          </w:p>
        </w:tc>
        <w:tc>
          <w:tcPr>
            <w:tcW w:w="680" w:type="dxa"/>
            <w:vAlign w:val="bottom"/>
          </w:tcPr>
          <w:p>
            <w:pPr>
              <w:ind w:left="66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23"/>
        </w:trPr>
        <w:tc>
          <w:tcPr>
            <w:tcW w:w="600" w:type="dxa"/>
            <w:vAlign w:val="bottom"/>
          </w:tcPr>
          <w:p>
            <w:pPr>
              <w:spacing w:after="0"/>
              <w:rPr>
                <w:sz w:val="10"/>
                <w:szCs w:val="10"/>
                <w:color w:val="auto"/>
              </w:rPr>
            </w:pPr>
          </w:p>
        </w:tc>
        <w:tc>
          <w:tcPr>
            <w:tcW w:w="2280" w:type="dxa"/>
            <w:vAlign w:val="bottom"/>
          </w:tcPr>
          <w:p>
            <w:pPr>
              <w:ind w:left="560"/>
              <w:spacing w:after="0" w:line="123" w:lineRule="exact"/>
              <w:rPr>
                <w:sz w:val="20"/>
                <w:szCs w:val="20"/>
                <w:color w:val="auto"/>
              </w:rPr>
            </w:pPr>
            <w:r>
              <w:rPr>
                <w:rFonts w:ascii="Times New Roman" w:cs="Times New Roman" w:eastAsia="Times New Roman" w:hAnsi="Times New Roman"/>
                <w:sz w:val="11"/>
                <w:szCs w:val="11"/>
                <w:color w:val="auto"/>
              </w:rPr>
              <w:t>(State or other jurisdiction of</w:t>
            </w:r>
          </w:p>
        </w:tc>
        <w:tc>
          <w:tcPr>
            <w:tcW w:w="1980" w:type="dxa"/>
            <w:vAlign w:val="bottom"/>
          </w:tcPr>
          <w:p>
            <w:pPr>
              <w:spacing w:after="0"/>
              <w:rPr>
                <w:sz w:val="10"/>
                <w:szCs w:val="10"/>
                <w:color w:val="auto"/>
              </w:rPr>
            </w:pPr>
          </w:p>
        </w:tc>
        <w:tc>
          <w:tcPr>
            <w:tcW w:w="2120" w:type="dxa"/>
            <w:vAlign w:val="bottom"/>
          </w:tcPr>
          <w:p>
            <w:pPr>
              <w:jc w:val="center"/>
              <w:ind w:right="301"/>
              <w:spacing w:after="0" w:line="123" w:lineRule="exact"/>
              <w:rPr>
                <w:sz w:val="20"/>
                <w:szCs w:val="20"/>
                <w:color w:val="auto"/>
              </w:rPr>
            </w:pPr>
            <w:r>
              <w:rPr>
                <w:rFonts w:ascii="Times New Roman" w:cs="Times New Roman" w:eastAsia="Times New Roman" w:hAnsi="Times New Roman"/>
                <w:sz w:val="11"/>
                <w:szCs w:val="11"/>
                <w:color w:val="auto"/>
              </w:rPr>
              <w:t>(I.R.S. Employer</w:t>
            </w:r>
          </w:p>
        </w:tc>
        <w:tc>
          <w:tcPr>
            <w:tcW w:w="680" w:type="dxa"/>
            <w:vAlign w:val="bottom"/>
          </w:tcPr>
          <w:p>
            <w:pPr>
              <w:spacing w:after="0"/>
              <w:rPr>
                <w:sz w:val="10"/>
                <w:szCs w:val="10"/>
                <w:color w:val="auto"/>
              </w:rPr>
            </w:pPr>
          </w:p>
        </w:tc>
      </w:tr>
      <w:tr>
        <w:trPr>
          <w:trHeight w:val="165"/>
        </w:trPr>
        <w:tc>
          <w:tcPr>
            <w:tcW w:w="600" w:type="dxa"/>
            <w:vAlign w:val="bottom"/>
          </w:tcPr>
          <w:p>
            <w:pPr>
              <w:spacing w:after="0"/>
              <w:rPr>
                <w:sz w:val="14"/>
                <w:szCs w:val="14"/>
                <w:color w:val="auto"/>
              </w:rPr>
            </w:pPr>
          </w:p>
        </w:tc>
        <w:tc>
          <w:tcPr>
            <w:tcW w:w="228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incorporation or organization)</w:t>
            </w:r>
            <w:r>
              <w:rPr>
                <w:rFonts w:ascii="Times New Roman" w:cs="Times New Roman" w:eastAsia="Times New Roman" w:hAnsi="Times New Roman"/>
                <w:sz w:val="12"/>
                <w:szCs w:val="12"/>
                <w:color w:val="auto"/>
              </w:rPr>
              <w:t>​</w:t>
            </w:r>
          </w:p>
        </w:tc>
        <w:tc>
          <w:tcPr>
            <w:tcW w:w="1980" w:type="dxa"/>
            <w:vAlign w:val="bottom"/>
          </w:tcPr>
          <w:p>
            <w:pPr>
              <w:spacing w:after="0"/>
              <w:rPr>
                <w:sz w:val="14"/>
                <w:szCs w:val="14"/>
                <w:color w:val="auto"/>
              </w:rPr>
            </w:pPr>
          </w:p>
        </w:tc>
        <w:tc>
          <w:tcPr>
            <w:tcW w:w="2120" w:type="dxa"/>
            <w:vAlign w:val="bottom"/>
          </w:tcPr>
          <w:p>
            <w:pPr>
              <w:jc w:val="center"/>
              <w:ind w:right="261"/>
              <w:spacing w:after="0"/>
              <w:rPr>
                <w:sz w:val="20"/>
                <w:szCs w:val="20"/>
                <w:color w:val="auto"/>
              </w:rPr>
            </w:pPr>
            <w:r>
              <w:rPr>
                <w:rFonts w:ascii="Times New Roman" w:cs="Times New Roman" w:eastAsia="Times New Roman" w:hAnsi="Times New Roman"/>
                <w:sz w:val="11"/>
                <w:szCs w:val="11"/>
                <w:color w:val="auto"/>
              </w:rPr>
              <w:t>Identification Number)</w:t>
            </w:r>
          </w:p>
        </w:tc>
        <w:tc>
          <w:tcPr>
            <w:tcW w:w="680" w:type="dxa"/>
            <w:vAlign w:val="bottom"/>
          </w:tcPr>
          <w:p>
            <w:pPr>
              <w:spacing w:after="0"/>
              <w:rPr>
                <w:sz w:val="14"/>
                <w:szCs w:val="14"/>
                <w:color w:val="auto"/>
              </w:rPr>
            </w:pPr>
          </w:p>
        </w:tc>
      </w:tr>
      <w:tr>
        <w:trPr>
          <w:trHeight w:val="288"/>
        </w:trPr>
        <w:tc>
          <w:tcPr>
            <w:tcW w:w="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98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4"/>
              </w:rPr>
              <w:t>7373 Gateway Blvd</w:t>
            </w:r>
          </w:p>
        </w:tc>
        <w:tc>
          <w:tcPr>
            <w:tcW w:w="2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48"/>
        </w:trPr>
        <w:tc>
          <w:tcPr>
            <w:tcW w:w="6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9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3"/>
                <w:szCs w:val="13"/>
                <w:b w:val="1"/>
                <w:bCs w:val="1"/>
                <w:color w:val="auto"/>
                <w:w w:val="93"/>
              </w:rPr>
              <w:t>Newark, CA 94560</w:t>
            </w:r>
          </w:p>
        </w:tc>
        <w:tc>
          <w:tcPr>
            <w:tcW w:w="21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64"/>
        </w:trPr>
        <w:tc>
          <w:tcPr>
            <w:tcW w:w="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8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w w:val="92"/>
              </w:rPr>
              <w:t>Telephone: (510) 648-3553</w:t>
            </w:r>
          </w:p>
        </w:tc>
        <w:tc>
          <w:tcPr>
            <w:tcW w:w="212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jc w:val="center"/>
        <w:ind w:right="-20"/>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r>
        <w:rPr>
          <w:rFonts w:ascii="Times New Roman" w:cs="Times New Roman" w:eastAsia="Times New Roman" w:hAnsi="Times New Roman"/>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58420</wp:posOffset>
            </wp:positionV>
            <wp:extent cx="96837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1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Peter Rawlinson</w:t>
      </w:r>
    </w:p>
    <w:p>
      <w:pPr>
        <w:jc w:val="center"/>
        <w:ind w:right="39"/>
        <w:spacing w:after="0" w:line="227" w:lineRule="auto"/>
        <w:rPr>
          <w:sz w:val="20"/>
          <w:szCs w:val="20"/>
          <w:color w:val="auto"/>
        </w:rPr>
      </w:pPr>
      <w:r>
        <w:rPr>
          <w:rFonts w:ascii="Times New Roman" w:cs="Times New Roman" w:eastAsia="Times New Roman" w:hAnsi="Times New Roman"/>
          <w:sz w:val="13"/>
          <w:szCs w:val="13"/>
          <w:b w:val="1"/>
          <w:bCs w:val="1"/>
          <w:color w:val="auto"/>
        </w:rPr>
        <w:t>Chief Executive Officer</w:t>
      </w: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7373 Gateway Blvd</w:t>
      </w:r>
    </w:p>
    <w:p>
      <w:pPr>
        <w:ind w:left="4000"/>
        <w:spacing w:after="0" w:line="221" w:lineRule="auto"/>
        <w:rPr>
          <w:sz w:val="20"/>
          <w:szCs w:val="20"/>
          <w:color w:val="auto"/>
        </w:rPr>
      </w:pPr>
      <w:r>
        <w:rPr>
          <w:rFonts w:ascii="Times New Roman" w:cs="Times New Roman" w:eastAsia="Times New Roman" w:hAnsi="Times New Roman"/>
          <w:sz w:val="13"/>
          <w:szCs w:val="13"/>
          <w:b w:val="1"/>
          <w:bCs w:val="1"/>
          <w:color w:val="auto"/>
        </w:rPr>
        <w:t>Newark, CA 94560</w:t>
      </w:r>
    </w:p>
    <w:p>
      <w:pPr>
        <w:ind w:left="3820"/>
        <w:spacing w:after="0"/>
        <w:rPr>
          <w:sz w:val="20"/>
          <w:szCs w:val="20"/>
          <w:color w:val="auto"/>
        </w:rPr>
      </w:pPr>
      <w:r>
        <w:rPr>
          <w:rFonts w:ascii="Times New Roman" w:cs="Times New Roman" w:eastAsia="Times New Roman" w:hAnsi="Times New Roman"/>
          <w:sz w:val="13"/>
          <w:szCs w:val="13"/>
          <w:b w:val="1"/>
          <w:bCs w:val="1"/>
          <w:color w:val="auto"/>
        </w:rPr>
        <w:t>Telephone: (510) 648-3553</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(Name, address, including zip code, and telephone number, including area code, of agent for service)</w:t>
      </w:r>
      <w:r>
        <w:rPr>
          <w:rFonts w:ascii="Times New Roman" w:cs="Times New Roman" w:eastAsia="Times New Roman" w:hAnsi="Times New Roman"/>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96837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Thomas J. Ivey</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Brian D. Paulson</w:t>
      </w:r>
    </w:p>
    <w:p>
      <w:pPr>
        <w:jc w:val="center"/>
        <w:ind w:right="39"/>
        <w:spacing w:after="0" w:line="221" w:lineRule="auto"/>
        <w:rPr>
          <w:sz w:val="20"/>
          <w:szCs w:val="20"/>
          <w:color w:val="auto"/>
        </w:rPr>
      </w:pPr>
      <w:r>
        <w:rPr>
          <w:rFonts w:ascii="Times New Roman" w:cs="Times New Roman" w:eastAsia="Times New Roman" w:hAnsi="Times New Roman"/>
          <w:sz w:val="13"/>
          <w:szCs w:val="13"/>
          <w:b w:val="1"/>
          <w:bCs w:val="1"/>
          <w:color w:val="auto"/>
        </w:rPr>
        <w:t>Skadden, Arps, Slate, Meagher &amp; Flom LLP</w:t>
      </w:r>
    </w:p>
    <w:p>
      <w:pPr>
        <w:jc w:val="center"/>
        <w:ind w:right="39"/>
        <w:spacing w:after="0" w:line="221" w:lineRule="auto"/>
        <w:rPr>
          <w:sz w:val="20"/>
          <w:szCs w:val="20"/>
          <w:color w:val="auto"/>
        </w:rPr>
      </w:pPr>
      <w:r>
        <w:rPr>
          <w:rFonts w:ascii="Times New Roman" w:cs="Times New Roman" w:eastAsia="Times New Roman" w:hAnsi="Times New Roman"/>
          <w:sz w:val="13"/>
          <w:szCs w:val="13"/>
          <w:b w:val="1"/>
          <w:bCs w:val="1"/>
          <w:color w:val="auto"/>
        </w:rPr>
        <w:t>525 University Avenue</w:t>
      </w:r>
    </w:p>
    <w:p>
      <w:pPr>
        <w:jc w:val="center"/>
        <w:ind w:right="39"/>
        <w:spacing w:after="0" w:line="238" w:lineRule="auto"/>
        <w:rPr>
          <w:sz w:val="20"/>
          <w:szCs w:val="20"/>
          <w:color w:val="auto"/>
        </w:rPr>
      </w:pPr>
      <w:r>
        <w:rPr>
          <w:rFonts w:ascii="Times New Roman" w:cs="Times New Roman" w:eastAsia="Times New Roman" w:hAnsi="Times New Roman"/>
          <w:sz w:val="13"/>
          <w:szCs w:val="13"/>
          <w:b w:val="1"/>
          <w:bCs w:val="1"/>
          <w:color w:val="auto"/>
        </w:rPr>
        <w:t>Palo Alto, CA 94301</w:t>
      </w:r>
    </w:p>
    <w:p>
      <w:pPr>
        <w:jc w:val="center"/>
        <w:spacing w:after="0"/>
        <w:rPr>
          <w:sz w:val="20"/>
          <w:szCs w:val="20"/>
          <w:color w:val="auto"/>
        </w:rPr>
      </w:pPr>
      <w:r>
        <w:rPr>
          <w:rFonts w:ascii="Times New Roman" w:cs="Times New Roman" w:eastAsia="Times New Roman" w:hAnsi="Times New Roman"/>
          <w:sz w:val="13"/>
          <w:szCs w:val="13"/>
          <w:b w:val="1"/>
          <w:bCs w:val="1"/>
          <w:color w:val="auto"/>
        </w:rPr>
        <w:t>Telephone: (650) 470-4522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96837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155" w:lineRule="exact"/>
        <w:rPr>
          <w:sz w:val="24"/>
          <w:szCs w:val="24"/>
          <w:color w:val="auto"/>
        </w:rPr>
      </w:pPr>
    </w:p>
    <w:p>
      <w:pPr>
        <w:ind w:left="680" w:right="1199" w:firstLine="282"/>
        <w:spacing w:after="0" w:line="246" w:lineRule="auto"/>
        <w:rPr>
          <w:sz w:val="20"/>
          <w:szCs w:val="20"/>
          <w:color w:val="auto"/>
        </w:rPr>
      </w:pPr>
      <w:r>
        <w:rPr>
          <w:rFonts w:ascii="Times New Roman" w:cs="Times New Roman" w:eastAsia="Times New Roman" w:hAnsi="Times New Roman"/>
          <w:sz w:val="13"/>
          <w:szCs w:val="13"/>
          <w:color w:val="auto"/>
        </w:rPr>
        <w:t>Approximate date of commencement of proposed sale to the public: From time to time after the effective date of this registration statement.</w:t>
      </w:r>
    </w:p>
    <w:p>
      <w:pPr>
        <w:spacing w:after="0" w:line="43" w:lineRule="exact"/>
        <w:rPr>
          <w:sz w:val="24"/>
          <w:szCs w:val="24"/>
          <w:color w:val="auto"/>
        </w:rPr>
      </w:pPr>
    </w:p>
    <w:p>
      <w:pPr>
        <w:ind w:left="680" w:right="739" w:firstLine="282"/>
        <w:spacing w:after="0" w:line="167"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27" w:lineRule="exact"/>
        <w:rPr>
          <w:sz w:val="24"/>
          <w:szCs w:val="24"/>
          <w:color w:val="auto"/>
        </w:rPr>
      </w:pPr>
    </w:p>
    <w:p>
      <w:pPr>
        <w:ind w:left="680" w:right="899" w:firstLine="282"/>
        <w:spacing w:after="0" w:line="154"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27" w:lineRule="exact"/>
        <w:rPr>
          <w:sz w:val="24"/>
          <w:szCs w:val="24"/>
          <w:color w:val="auto"/>
        </w:rPr>
      </w:pPr>
    </w:p>
    <w:p>
      <w:pPr>
        <w:ind w:left="680" w:right="819" w:firstLine="282"/>
        <w:spacing w:after="0" w:line="167"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7" w:lineRule="exact"/>
        <w:rPr>
          <w:sz w:val="24"/>
          <w:szCs w:val="24"/>
          <w:color w:val="auto"/>
        </w:rPr>
      </w:pPr>
    </w:p>
    <w:p>
      <w:pPr>
        <w:ind w:left="680" w:right="899" w:firstLine="282"/>
        <w:spacing w:after="0" w:line="162"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7" w:lineRule="exact"/>
        <w:rPr>
          <w:sz w:val="24"/>
          <w:szCs w:val="24"/>
          <w:color w:val="auto"/>
        </w:rPr>
      </w:pPr>
    </w:p>
    <w:p>
      <w:pPr>
        <w:ind w:left="680" w:right="1039" w:firstLine="282"/>
        <w:spacing w:after="0" w:line="162"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27" w:lineRule="exact"/>
        <w:rPr>
          <w:sz w:val="24"/>
          <w:szCs w:val="24"/>
          <w:color w:val="auto"/>
        </w:rPr>
      </w:pPr>
    </w:p>
    <w:p>
      <w:pPr>
        <w:ind w:left="680" w:right="719" w:firstLine="282"/>
        <w:spacing w:after="0" w:line="16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27" w:lineRule="exact"/>
        <w:rPr>
          <w:sz w:val="24"/>
          <w:szCs w:val="24"/>
          <w:color w:val="auto"/>
        </w:rPr>
      </w:pPr>
    </w:p>
    <w:p>
      <w:pPr>
        <w:ind w:left="680" w:right="859" w:firstLine="282"/>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41" w:lineRule="exact"/>
        <w:rPr>
          <w:sz w:val="24"/>
          <w:szCs w:val="24"/>
          <w:color w:val="auto"/>
        </w:rPr>
      </w:pPr>
    </w:p>
    <w:tbl>
      <w:tblPr>
        <w:tblLayout w:type="fixed"/>
        <w:tblInd w:w="960" w:type="dxa"/>
        <w:tblCellMar>
          <w:top w:w="0" w:type="dxa"/>
          <w:left w:w="0" w:type="dxa"/>
          <w:bottom w:w="0" w:type="dxa"/>
          <w:right w:w="0" w:type="dxa"/>
        </w:tblCellMar>
      </w:tblPr>
      <w:tr>
        <w:trPr>
          <w:trHeight w:val="166"/>
        </w:trPr>
        <w:tc>
          <w:tcPr>
            <w:tcW w:w="13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18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2720" w:type="dxa"/>
            <w:vAlign w:val="bottom"/>
            <w:gridSpan w:val="2"/>
          </w:tcPr>
          <w:p>
            <w:pPr>
              <w:ind w:left="980"/>
              <w:spacing w:after="0"/>
              <w:rPr>
                <w:sz w:val="20"/>
                <w:szCs w:val="20"/>
                <w:color w:val="auto"/>
              </w:rPr>
            </w:pPr>
            <w:r>
              <w:rPr>
                <w:rFonts w:ascii="Times New Roman" w:cs="Times New Roman" w:eastAsia="Times New Roman" w:hAnsi="Times New Roman"/>
                <w:sz w:val="13"/>
                <w:szCs w:val="13"/>
                <w:color w:val="auto"/>
              </w:rPr>
              <w:t>​ ​ Accelerated filer</w:t>
            </w:r>
          </w:p>
        </w:tc>
        <w:tc>
          <w:tcPr>
            <w:tcW w:w="106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8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3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vMerge w:val="restart"/>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1120" w:type="dxa"/>
            <w:vAlign w:val="bottom"/>
          </w:tcPr>
          <w:p>
            <w:pPr>
              <w:ind w:left="980"/>
              <w:spacing w:after="0" w:line="128" w:lineRule="exact"/>
              <w:rPr>
                <w:sz w:val="20"/>
                <w:szCs w:val="20"/>
                <w:color w:val="auto"/>
              </w:rPr>
            </w:pPr>
            <w:r>
              <w:rPr>
                <w:rFonts w:ascii="Times New Roman" w:cs="Times New Roman" w:eastAsia="Times New Roman" w:hAnsi="Times New Roman"/>
                <w:sz w:val="13"/>
                <w:szCs w:val="13"/>
                <w:color w:val="auto"/>
              </w:rPr>
              <w:t>​ ​</w:t>
            </w:r>
          </w:p>
        </w:tc>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060" w:type="dxa"/>
            <w:vAlign w:val="bottom"/>
            <w:vMerge w:val="restart"/>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860" w:type="dxa"/>
            <w:vAlign w:val="bottom"/>
          </w:tcPr>
          <w:p>
            <w:pPr>
              <w:ind w:left="820"/>
              <w:spacing w:after="0" w:line="12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63"/>
        </w:trPr>
        <w:tc>
          <w:tcPr>
            <w:tcW w:w="1300" w:type="dxa"/>
            <w:vAlign w:val="bottom"/>
          </w:tcPr>
          <w:p>
            <w:pPr>
              <w:spacing w:after="0" w:line="64" w:lineRule="exact"/>
              <w:rPr>
                <w:sz w:val="20"/>
                <w:szCs w:val="20"/>
                <w:color w:val="auto"/>
              </w:rPr>
            </w:pPr>
            <w:r>
              <w:rPr>
                <w:rFonts w:ascii="Times New Roman" w:cs="Times New Roman" w:eastAsia="Times New Roman" w:hAnsi="Times New Roman"/>
                <w:sz w:val="7"/>
                <w:szCs w:val="7"/>
                <w:color w:val="auto"/>
              </w:rPr>
              <w:t>Non-accelerated filer</w:t>
            </w:r>
          </w:p>
        </w:tc>
        <w:tc>
          <w:tcPr>
            <w:tcW w:w="11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5"/>
        </w:trPr>
        <w:tc>
          <w:tcPr>
            <w:tcW w:w="1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spacing w:after="0"/>
              <w:rPr>
                <w:sz w:val="24"/>
                <w:szCs w:val="24"/>
                <w:color w:val="auto"/>
              </w:rPr>
            </w:pPr>
          </w:p>
        </w:tc>
        <w:tc>
          <w:tcPr>
            <w:tcW w:w="2720" w:type="dxa"/>
            <w:vAlign w:val="bottom"/>
            <w:gridSpan w:val="2"/>
          </w:tcPr>
          <w:p>
            <w:pPr>
              <w:ind w:left="980"/>
              <w:spacing w:after="0"/>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Emerging growth company</w:t>
            </w:r>
          </w:p>
        </w:tc>
        <w:tc>
          <w:tcPr>
            <w:tcW w:w="106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8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80" w:right="1199" w:firstLine="282"/>
        <w:spacing w:after="0" w:line="16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435610</wp:posOffset>
            </wp:positionH>
            <wp:positionV relativeFrom="paragraph">
              <wp:posOffset>50800</wp:posOffset>
            </wp:positionV>
            <wp:extent cx="484886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48860" cy="6985"/>
                    </a:xfrm>
                    <a:prstGeom prst="rect">
                      <a:avLst/>
                    </a:prstGeom>
                    <a:noFill/>
                  </pic:spPr>
                </pic:pic>
              </a:graphicData>
            </a:graphic>
          </wp:anchor>
        </w:drawing>
      </w:r>
    </w:p>
    <w:p>
      <w:pPr>
        <w:spacing w:after="0" w:line="65"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435610</wp:posOffset>
            </wp:positionH>
            <wp:positionV relativeFrom="paragraph">
              <wp:posOffset>1905</wp:posOffset>
            </wp:positionV>
            <wp:extent cx="484886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48860" cy="13335"/>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197485</wp:posOffset>
            </wp:positionV>
            <wp:extent cx="53581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92" w:right="1440" w:bottom="1440" w:gutter="0" w:footer="0" w:header="0"/>
        </w:sectPr>
      </w:pPr>
    </w:p>
    <w:bookmarkStart w:id="1" w:name="page2"/>
    <w:bookmarkEnd w:id="1"/>
    <w:p>
      <w:pPr>
        <w:ind w:left="300"/>
        <w:spacing w:after="0"/>
        <w:rPr>
          <w:sz w:val="20"/>
          <w:szCs w:val="20"/>
          <w:color w:val="auto"/>
        </w:rPr>
      </w:pPr>
      <w:r>
        <w:rPr>
          <w:rFonts w:ascii="Calibri" w:cs="Calibri" w:eastAsia="Calibri" w:hAnsi="Calibri"/>
          <w:sz w:val="11"/>
          <w:szCs w:val="11"/>
          <w:color w:val="003366"/>
        </w:rPr>
        <w:t>TABLE OF CONTENTS</w:t>
      </w:r>
    </w:p>
    <w:p>
      <w:pPr>
        <w:spacing w:after="0" w:line="3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LUCID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80010</wp:posOffset>
            </wp:positionV>
            <wp:extent cx="2777490" cy="181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77490" cy="18161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Depositary Shares</w:t>
      </w:r>
    </w:p>
    <w:p>
      <w:pPr>
        <w:spacing w:after="0" w:line="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b w:val="1"/>
          <w:bCs w:val="1"/>
          <w:color w:val="auto"/>
        </w:rPr>
        <w:t>Debt Securities</w:t>
      </w:r>
    </w:p>
    <w:p>
      <w:pPr>
        <w:ind w:left="4140"/>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Subscription Rights</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Purchase Contracts</w:t>
      </w: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Purchase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73025</wp:posOffset>
            </wp:positionV>
            <wp:extent cx="96837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20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We may offer, issue and sell, together or separately:</w:t>
      </w:r>
    </w:p>
    <w:p>
      <w:pPr>
        <w:spacing w:after="0" w:line="83" w:lineRule="exact"/>
        <w:rPr>
          <w:sz w:val="20"/>
          <w:szCs w:val="20"/>
          <w:color w:val="auto"/>
        </w:rPr>
      </w:pPr>
    </w:p>
    <w:p>
      <w:pPr>
        <w:ind w:left="1100" w:hanging="135"/>
        <w:spacing w:after="0"/>
        <w:tabs>
          <w:tab w:leader="none" w:pos="1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our common stock;</w:t>
      </w:r>
    </w:p>
    <w:p>
      <w:pPr>
        <w:spacing w:after="0" w:line="82" w:lineRule="exact"/>
        <w:rPr>
          <w:rFonts w:ascii="Times New Roman" w:cs="Times New Roman" w:eastAsia="Times New Roman" w:hAnsi="Times New Roman"/>
          <w:sz w:val="14"/>
          <w:szCs w:val="14"/>
          <w:color w:val="auto"/>
        </w:rPr>
      </w:pPr>
    </w:p>
    <w:p>
      <w:pPr>
        <w:ind w:left="1100" w:hanging="135"/>
        <w:spacing w:after="0"/>
        <w:tabs>
          <w:tab w:leader="none" w:pos="1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our preferred stock, which may be issued in one or more series;</w:t>
      </w:r>
    </w:p>
    <w:p>
      <w:pPr>
        <w:spacing w:after="0" w:line="71" w:lineRule="exact"/>
        <w:rPr>
          <w:rFonts w:ascii="Times New Roman" w:cs="Times New Roman" w:eastAsia="Times New Roman" w:hAnsi="Times New Roman"/>
          <w:sz w:val="14"/>
          <w:szCs w:val="14"/>
          <w:color w:val="auto"/>
        </w:rPr>
      </w:pPr>
    </w:p>
    <w:p>
      <w:pPr>
        <w:ind w:left="1100" w:hanging="135"/>
        <w:spacing w:after="0"/>
        <w:tabs>
          <w:tab w:leader="none" w:pos="1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depositary receipts, representing fractional shares of our preferred stock, which are called depositary shares;</w:t>
      </w:r>
    </w:p>
    <w:p>
      <w:pPr>
        <w:spacing w:after="0" w:line="82" w:lineRule="exact"/>
        <w:rPr>
          <w:rFonts w:ascii="Times New Roman" w:cs="Times New Roman" w:eastAsia="Times New Roman" w:hAnsi="Times New Roman"/>
          <w:sz w:val="14"/>
          <w:szCs w:val="14"/>
          <w:color w:val="auto"/>
        </w:rPr>
      </w:pPr>
    </w:p>
    <w:p>
      <w:pPr>
        <w:ind w:left="1100" w:right="819" w:hanging="135"/>
        <w:spacing w:after="0" w:line="270" w:lineRule="auto"/>
        <w:tabs>
          <w:tab w:leader="none" w:pos="1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which may be issued in one or more series and which may be senior debt securities or subordinated debt securities;</w:t>
      </w:r>
    </w:p>
    <w:p>
      <w:pPr>
        <w:spacing w:after="0" w:line="29" w:lineRule="exact"/>
        <w:rPr>
          <w:rFonts w:ascii="Times New Roman" w:cs="Times New Roman" w:eastAsia="Times New Roman" w:hAnsi="Times New Roman"/>
          <w:sz w:val="14"/>
          <w:szCs w:val="14"/>
          <w:color w:val="auto"/>
        </w:rPr>
      </w:pPr>
    </w:p>
    <w:p>
      <w:pPr>
        <w:ind w:left="1100" w:hanging="135"/>
        <w:spacing w:after="0"/>
        <w:tabs>
          <w:tab w:leader="none" w:pos="1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to purchase shares of our common stock, shares of our preferred stock or our debt securities;</w:t>
      </w:r>
    </w:p>
    <w:p>
      <w:pPr>
        <w:spacing w:after="0" w:line="82" w:lineRule="exact"/>
        <w:rPr>
          <w:rFonts w:ascii="Times New Roman" w:cs="Times New Roman" w:eastAsia="Times New Roman" w:hAnsi="Times New Roman"/>
          <w:sz w:val="14"/>
          <w:szCs w:val="14"/>
          <w:color w:val="auto"/>
        </w:rPr>
      </w:pPr>
    </w:p>
    <w:p>
      <w:pPr>
        <w:ind w:left="1100" w:hanging="135"/>
        <w:spacing w:after="0"/>
        <w:tabs>
          <w:tab w:leader="none" w:pos="1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rights to purchase shares of our common stock, shares of our preferred stock or our debt securities;</w:t>
      </w:r>
    </w:p>
    <w:p>
      <w:pPr>
        <w:spacing w:after="0" w:line="82" w:lineRule="exact"/>
        <w:rPr>
          <w:rFonts w:ascii="Times New Roman" w:cs="Times New Roman" w:eastAsia="Times New Roman" w:hAnsi="Times New Roman"/>
          <w:sz w:val="14"/>
          <w:szCs w:val="14"/>
          <w:color w:val="auto"/>
        </w:rPr>
      </w:pPr>
    </w:p>
    <w:p>
      <w:pPr>
        <w:ind w:left="1100" w:hanging="135"/>
        <w:spacing w:after="0"/>
        <w:tabs>
          <w:tab w:leader="none" w:pos="1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contracts to purchase shares of our common stock, shares of our preferred stock or our debt securities; and</w:t>
      </w:r>
    </w:p>
    <w:p>
      <w:pPr>
        <w:spacing w:after="0" w:line="71" w:lineRule="exact"/>
        <w:rPr>
          <w:rFonts w:ascii="Times New Roman" w:cs="Times New Roman" w:eastAsia="Times New Roman" w:hAnsi="Times New Roman"/>
          <w:sz w:val="14"/>
          <w:szCs w:val="14"/>
          <w:color w:val="auto"/>
        </w:rPr>
      </w:pPr>
    </w:p>
    <w:p>
      <w:pPr>
        <w:ind w:left="1100" w:right="739" w:hanging="135"/>
        <w:spacing w:after="0" w:line="253" w:lineRule="auto"/>
        <w:tabs>
          <w:tab w:leader="none" w:pos="1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units, each representing ownership of a purchase contract and debt securities, preferred securities or debt obligations of third-parties, including U.S. treasury securities, or any combination of the foregoing, securing the holder’s obligation to purchase our common stock or other securities under the purchase contracts.</w:t>
      </w:r>
    </w:p>
    <w:p>
      <w:pPr>
        <w:spacing w:after="0" w:line="42" w:lineRule="exact"/>
        <w:rPr>
          <w:sz w:val="20"/>
          <w:szCs w:val="20"/>
          <w:color w:val="auto"/>
        </w:rPr>
      </w:pPr>
    </w:p>
    <w:p>
      <w:pPr>
        <w:ind w:left="680" w:right="699" w:firstLine="282"/>
        <w:spacing w:after="0" w:line="270" w:lineRule="auto"/>
        <w:rPr>
          <w:sz w:val="20"/>
          <w:szCs w:val="20"/>
          <w:color w:val="auto"/>
        </w:rPr>
      </w:pPr>
      <w:r>
        <w:rPr>
          <w:rFonts w:ascii="Times New Roman" w:cs="Times New Roman" w:eastAsia="Times New Roman" w:hAnsi="Times New Roman"/>
          <w:sz w:val="14"/>
          <w:szCs w:val="14"/>
          <w:color w:val="auto"/>
        </w:rPr>
        <w:t>In addition, selling securityholders may offer and sell, from time to time, these securities on terms described in a prospectus supplement.</w:t>
      </w:r>
    </w:p>
    <w:p>
      <w:pPr>
        <w:spacing w:after="0" w:line="40" w:lineRule="exact"/>
        <w:rPr>
          <w:sz w:val="20"/>
          <w:szCs w:val="20"/>
          <w:color w:val="auto"/>
        </w:rPr>
      </w:pPr>
    </w:p>
    <w:p>
      <w:pPr>
        <w:ind w:left="680" w:right="779" w:firstLine="282"/>
        <w:spacing w:after="0" w:line="242" w:lineRule="auto"/>
        <w:rPr>
          <w:sz w:val="20"/>
          <w:szCs w:val="20"/>
          <w:color w:val="auto"/>
        </w:rPr>
      </w:pPr>
      <w:r>
        <w:rPr>
          <w:rFonts w:ascii="Times New Roman" w:cs="Times New Roman" w:eastAsia="Times New Roman" w:hAnsi="Times New Roman"/>
          <w:sz w:val="14"/>
          <w:szCs w:val="14"/>
          <w:color w:val="auto"/>
        </w:rPr>
        <w:t>This prospectus describes some of the general terms that may apply to these securities. The specific terms of any securities to be offered will be described in a prospectus supplement. The prospectus supplement may also add, update or change information contained in this prospectus. You should read this prospectus and the applicable prospectus supplement carefully before you make your investment decision.</w:t>
      </w:r>
    </w:p>
    <w:p>
      <w:pPr>
        <w:spacing w:after="0" w:line="50" w:lineRule="exact"/>
        <w:rPr>
          <w:sz w:val="20"/>
          <w:szCs w:val="20"/>
          <w:color w:val="auto"/>
        </w:rPr>
      </w:pPr>
    </w:p>
    <w:p>
      <w:pPr>
        <w:ind w:left="680" w:right="719" w:firstLine="282"/>
        <w:spacing w:after="0" w:line="270" w:lineRule="auto"/>
        <w:rPr>
          <w:sz w:val="20"/>
          <w:szCs w:val="20"/>
          <w:color w:val="auto"/>
        </w:rPr>
      </w:pPr>
      <w:r>
        <w:rPr>
          <w:rFonts w:ascii="Times New Roman" w:cs="Times New Roman" w:eastAsia="Times New Roman" w:hAnsi="Times New Roman"/>
          <w:sz w:val="14"/>
          <w:szCs w:val="14"/>
          <w:color w:val="auto"/>
        </w:rPr>
        <w:t>We and/or the selling securityholders may offer and sell these securities to or through one or more underwriters, dealers and agents, or directly to purchasers, on a continuous or delayed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48260</wp:posOffset>
            </wp:positionV>
            <wp:extent cx="96837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16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96837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20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b w:val="1"/>
          <w:bCs w:val="1"/>
          <w:color w:val="auto"/>
        </w:rPr>
        <w:t xml:space="preserve">Investing in our securities involves a number of risks. See “Risk Factors” on page </w:t>
      </w:r>
      <w:r>
        <w:rPr>
          <w:rFonts w:ascii="Times New Roman" w:cs="Times New Roman" w:eastAsia="Times New Roman" w:hAnsi="Times New Roman"/>
          <w:sz w:val="13"/>
          <w:szCs w:val="13"/>
          <w:b w:val="1"/>
          <w:bCs w:val="1"/>
          <w:u w:val="single" w:color="auto"/>
          <w:color w:val="0000EE"/>
        </w:rPr>
        <w:t>8</w:t>
      </w:r>
      <w:r>
        <w:rPr>
          <w:rFonts w:ascii="Times New Roman" w:cs="Times New Roman" w:eastAsia="Times New Roman" w:hAnsi="Times New Roman"/>
          <w:sz w:val="13"/>
          <w:szCs w:val="13"/>
          <w:b w:val="1"/>
          <w:bCs w:val="1"/>
          <w:color w:val="auto"/>
        </w:rPr>
        <w:t xml:space="preserve"> before you make your investment decision.</w:t>
      </w:r>
    </w:p>
    <w:p>
      <w:pPr>
        <w:spacing w:after="0" w:line="96" w:lineRule="exact"/>
        <w:rPr>
          <w:sz w:val="20"/>
          <w:szCs w:val="20"/>
          <w:color w:val="auto"/>
        </w:rPr>
      </w:pPr>
    </w:p>
    <w:p>
      <w:pPr>
        <w:ind w:left="680" w:right="839" w:firstLine="282"/>
        <w:spacing w:after="0" w:line="242" w:lineRule="auto"/>
        <w:rPr>
          <w:sz w:val="20"/>
          <w:szCs w:val="20"/>
          <w:color w:val="auto"/>
        </w:rPr>
      </w:pPr>
      <w:r>
        <w:rPr>
          <w:rFonts w:ascii="Times New Roman" w:cs="Times New Roman" w:eastAsia="Times New Roman" w:hAnsi="Times New Roman"/>
          <w:sz w:val="14"/>
          <w:szCs w:val="14"/>
          <w:color w:val="auto"/>
        </w:rPr>
        <w:t>We may offer securities through underwriting syndicates managed or co -managed by one or more underwriters or dealers, through agents or directly to purchasers. These securities also may be resold by selling securityholders.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50" w:lineRule="exact"/>
        <w:rPr>
          <w:sz w:val="20"/>
          <w:szCs w:val="20"/>
          <w:color w:val="auto"/>
        </w:rPr>
      </w:pPr>
    </w:p>
    <w:p>
      <w:pPr>
        <w:ind w:left="680" w:right="1239" w:firstLine="282"/>
        <w:spacing w:after="0" w:line="270" w:lineRule="auto"/>
        <w:rPr>
          <w:sz w:val="20"/>
          <w:szCs w:val="20"/>
          <w:color w:val="auto"/>
        </w:rPr>
      </w:pPr>
      <w:r>
        <w:rPr>
          <w:rFonts w:ascii="Times New Roman" w:cs="Times New Roman" w:eastAsia="Times New Roman" w:hAnsi="Times New Roman"/>
          <w:sz w:val="14"/>
          <w:szCs w:val="14"/>
          <w:color w:val="auto"/>
        </w:rPr>
        <w:t>Our common stock is listed on The Nasdaq Stock Market LLC (“Nasdaq”) under the trading symbol “LCID.” Each prospectus supplement will indicate whether the securities offered thereby will be listed on any securities exchange.</w:t>
      </w:r>
    </w:p>
    <w:p>
      <w:pPr>
        <w:spacing w:after="0" w:line="38" w:lineRule="exact"/>
        <w:rPr>
          <w:sz w:val="20"/>
          <w:szCs w:val="20"/>
          <w:color w:val="auto"/>
        </w:rPr>
      </w:pPr>
    </w:p>
    <w:p>
      <w:pPr>
        <w:ind w:left="680" w:right="819" w:firstLine="282"/>
        <w:spacing w:after="0" w:line="247"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58420</wp:posOffset>
            </wp:positionV>
            <wp:extent cx="96837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date of this prospectus is October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196215</wp:posOffset>
            </wp:positionV>
            <wp:extent cx="53581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 w:name="page3"/>
    <w:bookmarkEnd w:id="2"/>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12700</wp:posOffset>
            </wp:positionV>
            <wp:extent cx="4088765" cy="134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88765" cy="134620"/>
                    </a:xfrm>
                    <a:prstGeom prst="rect">
                      <a:avLst/>
                    </a:prstGeom>
                    <a:noFill/>
                  </pic:spPr>
                </pic:pic>
              </a:graphicData>
            </a:graphic>
          </wp:anchor>
        </w:drawing>
      </w:r>
    </w:p>
    <w:p>
      <w:pPr>
        <w:spacing w:after="0" w:line="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ABOUT THIS PROSPECTUS</w:t>
      </w:r>
    </w:p>
    <w:p>
      <w:pPr>
        <w:spacing w:after="0" w:line="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14605</wp:posOffset>
            </wp:positionV>
            <wp:extent cx="4088765" cy="127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88765" cy="127635"/>
                    </a:xfrm>
                    <a:prstGeom prst="rect">
                      <a:avLst/>
                    </a:prstGeom>
                    <a:noFill/>
                  </pic:spPr>
                </pic:pic>
              </a:graphicData>
            </a:graphic>
          </wp:anchor>
        </w:drawing>
      </w:r>
    </w:p>
    <w:p>
      <w:pPr>
        <w:spacing w:after="0" w:line="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FREQUENTLY USED TERMS</w:t>
      </w:r>
    </w:p>
    <w:p>
      <w:pPr>
        <w:spacing w:after="0" w:line="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14605</wp:posOffset>
            </wp:positionV>
            <wp:extent cx="4088765" cy="134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88765" cy="134620"/>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THE COMPANY</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14605</wp:posOffset>
            </wp:positionV>
            <wp:extent cx="4088765" cy="13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88765" cy="134620"/>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14605</wp:posOffset>
            </wp:positionV>
            <wp:extent cx="4088765" cy="134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88765" cy="134620"/>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DESCRIPTION OF CAPITAL STOCK</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DESCRIPTION OF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14605</wp:posOffset>
            </wp:positionV>
            <wp:extent cx="4088765" cy="134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88765" cy="134620"/>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DESCRIPTION OF DEBT SECURITIES</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14605</wp:posOffset>
            </wp:positionV>
            <wp:extent cx="4088765" cy="134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88765" cy="134620"/>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DESCRIPTION OF SUBSCRIPTION RIGHTS</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DESCRIPTION OF PURCHASE CONTRACTS AND PURCHASE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14605</wp:posOffset>
            </wp:positionV>
            <wp:extent cx="4088765" cy="134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88765" cy="134620"/>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SELLING SECURITYHOLDERS</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14605</wp:posOffset>
            </wp:positionV>
            <wp:extent cx="4088765" cy="134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88765" cy="134620"/>
                    </a:xfrm>
                    <a:prstGeom prst="rect">
                      <a:avLst/>
                    </a:prstGeom>
                    <a:noFill/>
                  </pic:spPr>
                </pic:pic>
              </a:graphicData>
            </a:graphic>
          </wp:anchor>
        </w:drawing>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259"/>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2"/>
          <w:szCs w:val="22"/>
          <w:b w:val="1"/>
          <w:bCs w:val="1"/>
          <w:color w:val="auto"/>
          <w:vertAlign w:val="subscript"/>
        </w:rPr>
        <w:t>​</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ectPr>
          <w:pgSz w:w="11900" w:h="16838" w:orient="portrait"/>
          <w:cols w:equalWidth="0" w:num="2">
            <w:col w:w="6580" w:space="720"/>
            <w:col w:w="1719"/>
          </w:cols>
          <w:pgMar w:left="1440" w:top="107" w:right="1440" w:bottom="1440" w:gutter="0" w:footer="0" w:header="0"/>
        </w:sectPr>
      </w:pPr>
    </w:p>
    <w:bookmarkStart w:id="3" w:name="page4"/>
    <w:bookmarkEnd w:id="3"/>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7" w:lineRule="exact"/>
        <w:rPr>
          <w:sz w:val="20"/>
          <w:szCs w:val="20"/>
          <w:color w:val="auto"/>
        </w:rPr>
      </w:pPr>
    </w:p>
    <w:p>
      <w:pPr>
        <w:ind w:left="1280" w:right="1319" w:firstLine="282"/>
        <w:spacing w:after="0" w:line="255"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that we filed with the Securities and Exchange Commission (the “SEC”) as a “well-known seasoned issuer” as defined in Rule 405 under the Securities Act of 1933, as amended (the “Securities Act”), using a “shelf” registration process. Under this process, we and/or the selling securityholders may sell from time to time any combination of the securities described in this prospectus. This prospectus only provides you with a general description of the securities that we and/or the selling securityholders may offer. Each time we and/or the selling securityholders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268" w:lineRule="exact"/>
        <w:rPr>
          <w:sz w:val="20"/>
          <w:szCs w:val="20"/>
          <w:color w:val="auto"/>
        </w:rPr>
      </w:pPr>
    </w:p>
    <w:p>
      <w:pPr>
        <w:ind w:left="1280" w:right="1419" w:firstLine="282"/>
        <w:spacing w:after="0" w:line="258"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254" w:lineRule="exact"/>
        <w:rPr>
          <w:sz w:val="20"/>
          <w:szCs w:val="20"/>
          <w:color w:val="auto"/>
        </w:rPr>
      </w:pPr>
    </w:p>
    <w:p>
      <w:pPr>
        <w:ind w:left="1280" w:right="1379" w:firstLine="282"/>
        <w:spacing w:after="0" w:line="286" w:lineRule="auto"/>
        <w:rPr>
          <w:sz w:val="20"/>
          <w:szCs w:val="20"/>
          <w:color w:val="auto"/>
        </w:rPr>
      </w:pPr>
      <w:r>
        <w:rPr>
          <w:rFonts w:ascii="Times New Roman" w:cs="Times New Roman" w:eastAsia="Times New Roman" w:hAnsi="Times New Roman"/>
          <w:sz w:val="14"/>
          <w:szCs w:val="14"/>
          <w:color w:val="auto"/>
        </w:rPr>
        <w:t>The information in this prospectus is accurate as of the date on the front cover. You should not assume that the information contained in this prospectus is accurate as of any other date.</w:t>
      </w:r>
    </w:p>
    <w:p>
      <w:pPr>
        <w:spacing w:after="0" w:line="72" w:lineRule="exact"/>
        <w:rPr>
          <w:sz w:val="20"/>
          <w:szCs w:val="20"/>
          <w:color w:val="auto"/>
        </w:rPr>
      </w:pPr>
    </w:p>
    <w:p>
      <w:pPr>
        <w:jc w:val="both"/>
        <w:ind w:left="1280" w:right="1419" w:firstLine="282"/>
        <w:spacing w:after="0" w:line="286" w:lineRule="auto"/>
        <w:rPr>
          <w:sz w:val="20"/>
          <w:szCs w:val="20"/>
          <w:color w:val="auto"/>
        </w:rPr>
      </w:pPr>
      <w:r>
        <w:rPr>
          <w:rFonts w:ascii="Times New Roman" w:cs="Times New Roman" w:eastAsia="Times New Roman" w:hAnsi="Times New Roman"/>
          <w:sz w:val="14"/>
          <w:szCs w:val="14"/>
          <w:color w:val="auto"/>
        </w:rPr>
        <w:t>When used in this prospectus, the terms “Lucid,” the “Company,” “we,” “our” and “us” refer to Lucid Group, Inc. and its consolidated subsidiaries, unless otherwise specified or the context otherwise requires.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7" w:lineRule="exact"/>
        <w:rPr>
          <w:sz w:val="20"/>
          <w:szCs w:val="20"/>
          <w:color w:val="auto"/>
        </w:rPr>
      </w:pPr>
    </w:p>
    <w:p>
      <w:pPr>
        <w:ind w:left="1280" w:right="1599" w:firstLine="282"/>
        <w:spacing w:after="0" w:line="269"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73" w:lineRule="exact"/>
        <w:rPr>
          <w:sz w:val="20"/>
          <w:szCs w:val="20"/>
          <w:color w:val="auto"/>
        </w:rPr>
      </w:pPr>
    </w:p>
    <w:p>
      <w:pPr>
        <w:ind w:left="1280" w:right="1339" w:firstLine="282"/>
        <w:spacing w:after="0" w:line="256"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255" w:lineRule="exact"/>
        <w:rPr>
          <w:sz w:val="20"/>
          <w:szCs w:val="20"/>
          <w:color w:val="auto"/>
        </w:rPr>
      </w:pPr>
    </w:p>
    <w:p>
      <w:pPr>
        <w:ind w:left="1700" w:right="1659" w:hanging="133"/>
        <w:spacing w:after="0" w:line="286" w:lineRule="auto"/>
        <w:tabs>
          <w:tab w:leader="none" w:pos="1700" w:val="left"/>
        </w:tabs>
        <w:numPr>
          <w:ilvl w:val="0"/>
          <w:numId w:val="2"/>
        </w:numPr>
        <w:rPr>
          <w:rFonts w:ascii="Times New Roman" w:cs="Times New Roman" w:eastAsia="Times New Roman" w:hAnsi="Times New Roman"/>
          <w:sz w:val="14"/>
          <w:szCs w:val="14"/>
          <w:u w:val="single" w:color="auto"/>
          <w:color w:val="0000EE"/>
        </w:rPr>
      </w:pPr>
      <w:hyperlink r:id="rId35">
        <w:r>
          <w:rPr>
            <w:rFonts w:ascii="Times New Roman" w:cs="Times New Roman" w:eastAsia="Times New Roman" w:hAnsi="Times New Roman"/>
            <w:sz w:val="14"/>
            <w:szCs w:val="14"/>
            <w:u w:val="single" w:color="auto"/>
            <w:color w:val="0000EE"/>
          </w:rPr>
          <w:t>our Annual Report on Form 10-K for the year ended December 31, 2023, filed with the SEC on</w:t>
        </w:r>
      </w:hyperlink>
      <w:r>
        <w:rPr>
          <w:rFonts w:ascii="Times New Roman" w:cs="Times New Roman" w:eastAsia="Times New Roman" w:hAnsi="Times New Roman"/>
          <w:sz w:val="14"/>
          <w:szCs w:val="14"/>
          <w:u w:val="single" w:color="auto"/>
          <w:color w:val="0000EE"/>
        </w:rPr>
        <w:t xml:space="preserve"> </w:t>
      </w:r>
      <w:hyperlink r:id="rId35">
        <w:r>
          <w:rPr>
            <w:rFonts w:ascii="Times New Roman" w:cs="Times New Roman" w:eastAsia="Times New Roman" w:hAnsi="Times New Roman"/>
            <w:sz w:val="14"/>
            <w:szCs w:val="14"/>
            <w:u w:val="single" w:color="auto"/>
            <w:color w:val="0000EE"/>
          </w:rPr>
          <w:t>February 27, 2024 (the “Annual Report”);</w:t>
        </w:r>
      </w:hyperlink>
    </w:p>
    <w:p>
      <w:pPr>
        <w:spacing w:after="0" w:line="50" w:lineRule="exact"/>
        <w:rPr>
          <w:rFonts w:ascii="Times New Roman" w:cs="Times New Roman" w:eastAsia="Times New Roman" w:hAnsi="Times New Roman"/>
          <w:sz w:val="14"/>
          <w:szCs w:val="14"/>
          <w:u w:val="single" w:color="auto"/>
          <w:color w:val="0000EE"/>
        </w:rPr>
      </w:pPr>
    </w:p>
    <w:p>
      <w:pPr>
        <w:ind w:left="1700" w:right="1399" w:hanging="133"/>
        <w:spacing w:after="0" w:line="269" w:lineRule="auto"/>
        <w:tabs>
          <w:tab w:leader="none" w:pos="1700" w:val="left"/>
        </w:tabs>
        <w:numPr>
          <w:ilvl w:val="0"/>
          <w:numId w:val="2"/>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information specifically incorporated by reference into our Annual Report on Form 10-K for the </w:t>
      </w:r>
      <w:hyperlink r:id="rId36">
        <w:r>
          <w:rPr>
            <w:rFonts w:ascii="Times New Roman" w:cs="Times New Roman" w:eastAsia="Times New Roman" w:hAnsi="Times New Roman"/>
            <w:sz w:val="14"/>
            <w:szCs w:val="14"/>
            <w:color w:val="auto"/>
          </w:rPr>
          <w:t xml:space="preserve">fiscal year ended December 31, 2023 from our </w:t>
        </w:r>
        <w:r>
          <w:rPr>
            <w:rFonts w:ascii="Times New Roman" w:cs="Times New Roman" w:eastAsia="Times New Roman" w:hAnsi="Times New Roman"/>
            <w:sz w:val="14"/>
            <w:szCs w:val="14"/>
            <w:u w:val="single" w:color="auto"/>
            <w:color w:val="0000EE"/>
          </w:rPr>
          <w:t>definitive proxy statement on Schedule 14A, filed</w:t>
        </w:r>
      </w:hyperlink>
      <w:r>
        <w:rPr>
          <w:rFonts w:ascii="Times New Roman" w:cs="Times New Roman" w:eastAsia="Times New Roman" w:hAnsi="Times New Roman"/>
          <w:sz w:val="14"/>
          <w:szCs w:val="14"/>
          <w:color w:val="auto"/>
        </w:rPr>
        <w:t xml:space="preserve"> </w:t>
      </w:r>
      <w:hyperlink r:id="rId36">
        <w:r>
          <w:rPr>
            <w:rFonts w:ascii="Times New Roman" w:cs="Times New Roman" w:eastAsia="Times New Roman" w:hAnsi="Times New Roman"/>
            <w:sz w:val="14"/>
            <w:szCs w:val="14"/>
            <w:u w:val="single" w:color="auto"/>
            <w:color w:val="0000EE"/>
          </w:rPr>
          <w:t>with the SEC on April 25, 2024</w:t>
        </w:r>
        <w:r>
          <w:rPr>
            <w:rFonts w:ascii="Times New Roman" w:cs="Times New Roman" w:eastAsia="Times New Roman" w:hAnsi="Times New Roman"/>
            <w:sz w:val="14"/>
            <w:szCs w:val="14"/>
            <w:color w:val="000000"/>
          </w:rPr>
          <w:t>;</w:t>
        </w:r>
      </w:hyperlink>
    </w:p>
    <w:p>
      <w:pPr>
        <w:spacing w:after="0" w:line="62" w:lineRule="exact"/>
        <w:rPr>
          <w:rFonts w:ascii="Times New Roman" w:cs="Times New Roman" w:eastAsia="Times New Roman" w:hAnsi="Times New Roman"/>
          <w:sz w:val="14"/>
          <w:szCs w:val="14"/>
          <w:color w:val="0000EE"/>
        </w:rPr>
      </w:pPr>
    </w:p>
    <w:p>
      <w:pPr>
        <w:ind w:left="1700" w:right="1359" w:hanging="133"/>
        <w:spacing w:after="0" w:line="286" w:lineRule="auto"/>
        <w:tabs>
          <w:tab w:leader="none" w:pos="17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quarters ended March 31, 2024 and June 30, 2024, filed with the SEC on </w:t>
      </w:r>
      <w:hyperlink r:id="rId37">
        <w:r>
          <w:rPr>
            <w:rFonts w:ascii="Times New Roman" w:cs="Times New Roman" w:eastAsia="Times New Roman" w:hAnsi="Times New Roman"/>
            <w:sz w:val="14"/>
            <w:szCs w:val="14"/>
            <w:u w:val="single" w:color="auto"/>
            <w:color w:val="0000EE"/>
          </w:rPr>
          <w:t>May 6,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38">
        <w:r>
          <w:rPr>
            <w:rFonts w:ascii="Times New Roman" w:cs="Times New Roman" w:eastAsia="Times New Roman" w:hAnsi="Times New Roman"/>
            <w:sz w:val="14"/>
            <w:szCs w:val="14"/>
            <w:u w:val="single" w:color="auto"/>
            <w:color w:val="0000EE"/>
          </w:rPr>
          <w:t>August 5, 2024</w:t>
        </w:r>
      </w:hyperlink>
      <w:r>
        <w:rPr>
          <w:rFonts w:ascii="Times New Roman" w:cs="Times New Roman" w:eastAsia="Times New Roman" w:hAnsi="Times New Roman"/>
          <w:sz w:val="14"/>
          <w:szCs w:val="14"/>
          <w:color w:val="auto"/>
        </w:rPr>
        <w:t>, respectively;</w:t>
      </w:r>
    </w:p>
    <w:p>
      <w:pPr>
        <w:spacing w:after="0" w:line="61" w:lineRule="exact"/>
        <w:rPr>
          <w:rFonts w:ascii="Times New Roman" w:cs="Times New Roman" w:eastAsia="Times New Roman" w:hAnsi="Times New Roman"/>
          <w:sz w:val="14"/>
          <w:szCs w:val="14"/>
          <w:color w:val="auto"/>
        </w:rPr>
      </w:pPr>
    </w:p>
    <w:p>
      <w:pPr>
        <w:ind w:left="1700" w:right="1539" w:hanging="133"/>
        <w:spacing w:after="0" w:line="266" w:lineRule="auto"/>
        <w:tabs>
          <w:tab w:leader="none" w:pos="1700" w:val="left"/>
        </w:tabs>
        <w:numPr>
          <w:ilvl w:val="0"/>
          <w:numId w:val="2"/>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with the SEC on </w:t>
      </w:r>
      <w:hyperlink r:id="rId39">
        <w:r>
          <w:rPr>
            <w:rFonts w:ascii="Times New Roman" w:cs="Times New Roman" w:eastAsia="Times New Roman" w:hAnsi="Times New Roman"/>
            <w:sz w:val="14"/>
            <w:szCs w:val="14"/>
            <w:u w:val="single" w:color="auto"/>
            <w:color w:val="0000EE"/>
          </w:rPr>
          <w:t>January 26, 2024</w:t>
        </w:r>
      </w:hyperlink>
      <w:r>
        <w:rPr>
          <w:rFonts w:ascii="Times New Roman" w:cs="Times New Roman" w:eastAsia="Times New Roman" w:hAnsi="Times New Roman"/>
          <w:sz w:val="14"/>
          <w:szCs w:val="14"/>
          <w:color w:val="auto"/>
        </w:rPr>
        <w:t xml:space="preserve">, </w:t>
      </w:r>
      <w:hyperlink r:id="rId40">
        <w:r>
          <w:rPr>
            <w:rFonts w:ascii="Times New Roman" w:cs="Times New Roman" w:eastAsia="Times New Roman" w:hAnsi="Times New Roman"/>
            <w:sz w:val="14"/>
            <w:szCs w:val="14"/>
            <w:u w:val="single" w:color="auto"/>
            <w:color w:val="0000EE"/>
          </w:rPr>
          <w:t>February 15, 2024</w:t>
        </w:r>
      </w:hyperlink>
      <w:r>
        <w:rPr>
          <w:rFonts w:ascii="Times New Roman" w:cs="Times New Roman" w:eastAsia="Times New Roman" w:hAnsi="Times New Roman"/>
          <w:sz w:val="14"/>
          <w:szCs w:val="14"/>
          <w:color w:val="auto"/>
        </w:rPr>
        <w:t xml:space="preserve">, </w:t>
      </w:r>
      <w:hyperlink r:id="rId41">
        <w:r>
          <w:rPr>
            <w:rFonts w:ascii="Times New Roman" w:cs="Times New Roman" w:eastAsia="Times New Roman" w:hAnsi="Times New Roman"/>
            <w:sz w:val="14"/>
            <w:szCs w:val="14"/>
            <w:u w:val="single" w:color="auto"/>
            <w:color w:val="0000EE"/>
          </w:rPr>
          <w:t>March 25, 2024</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March 29, 2024</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May 6, 2024</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(only with respect to Item 5.02 therein),</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May 24,</w:t>
        </w:r>
      </w:hyperlink>
      <w:r>
        <w:rPr>
          <w:rFonts w:ascii="Times New Roman" w:cs="Times New Roman" w:eastAsia="Times New Roman" w:hAnsi="Times New Roman"/>
          <w:sz w:val="14"/>
          <w:szCs w:val="14"/>
          <w:color w:val="0000EE"/>
        </w:rPr>
        <w:t xml:space="preserve"> </w:t>
      </w:r>
      <w:hyperlink r:id="rId41">
        <w:r>
          <w:rPr>
            <w:rFonts w:ascii="Times New Roman" w:cs="Times New Roman" w:eastAsia="Times New Roman" w:hAnsi="Times New Roman"/>
            <w:sz w:val="14"/>
            <w:szCs w:val="14"/>
            <w:u w:val="single" w:color="auto"/>
            <w:color w:val="0000EE"/>
          </w:rPr>
          <w:t>2024</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(only with respect to Item 2.05 therein),</w:t>
        </w:r>
        <w:r>
          <w:rPr>
            <w:rFonts w:ascii="Times New Roman" w:cs="Times New Roman" w:eastAsia="Times New Roman" w:hAnsi="Times New Roman"/>
            <w:sz w:val="14"/>
            <w:szCs w:val="14"/>
            <w:color w:val="0000EE"/>
          </w:rPr>
          <w:t xml:space="preserve"> </w:t>
        </w:r>
      </w:hyperlink>
      <w:hyperlink r:id="rId42">
        <w:r>
          <w:rPr>
            <w:rFonts w:ascii="Times New Roman" w:cs="Times New Roman" w:eastAsia="Times New Roman" w:hAnsi="Times New Roman"/>
            <w:sz w:val="14"/>
            <w:szCs w:val="14"/>
            <w:u w:val="single" w:color="auto"/>
            <w:color w:val="0000EE"/>
          </w:rPr>
          <w:t>June 6, 2024</w:t>
        </w:r>
      </w:hyperlink>
      <w:hyperlink r:id="rId41">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43">
        <w:r>
          <w:rPr>
            <w:rFonts w:ascii="Times New Roman" w:cs="Times New Roman" w:eastAsia="Times New Roman" w:hAnsi="Times New Roman"/>
            <w:sz w:val="14"/>
            <w:szCs w:val="14"/>
            <w:u w:val="single" w:color="auto"/>
            <w:color w:val="0000EE"/>
          </w:rPr>
          <w:t xml:space="preserve">August 5, 2024 </w:t>
        </w:r>
      </w:hyperlink>
      <w:hyperlink r:id="rId41">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44">
        <w:r>
          <w:rPr>
            <w:rFonts w:ascii="Times New Roman" w:cs="Times New Roman" w:eastAsia="Times New Roman" w:hAnsi="Times New Roman"/>
            <w:sz w:val="14"/>
            <w:szCs w:val="14"/>
            <w:u w:val="single" w:color="auto"/>
            <w:color w:val="0000EE"/>
          </w:rPr>
          <w:t>August 19,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200" w:lineRule="exact"/>
        <w:rPr>
          <w:rFonts w:ascii="Times New Roman" w:cs="Times New Roman" w:eastAsia="Times New Roman" w:hAnsi="Times New Roman"/>
          <w:sz w:val="14"/>
          <w:szCs w:val="14"/>
          <w:color w:val="0000EE"/>
        </w:rPr>
      </w:pPr>
    </w:p>
    <w:p>
      <w:pPr>
        <w:spacing w:after="0" w:line="250"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 w:name="page5"/>
    <w:bookmarkEnd w:id="4"/>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700" w:right="1359" w:hanging="133"/>
        <w:spacing w:after="0" w:line="269"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capital stock contained in </w:t>
      </w:r>
      <w:hyperlink r:id="rId46">
        <w:r>
          <w:rPr>
            <w:rFonts w:ascii="Times New Roman" w:cs="Times New Roman" w:eastAsia="Times New Roman" w:hAnsi="Times New Roman"/>
            <w:sz w:val="14"/>
            <w:szCs w:val="14"/>
            <w:u w:val="single" w:color="auto"/>
            <w:color w:val="0000EE"/>
          </w:rPr>
          <w:t>Exhibit 4.6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of our Annual Report on Form 10-K for the year ended December 31, 2021, filed with the SEC on February 28, 2022, and any amendment or report filed for the purpose of updating such description.</w:t>
      </w:r>
    </w:p>
    <w:p>
      <w:pPr>
        <w:spacing w:after="0" w:line="84" w:lineRule="exact"/>
        <w:rPr>
          <w:sz w:val="20"/>
          <w:szCs w:val="20"/>
          <w:color w:val="auto"/>
        </w:rPr>
      </w:pPr>
    </w:p>
    <w:p>
      <w:pPr>
        <w:ind w:left="1280" w:right="1339" w:firstLine="282"/>
        <w:spacing w:after="0" w:line="262" w:lineRule="auto"/>
        <w:rPr>
          <w:sz w:val="20"/>
          <w:szCs w:val="20"/>
          <w:color w:val="auto"/>
        </w:rPr>
      </w:pPr>
      <w:r>
        <w:rPr>
          <w:rFonts w:ascii="Times New Roman" w:cs="Times New Roman" w:eastAsia="Times New Roman" w:hAnsi="Times New Roman"/>
          <w:sz w:val="14"/>
          <w:szCs w:val="14"/>
          <w:color w:val="auto"/>
        </w:rPr>
        <w:t>All documents filed by us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261" w:lineRule="exact"/>
        <w:rPr>
          <w:sz w:val="20"/>
          <w:szCs w:val="20"/>
          <w:color w:val="auto"/>
        </w:rPr>
      </w:pPr>
    </w:p>
    <w:p>
      <w:pPr>
        <w:ind w:left="1280" w:right="1359" w:firstLine="282"/>
        <w:spacing w:after="0" w:line="259" w:lineRule="auto"/>
        <w:rPr>
          <w:sz w:val="20"/>
          <w:szCs w:val="20"/>
          <w:color w:val="auto"/>
        </w:rPr>
      </w:pPr>
      <w:r>
        <w:rPr>
          <w:rFonts w:ascii="Times New Roman" w:cs="Times New Roman" w:eastAsia="Times New Roman" w:hAnsi="Times New Roman"/>
          <w:sz w:val="14"/>
          <w:szCs w:val="14"/>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contact us at Investor Relations at 7373 Gateway Boulevard, Newark, CA 94560, by email: investor@lucidmotors.com, or by telephone: (510) 648-3553.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 w:name="page6"/>
    <w:bookmarkEnd w:id="5"/>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FREQUENTLY USED TERMS</w:t>
      </w:r>
    </w:p>
    <w:p>
      <w:pPr>
        <w:spacing w:after="0" w:line="1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Unless otherwise stated in this prospectus or the context otherwise requires, references to:</w:t>
      </w:r>
    </w:p>
    <w:p>
      <w:pPr>
        <w:spacing w:after="0" w:line="1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“AMP-1” are to our Advanced Manufacturing Plant-1 in Casa Grande, Arizona;</w:t>
      </w:r>
    </w:p>
    <w:p>
      <w:pPr>
        <w:spacing w:after="0" w:line="114" w:lineRule="exact"/>
        <w:rPr>
          <w:sz w:val="20"/>
          <w:szCs w:val="20"/>
          <w:color w:val="auto"/>
        </w:rPr>
      </w:pPr>
    </w:p>
    <w:p>
      <w:pPr>
        <w:ind w:left="1280" w:right="1579" w:firstLine="282"/>
        <w:spacing w:after="0" w:line="279" w:lineRule="auto"/>
        <w:rPr>
          <w:sz w:val="20"/>
          <w:szCs w:val="20"/>
          <w:color w:val="auto"/>
        </w:rPr>
      </w:pPr>
      <w:r>
        <w:rPr>
          <w:rFonts w:ascii="Times New Roman" w:cs="Times New Roman" w:eastAsia="Times New Roman" w:hAnsi="Times New Roman"/>
          <w:sz w:val="14"/>
          <w:szCs w:val="14"/>
          <w:color w:val="auto"/>
        </w:rPr>
        <w:t>“AMP-2” are to our planned Advanced Manufacturing Plant-2 in Saudi Arabia, which consists of a semi knocked-down portion that has been completed and a completely-built-up portion that will be constructed;</w:t>
      </w:r>
    </w:p>
    <w:p>
      <w:pPr>
        <w:spacing w:after="0" w:line="251" w:lineRule="exact"/>
        <w:rPr>
          <w:sz w:val="20"/>
          <w:szCs w:val="20"/>
          <w:color w:val="auto"/>
        </w:rPr>
      </w:pPr>
    </w:p>
    <w:p>
      <w:pPr>
        <w:ind w:left="1280" w:right="1299" w:firstLine="282"/>
        <w:spacing w:after="0" w:line="286" w:lineRule="auto"/>
        <w:rPr>
          <w:sz w:val="20"/>
          <w:szCs w:val="20"/>
          <w:color w:val="auto"/>
        </w:rPr>
      </w:pPr>
      <w:r>
        <w:rPr>
          <w:rFonts w:ascii="Times New Roman" w:cs="Times New Roman" w:eastAsia="Times New Roman" w:hAnsi="Times New Roman"/>
          <w:sz w:val="14"/>
          <w:szCs w:val="14"/>
          <w:color w:val="auto"/>
        </w:rPr>
        <w:t>“Ayar” are to Ayar Third Investment Company, an affiliate of PIF and the controlling stockholder of the Company;</w:t>
      </w:r>
    </w:p>
    <w:p>
      <w:pPr>
        <w:spacing w:after="0" w:line="72" w:lineRule="exact"/>
        <w:rPr>
          <w:sz w:val="20"/>
          <w:szCs w:val="20"/>
          <w:color w:val="auto"/>
        </w:rPr>
      </w:pPr>
    </w:p>
    <w:p>
      <w:pPr>
        <w:ind w:left="1280" w:right="1879" w:firstLine="282"/>
        <w:spacing w:after="0" w:line="286" w:lineRule="auto"/>
        <w:rPr>
          <w:sz w:val="20"/>
          <w:szCs w:val="20"/>
          <w:color w:val="auto"/>
        </w:rPr>
      </w:pPr>
      <w:r>
        <w:rPr>
          <w:rFonts w:ascii="Times New Roman" w:cs="Times New Roman" w:eastAsia="Times New Roman" w:hAnsi="Times New Roman"/>
          <w:sz w:val="14"/>
          <w:szCs w:val="14"/>
          <w:color w:val="auto"/>
        </w:rPr>
        <w:t>“Board” or “Board of Directors” are to the board of directors of Lucid Group Inc., a Delaware corporation;</w:t>
      </w:r>
    </w:p>
    <w:p>
      <w:pPr>
        <w:spacing w:after="0" w:line="61" w:lineRule="exact"/>
        <w:rPr>
          <w:sz w:val="20"/>
          <w:szCs w:val="20"/>
          <w:color w:val="auto"/>
        </w:rPr>
      </w:pPr>
    </w:p>
    <w:p>
      <w:pPr>
        <w:ind w:left="1280" w:right="1459" w:firstLine="282"/>
        <w:spacing w:after="0" w:line="269" w:lineRule="auto"/>
        <w:rPr>
          <w:sz w:val="20"/>
          <w:szCs w:val="20"/>
          <w:color w:val="auto"/>
        </w:rPr>
      </w:pPr>
      <w:r>
        <w:rPr>
          <w:rFonts w:ascii="Times New Roman" w:cs="Times New Roman" w:eastAsia="Times New Roman" w:hAnsi="Times New Roman"/>
          <w:sz w:val="14"/>
          <w:szCs w:val="14"/>
          <w:color w:val="auto"/>
        </w:rPr>
        <w:t>“Churchill” or “CCIV”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84" w:lineRule="exact"/>
        <w:rPr>
          <w:sz w:val="20"/>
          <w:szCs w:val="20"/>
          <w:color w:val="auto"/>
        </w:rPr>
      </w:pPr>
    </w:p>
    <w:p>
      <w:pPr>
        <w:ind w:left="1560" w:right="1459"/>
        <w:spacing w:after="0" w:line="418" w:lineRule="auto"/>
        <w:rPr>
          <w:sz w:val="20"/>
          <w:szCs w:val="20"/>
          <w:color w:val="auto"/>
        </w:rPr>
      </w:pPr>
      <w:r>
        <w:rPr>
          <w:rFonts w:ascii="Times New Roman" w:cs="Times New Roman" w:eastAsia="Times New Roman" w:hAnsi="Times New Roman"/>
          <w:sz w:val="14"/>
          <w:szCs w:val="14"/>
          <w:color w:val="auto"/>
        </w:rPr>
        <w:t>“Churchill IPO” are to the initial public offering by Churchill which closed on August 3, 2020; “common stock” are to the Class A common stock of Lucid Group, Inc., par value $0.0001 per share;</w:t>
      </w:r>
    </w:p>
    <w:p>
      <w:pPr>
        <w:spacing w:after="0" w:line="1" w:lineRule="exact"/>
        <w:rPr>
          <w:sz w:val="20"/>
          <w:szCs w:val="20"/>
          <w:color w:val="auto"/>
        </w:rPr>
      </w:pPr>
    </w:p>
    <w:p>
      <w:pPr>
        <w:ind w:left="1280" w:right="1439" w:firstLine="282"/>
        <w:spacing w:after="0" w:line="286" w:lineRule="auto"/>
        <w:rPr>
          <w:sz w:val="20"/>
          <w:szCs w:val="20"/>
          <w:color w:val="auto"/>
        </w:rPr>
      </w:pPr>
      <w:r>
        <w:rPr>
          <w:rFonts w:ascii="Times New Roman" w:cs="Times New Roman" w:eastAsia="Times New Roman" w:hAnsi="Times New Roman"/>
          <w:sz w:val="14"/>
          <w:szCs w:val="14"/>
          <w:color w:val="auto"/>
        </w:rPr>
        <w:t>“current bylaws” are to the Company’s Second Amended and Restated Bylaws in effect as of the date of this prospectus;</w:t>
      </w:r>
    </w:p>
    <w:p>
      <w:pPr>
        <w:spacing w:after="0" w:line="72" w:lineRule="exact"/>
        <w:rPr>
          <w:sz w:val="20"/>
          <w:szCs w:val="20"/>
          <w:color w:val="auto"/>
        </w:rPr>
      </w:pPr>
    </w:p>
    <w:p>
      <w:pPr>
        <w:ind w:left="1280" w:right="1379" w:firstLine="282"/>
        <w:spacing w:after="0" w:line="286" w:lineRule="auto"/>
        <w:rPr>
          <w:sz w:val="20"/>
          <w:szCs w:val="20"/>
          <w:color w:val="auto"/>
        </w:rPr>
      </w:pPr>
      <w:r>
        <w:rPr>
          <w:rFonts w:ascii="Times New Roman" w:cs="Times New Roman" w:eastAsia="Times New Roman" w:hAnsi="Times New Roman"/>
          <w:sz w:val="14"/>
          <w:szCs w:val="14"/>
          <w:color w:val="auto"/>
        </w:rPr>
        <w:t>“current certificate of incorporation” are to the Company’s Third Amended and Restated Certificate of Incorporation in effect as of the date of this prospectus;</w:t>
      </w:r>
    </w:p>
    <w:p>
      <w:pPr>
        <w:spacing w:after="0" w:line="7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“DGCL” are to the Delaware General Corporation Law, as amended;</w:t>
      </w:r>
    </w:p>
    <w:p>
      <w:pPr>
        <w:spacing w:after="0" w:line="11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“EV” are to electric vehicle;</w:t>
      </w:r>
    </w:p>
    <w:p>
      <w:pPr>
        <w:spacing w:after="0" w:line="125" w:lineRule="exact"/>
        <w:rPr>
          <w:sz w:val="20"/>
          <w:szCs w:val="20"/>
          <w:color w:val="auto"/>
        </w:rPr>
      </w:pPr>
    </w:p>
    <w:p>
      <w:pPr>
        <w:ind w:left="1280" w:right="1399" w:firstLine="282"/>
        <w:spacing w:after="0" w:line="269" w:lineRule="auto"/>
        <w:rPr>
          <w:sz w:val="20"/>
          <w:szCs w:val="20"/>
          <w:color w:val="auto"/>
        </w:rPr>
      </w:pPr>
      <w:r>
        <w:rPr>
          <w:rFonts w:ascii="Times New Roman" w:cs="Times New Roman" w:eastAsia="Times New Roman" w:hAnsi="Times New Roman"/>
          <w:sz w:val="14"/>
          <w:szCs w:val="14"/>
          <w:color w:val="auto"/>
        </w:rPr>
        <w:t>“Investor Rights Agreement” are to the Investor Rights Agreement, dated as of February 22, 2021 and as may be amended from time to time, by and among the Company, the Sponsor, Ayar and certain other parties thereto;</w:t>
      </w:r>
    </w:p>
    <w:p>
      <w:pPr>
        <w:spacing w:after="0" w:line="84" w:lineRule="exact"/>
        <w:rPr>
          <w:sz w:val="20"/>
          <w:szCs w:val="20"/>
          <w:color w:val="auto"/>
        </w:rPr>
      </w:pPr>
    </w:p>
    <w:p>
      <w:pPr>
        <w:ind w:left="1280" w:right="1419" w:firstLine="282"/>
        <w:spacing w:after="0" w:line="279" w:lineRule="auto"/>
        <w:rPr>
          <w:sz w:val="20"/>
          <w:szCs w:val="20"/>
          <w:color w:val="auto"/>
        </w:rPr>
      </w:pPr>
      <w:r>
        <w:rPr>
          <w:rFonts w:ascii="Times New Roman" w:cs="Times New Roman" w:eastAsia="Times New Roman" w:hAnsi="Times New Roman"/>
          <w:sz w:val="14"/>
          <w:szCs w:val="14"/>
          <w:color w:val="auto"/>
        </w:rPr>
        <w:t>“Legacy Lucid” are to Atieva, Inc., d/b/a Lucid Motors, an exempted company incorporated with limited liability under the laws of the Cayman Islands, and its consolidated subsidiaries before the Closing Date;</w:t>
      </w:r>
    </w:p>
    <w:p>
      <w:pPr>
        <w:spacing w:after="0" w:line="24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“Merger” are to the merger of a merger subsidiary of Churchill and Atieva, Inc., with Atieva, Inc.</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surviving such merger as a wholly owned subsidiary of Churchill;</w:t>
      </w:r>
    </w:p>
    <w:p>
      <w:pPr>
        <w:spacing w:after="0" w:line="111" w:lineRule="exact"/>
        <w:rPr>
          <w:sz w:val="20"/>
          <w:szCs w:val="20"/>
          <w:color w:val="auto"/>
        </w:rPr>
      </w:pPr>
    </w:p>
    <w:p>
      <w:pPr>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“Merger Agreement”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time-to-time;</w:t>
      </w:r>
    </w:p>
    <w:p>
      <w:pPr>
        <w:spacing w:after="0" w:line="7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“Nasdaq” are to The Nasdaq Stock Market LLC;</w:t>
      </w:r>
    </w:p>
    <w:p>
      <w:pPr>
        <w:spacing w:after="0" w:line="1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“PIF” are to the Public Investment Fund, the sovereign wealth fund of Saudi Arabia;</w:t>
      </w:r>
    </w:p>
    <w:p>
      <w:pPr>
        <w:spacing w:after="0" w:line="125" w:lineRule="exact"/>
        <w:rPr>
          <w:sz w:val="20"/>
          <w:szCs w:val="20"/>
          <w:color w:val="auto"/>
        </w:rPr>
      </w:pPr>
    </w:p>
    <w:p>
      <w:pPr>
        <w:ind w:left="1280" w:right="1659" w:firstLine="282"/>
        <w:spacing w:after="0" w:line="286" w:lineRule="auto"/>
        <w:rPr>
          <w:sz w:val="20"/>
          <w:szCs w:val="20"/>
          <w:color w:val="auto"/>
        </w:rPr>
      </w:pPr>
      <w:r>
        <w:rPr>
          <w:rFonts w:ascii="Times New Roman" w:cs="Times New Roman" w:eastAsia="Times New Roman" w:hAnsi="Times New Roman"/>
          <w:sz w:val="14"/>
          <w:szCs w:val="14"/>
          <w:color w:val="auto"/>
        </w:rPr>
        <w:t>“Redeemable Convertible Preferred Stock” are to the Series A and Series B Convertible Preferred Stock of Lucid Group, Inc., par value $0.0001 per share;</w:t>
      </w:r>
    </w:p>
    <w:p>
      <w:pPr>
        <w:spacing w:after="0" w:line="61" w:lineRule="exact"/>
        <w:rPr>
          <w:sz w:val="20"/>
          <w:szCs w:val="20"/>
          <w:color w:val="auto"/>
        </w:rPr>
      </w:pPr>
    </w:p>
    <w:p>
      <w:pPr>
        <w:ind w:left="1280" w:right="1479" w:firstLine="282"/>
        <w:spacing w:after="0" w:line="279" w:lineRule="auto"/>
        <w:rPr>
          <w:sz w:val="20"/>
          <w:szCs w:val="20"/>
          <w:color w:val="auto"/>
        </w:rPr>
      </w:pPr>
      <w:r>
        <w:rPr>
          <w:rFonts w:ascii="Times New Roman" w:cs="Times New Roman" w:eastAsia="Times New Roman" w:hAnsi="Times New Roman"/>
          <w:sz w:val="14"/>
          <w:szCs w:val="14"/>
          <w:color w:val="auto"/>
        </w:rPr>
        <w:t>“Sponsor” are to Churchill Sponsor IV LLC, a Delaware limited liability company and an affiliate of M. Klein and Company, LLC in which certain of Churchill’s directors and officers hold membership interests;</w:t>
      </w:r>
    </w:p>
    <w:p>
      <w:pPr>
        <w:spacing w:after="0" w:line="251" w:lineRule="exact"/>
        <w:rPr>
          <w:sz w:val="20"/>
          <w:szCs w:val="20"/>
          <w:color w:val="auto"/>
        </w:rPr>
      </w:pPr>
    </w:p>
    <w:p>
      <w:pPr>
        <w:ind w:left="1280" w:right="1439" w:firstLine="282"/>
        <w:spacing w:after="0" w:line="286" w:lineRule="auto"/>
        <w:rPr>
          <w:sz w:val="20"/>
          <w:szCs w:val="20"/>
          <w:color w:val="auto"/>
        </w:rPr>
      </w:pPr>
      <w:r>
        <w:rPr>
          <w:rFonts w:ascii="Times New Roman" w:cs="Times New Roman" w:eastAsia="Times New Roman" w:hAnsi="Times New Roman"/>
          <w:sz w:val="14"/>
          <w:szCs w:val="14"/>
          <w:color w:val="auto"/>
        </w:rPr>
        <w:t>“Transactions” are to the Merger, together with the other transactions consummated under the Merger Agreement and the related agreements; and</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203835</wp:posOffset>
            </wp:positionV>
            <wp:extent cx="53581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 w:name="page7"/>
    <w:bookmarkEnd w:id="6"/>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419" w:firstLine="282"/>
        <w:spacing w:after="0" w:line="286" w:lineRule="auto"/>
        <w:rPr>
          <w:sz w:val="20"/>
          <w:szCs w:val="20"/>
          <w:color w:val="auto"/>
        </w:rPr>
      </w:pPr>
      <w:r>
        <w:rPr>
          <w:rFonts w:ascii="Times New Roman" w:cs="Times New Roman" w:eastAsia="Times New Roman" w:hAnsi="Times New Roman"/>
          <w:sz w:val="14"/>
          <w:szCs w:val="14"/>
          <w:color w:val="auto"/>
        </w:rPr>
        <w:t>“Private Placement Warrants” are to Churchill’s warrants issued to the Sponsor in a private placement simultaneously with the closing of the Churchill IPO;</w:t>
      </w:r>
    </w:p>
    <w:p>
      <w:pPr>
        <w:spacing w:after="0" w:line="72" w:lineRule="exact"/>
        <w:rPr>
          <w:sz w:val="20"/>
          <w:szCs w:val="20"/>
          <w:color w:val="auto"/>
        </w:rPr>
      </w:pPr>
    </w:p>
    <w:p>
      <w:pPr>
        <w:ind w:left="1280" w:right="1619" w:firstLine="282"/>
        <w:spacing w:after="0" w:line="269" w:lineRule="auto"/>
        <w:rPr>
          <w:sz w:val="20"/>
          <w:szCs w:val="20"/>
          <w:color w:val="auto"/>
        </w:rPr>
      </w:pPr>
      <w:r>
        <w:rPr>
          <w:rFonts w:ascii="Times New Roman" w:cs="Times New Roman" w:eastAsia="Times New Roman" w:hAnsi="Times New Roman"/>
          <w:sz w:val="14"/>
          <w:szCs w:val="14"/>
          <w:color w:val="auto"/>
        </w:rPr>
        <w:t>“Promissory Note” are to the unsecured promissory note issued by Churchill to the Sponsor in an aggregate principal amount of $1,500,000. The Sponsor has elected to exercise its option to convert the unpaid balance of the Note of $1,500,000 into Working Capital Warrants;</w:t>
      </w:r>
    </w:p>
    <w:p>
      <w:pPr>
        <w:spacing w:after="0" w:line="84" w:lineRule="exact"/>
        <w:rPr>
          <w:sz w:val="20"/>
          <w:szCs w:val="20"/>
          <w:color w:val="auto"/>
        </w:rPr>
      </w:pPr>
    </w:p>
    <w:p>
      <w:pPr>
        <w:ind w:left="1280" w:right="1519" w:firstLine="282"/>
        <w:spacing w:after="0" w:line="286" w:lineRule="auto"/>
        <w:rPr>
          <w:sz w:val="20"/>
          <w:szCs w:val="20"/>
          <w:color w:val="auto"/>
        </w:rPr>
      </w:pPr>
      <w:r>
        <w:rPr>
          <w:rFonts w:ascii="Times New Roman" w:cs="Times New Roman" w:eastAsia="Times New Roman" w:hAnsi="Times New Roman"/>
          <w:sz w:val="14"/>
          <w:szCs w:val="14"/>
          <w:color w:val="auto"/>
        </w:rPr>
        <w:t>“Warrant Agreement” are to the Warrant Agreement, dated July 29, 2020, entered into in connection with the Churchill IPO by and between Continental Stock Transfer &amp; Trust Company and Churchill; and</w:t>
      </w:r>
    </w:p>
    <w:p>
      <w:pPr>
        <w:spacing w:after="0" w:line="61" w:lineRule="exact"/>
        <w:rPr>
          <w:sz w:val="20"/>
          <w:szCs w:val="20"/>
          <w:color w:val="auto"/>
        </w:rPr>
      </w:pPr>
    </w:p>
    <w:p>
      <w:pPr>
        <w:ind w:left="1280" w:right="1399" w:firstLine="282"/>
        <w:spacing w:after="0" w:line="286" w:lineRule="auto"/>
        <w:rPr>
          <w:sz w:val="20"/>
          <w:szCs w:val="20"/>
          <w:color w:val="auto"/>
        </w:rPr>
      </w:pPr>
      <w:r>
        <w:rPr>
          <w:rFonts w:ascii="Times New Roman" w:cs="Times New Roman" w:eastAsia="Times New Roman" w:hAnsi="Times New Roman"/>
          <w:sz w:val="14"/>
          <w:szCs w:val="14"/>
          <w:color w:val="auto"/>
        </w:rPr>
        <w:t>“Working Capital Warrants” are to the Company’s warrants to purchase common stock pursuant to the terms of the Promissory Note, on terms identical to the terms of the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 w:name="page8"/>
    <w:bookmarkEnd w:id="7"/>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27" w:lineRule="exact"/>
        <w:rPr>
          <w:sz w:val="20"/>
          <w:szCs w:val="20"/>
          <w:color w:val="auto"/>
        </w:rPr>
      </w:pPr>
    </w:p>
    <w:p>
      <w:pPr>
        <w:ind w:left="1280" w:right="1339" w:firstLine="282"/>
        <w:spacing w:after="0" w:line="262"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and any documents incorporated by reference contain statements that express our opinions, expectations, beliefs, plans, objectives, assumptions or projections regarding future events or future results and therefore are, or may be deemed to be, “forward-looking statements” within the meaning of Section 27A of the Securities Act and Section 21E of the Exchange Act.</w:t>
      </w:r>
    </w:p>
    <w:p>
      <w:pPr>
        <w:spacing w:after="0" w:line="261" w:lineRule="exact"/>
        <w:rPr>
          <w:sz w:val="20"/>
          <w:szCs w:val="20"/>
          <w:color w:val="auto"/>
        </w:rPr>
      </w:pPr>
    </w:p>
    <w:p>
      <w:pPr>
        <w:ind w:left="1280" w:right="1359" w:firstLine="282"/>
        <w:spacing w:after="0" w:line="254" w:lineRule="auto"/>
        <w:rPr>
          <w:sz w:val="20"/>
          <w:szCs w:val="20"/>
          <w:color w:val="auto"/>
        </w:rPr>
      </w:pPr>
      <w:r>
        <w:rPr>
          <w:rFonts w:ascii="Times New Roman" w:cs="Times New Roman" w:eastAsia="Times New Roman" w:hAnsi="Times New Roman"/>
          <w:sz w:val="14"/>
          <w:szCs w:val="14"/>
          <w:color w:val="auto"/>
        </w:rPr>
        <w:t>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They appear in a number of places throughout this prospectus and the documents incorporated by reference into this prospectus 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technology,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manufacturing facility in Saudi Arabia and related timing and value to us,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spacing w:after="0" w:line="238" w:lineRule="exact"/>
        <w:rPr>
          <w:sz w:val="20"/>
          <w:szCs w:val="20"/>
          <w:color w:val="auto"/>
        </w:rPr>
      </w:pPr>
    </w:p>
    <w:p>
      <w:pPr>
        <w:jc w:val="both"/>
        <w:ind w:left="1700" w:right="1339" w:hanging="133"/>
        <w:spacing w:after="0" w:line="269" w:lineRule="auto"/>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domestic and foreign business, market, financial, political and legal conditions, including government closures of banks and liquidity concerns at other financial institutions, a potential global economic recession or other downturn and global conflicts or other geopolitical events;</w:t>
      </w:r>
    </w:p>
    <w:p>
      <w:pPr>
        <w:spacing w:after="0" w:line="51" w:lineRule="exact"/>
        <w:rPr>
          <w:rFonts w:ascii="Times New Roman" w:cs="Times New Roman" w:eastAsia="Times New Roman" w:hAnsi="Times New Roman"/>
          <w:sz w:val="14"/>
          <w:szCs w:val="14"/>
          <w:color w:val="auto"/>
        </w:rPr>
      </w:pPr>
    </w:p>
    <w:p>
      <w:pPr>
        <w:ind w:left="1700" w:right="1479" w:hanging="133"/>
        <w:spacing w:after="0" w:line="286" w:lineRule="auto"/>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changes in overall demand for our products and services and cancellation of orders for our vehicles;</w:t>
      </w:r>
    </w:p>
    <w:p>
      <w:pPr>
        <w:spacing w:after="0" w:line="39" w:lineRule="exact"/>
        <w:rPr>
          <w:rFonts w:ascii="Times New Roman" w:cs="Times New Roman" w:eastAsia="Times New Roman" w:hAnsi="Times New Roman"/>
          <w:sz w:val="14"/>
          <w:szCs w:val="14"/>
          <w:color w:val="auto"/>
        </w:rPr>
      </w:pPr>
    </w:p>
    <w:p>
      <w:pPr>
        <w:ind w:left="1700" w:right="1759" w:hanging="133"/>
        <w:spacing w:after="0" w:line="269" w:lineRule="auto"/>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spacing w:after="0" w:line="51"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uncertainty of our projected financial information;</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timing of expected business milestones and commercial product launches;</w:t>
      </w:r>
    </w:p>
    <w:p>
      <w:pPr>
        <w:spacing w:after="0" w:line="93" w:lineRule="exact"/>
        <w:rPr>
          <w:rFonts w:ascii="Times New Roman" w:cs="Times New Roman" w:eastAsia="Times New Roman" w:hAnsi="Times New Roman"/>
          <w:sz w:val="14"/>
          <w:szCs w:val="14"/>
          <w:color w:val="auto"/>
        </w:rPr>
      </w:pPr>
    </w:p>
    <w:p>
      <w:pPr>
        <w:ind w:left="1700" w:right="1479" w:hanging="133"/>
        <w:spacing w:after="0" w:line="286" w:lineRule="auto"/>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expansion of our manufacturing facility, the construction of new manufacturing facilities and the increase of our production capacity;</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issuance and sale of shares of our Redeemable Convertible Preferred Stock;</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expenses and control costs;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future market adoption of our offerings;</w:t>
      </w:r>
    </w:p>
    <w:p>
      <w:pPr>
        <w:spacing w:after="0" w:line="93" w:lineRule="exact"/>
        <w:rPr>
          <w:rFonts w:ascii="Times New Roman" w:cs="Times New Roman" w:eastAsia="Times New Roman" w:hAnsi="Times New Roman"/>
          <w:sz w:val="14"/>
          <w:szCs w:val="14"/>
          <w:color w:val="auto"/>
        </w:rPr>
      </w:pPr>
    </w:p>
    <w:p>
      <w:pPr>
        <w:ind w:left="1700" w:right="1739" w:hanging="133"/>
        <w:spacing w:after="0" w:line="286" w:lineRule="auto"/>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competition and the pace and depth of electric vehicle adoption generally on our business;</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requirements, governmental incentives and fuel and energy prices;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rapidly innovate;</w:t>
      </w:r>
    </w:p>
    <w:p>
      <w:pPr>
        <w:spacing w:after="0" w:line="93" w:lineRule="exact"/>
        <w:rPr>
          <w:rFonts w:ascii="Times New Roman" w:cs="Times New Roman" w:eastAsia="Times New Roman" w:hAnsi="Times New Roman"/>
          <w:sz w:val="14"/>
          <w:szCs w:val="14"/>
          <w:color w:val="auto"/>
        </w:rPr>
      </w:pPr>
    </w:p>
    <w:p>
      <w:pPr>
        <w:ind w:left="1700" w:right="1319" w:hanging="133"/>
        <w:spacing w:after="0" w:line="269" w:lineRule="auto"/>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or maintain partnerships with original equipment manufacturers, vendors and technology providers, including our ability to realize the anticipated benefits of our transaction with Aston Martin;</w:t>
      </w:r>
    </w:p>
    <w:p>
      <w:pPr>
        <w:spacing w:after="0" w:line="51" w:lineRule="exact"/>
        <w:rPr>
          <w:rFonts w:ascii="Times New Roman" w:cs="Times New Roman" w:eastAsia="Times New Roman" w:hAnsi="Times New Roman"/>
          <w:sz w:val="14"/>
          <w:szCs w:val="14"/>
          <w:color w:val="auto"/>
        </w:rPr>
      </w:pPr>
    </w:p>
    <w:p>
      <w:pPr>
        <w:ind w:left="1700" w:right="1599" w:hanging="133"/>
        <w:spacing w:after="0" w:line="286" w:lineRule="auto"/>
        <w:tabs>
          <w:tab w:leader="none" w:pos="17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 and recruit and retain key employees, including our chief executive officer and executive team;</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8" w:name="page9"/>
    <w:bookmarkEnd w:id="8"/>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700" w:hanging="133"/>
        <w:spacing w:after="0"/>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potential vehicle recalls;</w:t>
      </w:r>
    </w:p>
    <w:p>
      <w:pPr>
        <w:spacing w:after="0" w:line="93" w:lineRule="exact"/>
        <w:rPr>
          <w:rFonts w:ascii="Times New Roman" w:cs="Times New Roman" w:eastAsia="Times New Roman" w:hAnsi="Times New Roman"/>
          <w:sz w:val="14"/>
          <w:szCs w:val="14"/>
          <w:color w:val="auto"/>
        </w:rPr>
      </w:pPr>
    </w:p>
    <w:p>
      <w:pPr>
        <w:ind w:left="1700" w:right="1659" w:hanging="133"/>
        <w:spacing w:after="0" w:line="286" w:lineRule="auto"/>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expand our brand, and capture additional market share, and the risks associated with negative press or reputational harm;</w:t>
      </w:r>
    </w:p>
    <w:p>
      <w:pPr>
        <w:spacing w:after="0" w:line="39" w:lineRule="exact"/>
        <w:rPr>
          <w:rFonts w:ascii="Times New Roman" w:cs="Times New Roman" w:eastAsia="Times New Roman" w:hAnsi="Times New Roman"/>
          <w:sz w:val="14"/>
          <w:szCs w:val="14"/>
          <w:color w:val="auto"/>
        </w:rPr>
      </w:pPr>
    </w:p>
    <w:p>
      <w:pPr>
        <w:ind w:left="1700" w:right="1479" w:hanging="133"/>
        <w:spacing w:after="0" w:line="286" w:lineRule="auto"/>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utilize zero emission vehicle credits and obtain and utilize certain tax and other incentives;</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conduct equity, equity-linked, or debt financing in the future;</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pay interest and principal on our indebtedness;</w:t>
      </w:r>
    </w:p>
    <w:p>
      <w:pPr>
        <w:spacing w:after="0" w:line="93" w:lineRule="exact"/>
        <w:rPr>
          <w:rFonts w:ascii="Times New Roman" w:cs="Times New Roman" w:eastAsia="Times New Roman" w:hAnsi="Times New Roman"/>
          <w:sz w:val="14"/>
          <w:szCs w:val="14"/>
          <w:color w:val="auto"/>
        </w:rPr>
      </w:pPr>
    </w:p>
    <w:p>
      <w:pPr>
        <w:ind w:left="1700" w:right="1939" w:hanging="133"/>
        <w:spacing w:after="0" w:line="286" w:lineRule="auto"/>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changes to vehicle specifications which may impact performance, pricing, and other expectations;</w:t>
      </w:r>
    </w:p>
    <w:p>
      <w:pPr>
        <w:spacing w:after="0" w:line="39" w:lineRule="exact"/>
        <w:rPr>
          <w:rFonts w:ascii="Times New Roman" w:cs="Times New Roman" w:eastAsia="Times New Roman" w:hAnsi="Times New Roman"/>
          <w:sz w:val="14"/>
          <w:szCs w:val="14"/>
          <w:color w:val="auto"/>
        </w:rPr>
      </w:pPr>
    </w:p>
    <w:p>
      <w:pPr>
        <w:ind w:left="1700" w:right="1459" w:hanging="133"/>
        <w:spacing w:after="0" w:line="286" w:lineRule="auto"/>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potential litigation, government and regulatory proceedings, investigations and inquiries; and</w:t>
      </w:r>
    </w:p>
    <w:p>
      <w:pPr>
        <w:spacing w:after="0" w:line="39" w:lineRule="exact"/>
        <w:rPr>
          <w:rFonts w:ascii="Times New Roman" w:cs="Times New Roman" w:eastAsia="Times New Roman" w:hAnsi="Times New Roman"/>
          <w:sz w:val="14"/>
          <w:szCs w:val="14"/>
          <w:color w:val="auto"/>
        </w:rPr>
      </w:pPr>
    </w:p>
    <w:p>
      <w:pPr>
        <w:ind w:left="1700" w:right="2039" w:hanging="133"/>
        <w:spacing w:after="0" w:line="286" w:lineRule="auto"/>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disclosed in this prospectus or our other filings with the SEC, including any accompanying prospectus supplement.</w:t>
      </w:r>
    </w:p>
    <w:p>
      <w:pPr>
        <w:spacing w:after="0" w:line="72" w:lineRule="exact"/>
        <w:rPr>
          <w:sz w:val="20"/>
          <w:szCs w:val="20"/>
          <w:color w:val="auto"/>
        </w:rPr>
      </w:pPr>
    </w:p>
    <w:p>
      <w:pPr>
        <w:ind w:left="1280" w:right="1379" w:firstLine="282"/>
        <w:spacing w:after="0" w:line="256" w:lineRule="auto"/>
        <w:rPr>
          <w:sz w:val="20"/>
          <w:szCs w:val="20"/>
          <w:color w:val="auto"/>
        </w:rPr>
      </w:pPr>
      <w:r>
        <w:rPr>
          <w:rFonts w:ascii="Times New Roman" w:cs="Times New Roman" w:eastAsia="Times New Roman" w:hAnsi="Times New Roman"/>
          <w:sz w:val="14"/>
          <w:szCs w:val="14"/>
          <w:color w:val="auto"/>
        </w:rPr>
        <w:t>The forward-looking statements contained in this prospectus and the documents incorporated by reference into this prospectus or any prospectus supplement are based on our current expectations and beliefs concerning future developments and their potential effects on our business. There can be no assurance that future developments affecting our business will be those that we have anticipated. Forward-looking statements are subject to risks and uncertainties,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w:t>
      </w:r>
    </w:p>
    <w:p>
      <w:pPr>
        <w:spacing w:after="0" w:line="94" w:lineRule="exact"/>
        <w:rPr>
          <w:sz w:val="20"/>
          <w:szCs w:val="20"/>
          <w:color w:val="auto"/>
        </w:rPr>
      </w:pPr>
    </w:p>
    <w:p>
      <w:pPr>
        <w:ind w:left="1280" w:right="1299" w:firstLine="282"/>
        <w:spacing w:after="0" w:line="258" w:lineRule="auto"/>
        <w:rPr>
          <w:sz w:val="20"/>
          <w:szCs w:val="20"/>
          <w:color w:val="auto"/>
        </w:rPr>
      </w:pPr>
      <w:r>
        <w:rPr>
          <w:rFonts w:ascii="Times New Roman" w:cs="Times New Roman" w:eastAsia="Times New Roman" w:hAnsi="Times New Roman"/>
          <w:sz w:val="14"/>
          <w:szCs w:val="14"/>
          <w:color w:val="auto"/>
        </w:rPr>
        <w:t>There can be no assurance that other factors not currently anticipated by us will not materially and adversely affect our business, financial condition and results of operations. You are cautioned not to place undue reliance on any forward-looking statements made by us or on our behalf. Please take into account that forward-looking statements speak only as of the date of this prospectus or, in the case of any accompanying prospectus supplement or documents incorporated by reference, the date of any such document. Except as required by applicable law, we do not undertake any obligation to publicly correct or update any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9" w:name="page10"/>
    <w:bookmarkEnd w:id="9"/>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25" w:lineRule="exact"/>
        <w:rPr>
          <w:sz w:val="20"/>
          <w:szCs w:val="20"/>
          <w:color w:val="auto"/>
        </w:rPr>
      </w:pPr>
    </w:p>
    <w:p>
      <w:pPr>
        <w:ind w:left="1280" w:right="1419" w:firstLine="282"/>
        <w:spacing w:after="0" w:line="261"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and does not contain all of the information that is important to you. This summary is qualified in its entirety by the more detailed information included in or incorporated by reference into this prospectus. Before making your investment decision with respect to our securities, you should carefully read this entire prospectus, any applicable prospectus supplement and the documents referred to in “Where You Can Find More Information.”</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About Lucid</w:t>
      </w:r>
    </w:p>
    <w:p>
      <w:pPr>
        <w:spacing w:after="0" w:line="127" w:lineRule="exact"/>
        <w:rPr>
          <w:sz w:val="20"/>
          <w:szCs w:val="20"/>
          <w:color w:val="auto"/>
        </w:rPr>
      </w:pPr>
    </w:p>
    <w:p>
      <w:pPr>
        <w:ind w:left="1280" w:right="1399" w:firstLine="282"/>
        <w:spacing w:after="0" w:line="269" w:lineRule="auto"/>
        <w:rPr>
          <w:sz w:val="20"/>
          <w:szCs w:val="20"/>
          <w:color w:val="auto"/>
        </w:rPr>
      </w:pPr>
      <w:r>
        <w:rPr>
          <w:rFonts w:ascii="Times New Roman" w:cs="Times New Roman" w:eastAsia="Times New Roman" w:hAnsi="Times New Roman"/>
          <w:sz w:val="14"/>
          <w:szCs w:val="14"/>
          <w:color w:val="auto"/>
        </w:rPr>
        <w:t>We are a technology company with a mission to create exceptional experiences to drive the world forward. Our focus on in-house hardware and software innovation, vertical integration, and a “clean sheet” approach to engineering and design led to the development of the award-winning Lucid Air.</w:t>
      </w:r>
    </w:p>
    <w:p>
      <w:pPr>
        <w:spacing w:after="0" w:line="73" w:lineRule="exact"/>
        <w:rPr>
          <w:sz w:val="20"/>
          <w:szCs w:val="20"/>
          <w:color w:val="auto"/>
        </w:rPr>
      </w:pPr>
    </w:p>
    <w:p>
      <w:pPr>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We sell vehicles directly to consumers through our retail sales network and through direct online sales, including through Lucid Financial Services. We believe that owning our sales network provides an opportunity to closely manage the customer experience, gather direct customer feedback, and ensure that customer interactions are tailored to our customers’ needs. 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as repair hubs for our mobile service offerings in some cases.</w:t>
      </w:r>
    </w:p>
    <w:p>
      <w:pPr>
        <w:spacing w:after="0" w:line="91" w:lineRule="exact"/>
        <w:rPr>
          <w:sz w:val="20"/>
          <w:szCs w:val="20"/>
          <w:color w:val="auto"/>
        </w:rPr>
      </w:pPr>
    </w:p>
    <w:p>
      <w:pPr>
        <w:ind w:left="1280" w:right="1399" w:firstLine="282"/>
        <w:spacing w:after="0" w:line="261" w:lineRule="auto"/>
        <w:rPr>
          <w:sz w:val="20"/>
          <w:szCs w:val="20"/>
          <w:color w:val="auto"/>
        </w:rPr>
      </w:pPr>
      <w:r>
        <w:rPr>
          <w:rFonts w:ascii="Times New Roman" w:cs="Times New Roman" w:eastAsia="Times New Roman" w:hAnsi="Times New Roman"/>
          <w:sz w:val="14"/>
          <w:szCs w:val="14"/>
          <w:color w:val="auto"/>
        </w:rPr>
        <w:t>We began delivering the Lucid Air to customers in October 2021 and we expect to launch additional vehicles over the coming decade. We have leveraged and expanded the technological advancements from the Lucid Air to the Lucid Gravity sport utility vehicle (“SUV”), which is scheduled for start of production in late 2024. After the Lucid Air and the Lucid Gravity SUV, start of production of our Midsize platform is scheduled for late 2026.</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27" w:lineRule="exact"/>
        <w:rPr>
          <w:sz w:val="20"/>
          <w:szCs w:val="20"/>
          <w:color w:val="auto"/>
        </w:rPr>
      </w:pPr>
    </w:p>
    <w:p>
      <w:pPr>
        <w:ind w:left="1280" w:right="1339" w:firstLine="282"/>
        <w:spacing w:after="0" w:line="261" w:lineRule="auto"/>
        <w:rPr>
          <w:sz w:val="20"/>
          <w:szCs w:val="20"/>
          <w:color w:val="auto"/>
        </w:rPr>
      </w:pPr>
      <w:r>
        <w:rPr>
          <w:rFonts w:ascii="Times New Roman" w:cs="Times New Roman" w:eastAsia="Times New Roman" w:hAnsi="Times New Roman"/>
          <w:sz w:val="14"/>
          <w:szCs w:val="14"/>
          <w:color w:val="auto"/>
        </w:rPr>
        <w:t>Lucid Group, Inc. is a Delaware corporation. Our principal executive office is located at 7373 Gateway Boulevard, Newark, CA 94560 and our telephone number is (510) 648-3553. We maintain a website at https://www.lucidmotors.com. The information on our website is not incorporated by reference in this prospectus or any accompanying prospectus supplement, and you should not consider it a part of this prospectus or any accompanying prospectus supplement.</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Controlled Company Exemption</w:t>
      </w:r>
    </w:p>
    <w:p>
      <w:pPr>
        <w:spacing w:after="0" w:line="116" w:lineRule="exact"/>
        <w:rPr>
          <w:sz w:val="20"/>
          <w:szCs w:val="20"/>
          <w:color w:val="auto"/>
        </w:rPr>
      </w:pPr>
    </w:p>
    <w:p>
      <w:pPr>
        <w:ind w:left="1280" w:right="1299" w:firstLine="282"/>
        <w:spacing w:after="0" w:line="260" w:lineRule="auto"/>
        <w:rPr>
          <w:sz w:val="20"/>
          <w:szCs w:val="20"/>
          <w:color w:val="auto"/>
        </w:rPr>
      </w:pPr>
      <w:r>
        <w:rPr>
          <w:rFonts w:ascii="Times New Roman" w:cs="Times New Roman" w:eastAsia="Times New Roman" w:hAnsi="Times New Roman"/>
          <w:sz w:val="14"/>
          <w:szCs w:val="14"/>
          <w:color w:val="auto"/>
        </w:rPr>
        <w:t>As of September 30, 2024, PIF, both directly and indirectly through Ayar, held over 50% of the voting power for the election of our directors.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nine directors to our Board. Ayar is an affiliate of PIF.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0" w:name="page11"/>
    <w:bookmarkEnd w:id="10"/>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7" w:lineRule="exact"/>
        <w:rPr>
          <w:sz w:val="20"/>
          <w:szCs w:val="20"/>
          <w:color w:val="auto"/>
        </w:rPr>
      </w:pPr>
    </w:p>
    <w:p>
      <w:pPr>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Investing in our securities involves risk. See the risk factors described in our most recent Annual Report on Form 10-K (together with any material changes thereto contained in subsequently filed Quarterly Reports on Form 10-Q) and those contained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1" w:name="page12"/>
    <w:bookmarkEnd w:id="11"/>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7" w:lineRule="exact"/>
        <w:rPr>
          <w:sz w:val="20"/>
          <w:szCs w:val="20"/>
          <w:color w:val="auto"/>
        </w:rPr>
      </w:pPr>
    </w:p>
    <w:p>
      <w:pPr>
        <w:ind w:left="1280" w:right="1479" w:firstLine="282"/>
        <w:spacing w:after="0" w:line="260" w:lineRule="auto"/>
        <w:rPr>
          <w:sz w:val="20"/>
          <w:szCs w:val="20"/>
          <w:color w:val="auto"/>
        </w:rPr>
      </w:pPr>
      <w:r>
        <w:rPr>
          <w:rFonts w:ascii="Times New Roman" w:cs="Times New Roman" w:eastAsia="Times New Roman" w:hAnsi="Times New Roman"/>
          <w:sz w:val="14"/>
          <w:szCs w:val="14"/>
          <w:color w:val="auto"/>
        </w:rPr>
        <w:t>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 We will have significant discretion in the use of any net proceeds. We may provide additional information on the use of the net proceeds from the sale of the offered securities in an applicable prospectus supplement relating to the offered securities.</w:t>
      </w:r>
    </w:p>
    <w:p>
      <w:pPr>
        <w:spacing w:after="0" w:line="261" w:lineRule="exact"/>
        <w:rPr>
          <w:sz w:val="20"/>
          <w:szCs w:val="20"/>
          <w:color w:val="auto"/>
        </w:rPr>
      </w:pPr>
    </w:p>
    <w:p>
      <w:pPr>
        <w:ind w:left="1280" w:right="1519" w:firstLine="282"/>
        <w:spacing w:after="0" w:line="286" w:lineRule="auto"/>
        <w:rPr>
          <w:sz w:val="20"/>
          <w:szCs w:val="20"/>
          <w:color w:val="auto"/>
        </w:rPr>
      </w:pPr>
      <w:r>
        <w:rPr>
          <w:rFonts w:ascii="Times New Roman" w:cs="Times New Roman" w:eastAsia="Times New Roman" w:hAnsi="Times New Roman"/>
          <w:sz w:val="14"/>
          <w:szCs w:val="14"/>
          <w:color w:val="auto"/>
        </w:rPr>
        <w:t>Unless set forth in an accompanying prospectus supplement, we will not receive any proceeds in the event that securities are sold by a selling securityholder.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2" w:name="page13"/>
    <w:bookmarkEnd w:id="12"/>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27" w:lineRule="exact"/>
        <w:rPr>
          <w:sz w:val="20"/>
          <w:szCs w:val="20"/>
          <w:color w:val="auto"/>
        </w:rPr>
      </w:pPr>
    </w:p>
    <w:p>
      <w:pPr>
        <w:ind w:left="1280" w:right="1439" w:firstLine="282"/>
        <w:spacing w:after="0" w:line="261" w:lineRule="auto"/>
        <w:rPr>
          <w:sz w:val="20"/>
          <w:szCs w:val="20"/>
          <w:color w:val="auto"/>
        </w:rPr>
      </w:pPr>
      <w:r>
        <w:rPr>
          <w:rFonts w:ascii="Times New Roman" w:cs="Times New Roman" w:eastAsia="Times New Roman" w:hAnsi="Times New Roman"/>
          <w:sz w:val="14"/>
          <w:szCs w:val="14"/>
          <w:color w:val="auto"/>
        </w:rPr>
        <w:t>This prospectus contains summary descriptions of the common stock, preferred stock, depositary shares, debt securities, warrants, subscription rights, purchase contracts and purchase units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3" w:name="page14"/>
    <w:bookmarkEnd w:id="13"/>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7" w:lineRule="exact"/>
        <w:rPr>
          <w:sz w:val="20"/>
          <w:szCs w:val="20"/>
          <w:color w:val="auto"/>
        </w:rPr>
      </w:pPr>
    </w:p>
    <w:p>
      <w:pPr>
        <w:ind w:left="1280" w:right="1299" w:firstLine="282"/>
        <w:spacing w:after="0" w:line="247" w:lineRule="auto"/>
        <w:rPr>
          <w:sz w:val="20"/>
          <w:szCs w:val="20"/>
          <w:color w:val="auto"/>
        </w:rPr>
      </w:pPr>
      <w:r>
        <w:rPr>
          <w:rFonts w:ascii="Times New Roman" w:cs="Times New Roman" w:eastAsia="Times New Roman" w:hAnsi="Times New Roman"/>
          <w:sz w:val="14"/>
          <w:szCs w:val="14"/>
          <w:color w:val="auto"/>
        </w:rPr>
        <w:t>The following summary description of our capital stock is based on the provisions of the Delaware General Corporation Law (the “DGCL”), our current certificate of incorporation and our current bylaws. This description does not purport to be complete and is qualified in its entirety by reference to the full text of the DGCL, as it may be amended from time to time, and to the terms of our current certificate of incorporation and our current bylaws, as each may be amended from time to time, which are incorporated by reference as exhibits to the registration statement of which this prospectus is a part. See “Where You Can Find More Information.” As used in this “Description of Capital Stock,” the terms “Lucid,” the “Company”, “we,” “our” and “us” refer to Lucid Group, Inc., a Delaware corporation, and do not, unless otherwise specified, include our subsidiaries.</w:t>
      </w:r>
    </w:p>
    <w:p>
      <w:pPr>
        <w:spacing w:after="0" w:line="252" w:lineRule="exact"/>
        <w:rPr>
          <w:sz w:val="20"/>
          <w:szCs w:val="20"/>
          <w:color w:val="auto"/>
        </w:rPr>
      </w:pPr>
    </w:p>
    <w:p>
      <w:pPr>
        <w:ind w:left="1280" w:right="1319" w:firstLine="282"/>
        <w:spacing w:after="0" w:line="246" w:lineRule="auto"/>
        <w:rPr>
          <w:sz w:val="20"/>
          <w:szCs w:val="20"/>
          <w:color w:val="auto"/>
        </w:rPr>
      </w:pPr>
      <w:r>
        <w:rPr>
          <w:rFonts w:ascii="Times New Roman" w:cs="Times New Roman" w:eastAsia="Times New Roman" w:hAnsi="Times New Roman"/>
          <w:sz w:val="14"/>
          <w:szCs w:val="14"/>
          <w:color w:val="auto"/>
        </w:rPr>
        <w:t>Our authorized capital stock consists of 15,000,000,000 shares of common stock, par value $0.0001 per share, and 10,000,000 shares of preferred stock, par value $0.0001 per share (the “Preferred Stock”). The outstanding shares of common stock are duly authorized, validly issued, fully paid and non-assessable. The number of authorized shares of any class may be increased or decreased by an amendment to our current certificate of incorporation proposed by our Board and approved by a majority of voting shares voted on the issue at a meeting at which a quorum exists.</w:t>
      </w:r>
    </w:p>
    <w:p>
      <w:pPr>
        <w:spacing w:after="0" w:line="90" w:lineRule="exact"/>
        <w:rPr>
          <w:sz w:val="20"/>
          <w:szCs w:val="20"/>
          <w:color w:val="auto"/>
        </w:rPr>
      </w:pPr>
    </w:p>
    <w:p>
      <w:pPr>
        <w:ind w:left="1280" w:right="1559" w:firstLine="282"/>
        <w:spacing w:after="0" w:line="261" w:lineRule="auto"/>
        <w:rPr>
          <w:sz w:val="20"/>
          <w:szCs w:val="20"/>
          <w:color w:val="auto"/>
        </w:rPr>
      </w:pPr>
      <w:r>
        <w:rPr>
          <w:rFonts w:ascii="Times New Roman" w:cs="Times New Roman" w:eastAsia="Times New Roman" w:hAnsi="Times New Roman"/>
          <w:sz w:val="14"/>
          <w:szCs w:val="14"/>
          <w:color w:val="auto"/>
        </w:rPr>
        <w:t>Of the Preferred Stock, we designated 100,000 shares as Series A Convertible Preferred Stock and 75,000 shares as Series B Convertible Preferred Stock (together, the “Redeemable Convertible Preferred Stock”).</w:t>
      </w:r>
    </w:p>
    <w:p>
      <w:pPr>
        <w:spacing w:after="0" w:line="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As of September 30, 2024, there were (i) 2,337,518,542 shares of our common stock outstanding,</w:t>
      </w:r>
    </w:p>
    <w:p>
      <w:pPr>
        <w:spacing w:after="0" w:line="14" w:lineRule="exact"/>
        <w:rPr>
          <w:sz w:val="20"/>
          <w:szCs w:val="20"/>
          <w:color w:val="auto"/>
        </w:rPr>
      </w:pPr>
    </w:p>
    <w:p>
      <w:pPr>
        <w:ind w:left="1280" w:right="1579" w:firstLine="5"/>
        <w:spacing w:after="0" w:line="249" w:lineRule="auto"/>
        <w:tabs>
          <w:tab w:leader="none" w:pos="150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 shares of Series A Convertible Preferred Stock outstanding, (iii) 75,000 shares of Series B Convertible Preferred Stock outstanding, and (iv) 44,350,000 shares of common stock issuable upon the exercise of Private Placement Warrants (including the Working Capital Warrants).</w:t>
      </w:r>
    </w:p>
    <w:p>
      <w:pPr>
        <w:spacing w:after="0" w:line="13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Voting Power</w:t>
      </w:r>
    </w:p>
    <w:p>
      <w:pPr>
        <w:spacing w:after="0" w:line="127" w:lineRule="exact"/>
        <w:rPr>
          <w:sz w:val="20"/>
          <w:szCs w:val="20"/>
          <w:color w:val="auto"/>
        </w:rPr>
      </w:pPr>
    </w:p>
    <w:p>
      <w:pPr>
        <w:ind w:left="1280" w:right="1339" w:firstLine="282"/>
        <w:spacing w:after="0" w:line="246" w:lineRule="auto"/>
        <w:rPr>
          <w:sz w:val="20"/>
          <w:szCs w:val="20"/>
          <w:color w:val="auto"/>
        </w:rPr>
      </w:pPr>
      <w:r>
        <w:rPr>
          <w:rFonts w:ascii="Times New Roman" w:cs="Times New Roman" w:eastAsia="Times New Roman" w:hAnsi="Times New Roman"/>
          <w:sz w:val="14"/>
          <w:szCs w:val="14"/>
          <w:color w:val="auto"/>
        </w:rPr>
        <w:t>Except as otherwise required by law or as otherwise provided in any certificate of designation for any series of preferred stock, under our current certificate of incorporation, the holders of common stock will possess all voting power for the election of directors and all other matters requiring stockholder action and will be entitled to one vote per share on matters to be voted on by stockholders. The holders of our common stock will at all times vote together as one class on all matters submitted to a vote of the common stock under our current certificate of incorporation.</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16" w:lineRule="exact"/>
        <w:rPr>
          <w:sz w:val="20"/>
          <w:szCs w:val="20"/>
          <w:color w:val="auto"/>
        </w:rPr>
      </w:pPr>
    </w:p>
    <w:p>
      <w:pPr>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Subject to limitations contained in the DGCL and our current certificate of incorporation, under our current bylaws, the Board may declare and pay dividends upon the shares of our common stock, which dividends may be paid either in cash, in property or in shares of our common stock. We have not paid any cash dividends on our common stock to date and do not intend to pay cash dividends. The payment of cash dividends in the future will be dependent upon our revenues and earnings, if any, capital requirements, the terms of any outstanding indebtedness and general financial condition. The payment of any cash dividends s will be within the discretion of the Board at such time. In addition, the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3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Liquidation, Dissolution and Winding Up</w:t>
      </w:r>
    </w:p>
    <w:p>
      <w:pPr>
        <w:spacing w:after="0" w:line="127" w:lineRule="exact"/>
        <w:rPr>
          <w:sz w:val="20"/>
          <w:szCs w:val="20"/>
          <w:color w:val="auto"/>
        </w:rPr>
      </w:pPr>
    </w:p>
    <w:p>
      <w:pPr>
        <w:ind w:left="1280" w:right="1339" w:firstLine="282"/>
        <w:spacing w:after="0" w:line="286" w:lineRule="auto"/>
        <w:rPr>
          <w:sz w:val="20"/>
          <w:szCs w:val="20"/>
          <w:color w:val="auto"/>
        </w:rPr>
      </w:pPr>
      <w:r>
        <w:rPr>
          <w:rFonts w:ascii="Times New Roman" w:cs="Times New Roman" w:eastAsia="Times New Roman" w:hAnsi="Times New Roman"/>
          <w:sz w:val="14"/>
          <w:szCs w:val="14"/>
          <w:color w:val="auto"/>
        </w:rPr>
        <w:t>In the event of the voluntary or involuntary liquidation, dissolution, or winding-up of the Company, the holders of our common stock will be entitled to receive all the remaining assets of the Company available</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203835</wp:posOffset>
            </wp:positionV>
            <wp:extent cx="53581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4" w:name="page15"/>
    <w:bookmarkEnd w:id="14"/>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80" w:right="1559"/>
        <w:spacing w:after="0" w:line="261" w:lineRule="auto"/>
        <w:rPr>
          <w:sz w:val="20"/>
          <w:szCs w:val="20"/>
          <w:color w:val="auto"/>
        </w:rPr>
      </w:pPr>
      <w:r>
        <w:rPr>
          <w:rFonts w:ascii="Times New Roman" w:cs="Times New Roman" w:eastAsia="Times New Roman" w:hAnsi="Times New Roman"/>
          <w:sz w:val="14"/>
          <w:szCs w:val="14"/>
          <w:color w:val="auto"/>
        </w:rPr>
        <w:t>for distribution to stockholders, ratably in proportion to the number of shares of common stock held by them, after the rights of creditors of the Company and the holders of any outstanding shares of preferred stock have been satisfied.</w:t>
      </w:r>
    </w:p>
    <w:p>
      <w:pPr>
        <w:spacing w:after="0" w:line="1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Preemptive or Other Rights</w:t>
      </w:r>
    </w:p>
    <w:p>
      <w:pPr>
        <w:spacing w:after="0" w:line="127" w:lineRule="exact"/>
        <w:rPr>
          <w:sz w:val="20"/>
          <w:szCs w:val="20"/>
          <w:color w:val="auto"/>
        </w:rPr>
      </w:pPr>
    </w:p>
    <w:p>
      <w:pPr>
        <w:ind w:left="1280" w:right="1479" w:firstLine="282"/>
        <w:spacing w:after="0" w:line="270" w:lineRule="auto"/>
        <w:rPr>
          <w:sz w:val="20"/>
          <w:szCs w:val="20"/>
          <w:color w:val="auto"/>
        </w:rPr>
      </w:pPr>
      <w:r>
        <w:rPr>
          <w:rFonts w:ascii="Times New Roman" w:cs="Times New Roman" w:eastAsia="Times New Roman" w:hAnsi="Times New Roman"/>
          <w:sz w:val="14"/>
          <w:szCs w:val="14"/>
          <w:color w:val="auto"/>
        </w:rPr>
        <w:t>The holders of our common stock do not have preemptive or other subscription rights and there is no sinking fund or redemption provisions applicable to our common stock.</w:t>
      </w:r>
    </w:p>
    <w:p>
      <w:pPr>
        <w:spacing w:after="0" w:line="72" w:lineRule="exact"/>
        <w:rPr>
          <w:sz w:val="20"/>
          <w:szCs w:val="20"/>
          <w:color w:val="auto"/>
        </w:rPr>
      </w:pPr>
    </w:p>
    <w:p>
      <w:pPr>
        <w:ind w:left="1280" w:right="1339" w:firstLine="282"/>
        <w:spacing w:after="0" w:line="261" w:lineRule="auto"/>
        <w:rPr>
          <w:sz w:val="20"/>
          <w:szCs w:val="20"/>
          <w:color w:val="auto"/>
        </w:rPr>
      </w:pPr>
      <w:r>
        <w:rPr>
          <w:rFonts w:ascii="Times New Roman" w:cs="Times New Roman" w:eastAsia="Times New Roman" w:hAnsi="Times New Roman"/>
          <w:sz w:val="14"/>
          <w:szCs w:val="14"/>
          <w:color w:val="auto"/>
        </w:rPr>
        <w:t>The rights, preferences and privileges of holders of common stock are subject to, and may be adversely affected by, the rights of the holders of shares of any series of preferred stock that we may designate and issue in the future.</w:t>
      </w:r>
    </w:p>
    <w:p>
      <w:pPr>
        <w:spacing w:after="0" w:line="1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127" w:lineRule="exact"/>
        <w:rPr>
          <w:sz w:val="20"/>
          <w:szCs w:val="20"/>
          <w:color w:val="auto"/>
        </w:rPr>
      </w:pPr>
    </w:p>
    <w:p>
      <w:pPr>
        <w:ind w:left="1280" w:right="1299" w:firstLine="282"/>
        <w:spacing w:after="0" w:line="244" w:lineRule="auto"/>
        <w:rPr>
          <w:sz w:val="20"/>
          <w:szCs w:val="20"/>
          <w:color w:val="auto"/>
        </w:rPr>
      </w:pPr>
      <w:r>
        <w:rPr>
          <w:rFonts w:ascii="Times New Roman" w:cs="Times New Roman" w:eastAsia="Times New Roman" w:hAnsi="Times New Roman"/>
          <w:sz w:val="14"/>
          <w:szCs w:val="14"/>
          <w:color w:val="auto"/>
        </w:rPr>
        <w:t>This section describes the general terms and provisions of preferred stock that we are authorized to issue. An accompanying prospectus supplement will describe the specific terms of the shares of preferred stock offered through that prospectus supplement, as well as any general terms described in this section that will not apply to those shares of preferred stock. If there are differences between the prospectus supplement relating to a particular series of preferred stock and this prospectus, the prospectus supplement will control. We will file a copy of the certificate of amendment to our current certificate of incorporation that contains the terms of each new series of preferred stock with the Secretary of the State of Delaware and with the SEC each time we issue a new series of preferred stock. Each such certificate of amendment will establish the number of shares included in a designated series and fix the designation, powers, privileges, preferences and rights of the shares of each series as well as any applicable qualifications, limitations or restrictions. You should refer to the applicable certificate of amendment as well as our current certificate of incorporation before deciding to buy shares of our preferred stock as described in any accompanying prospectus supplement.</w:t>
      </w:r>
    </w:p>
    <w:p>
      <w:pPr>
        <w:spacing w:after="0" w:line="260" w:lineRule="exact"/>
        <w:rPr>
          <w:sz w:val="20"/>
          <w:szCs w:val="20"/>
          <w:color w:val="auto"/>
        </w:rPr>
      </w:pPr>
    </w:p>
    <w:p>
      <w:pPr>
        <w:ind w:left="1280" w:right="1339" w:firstLine="282"/>
        <w:spacing w:after="0" w:line="245" w:lineRule="auto"/>
        <w:rPr>
          <w:sz w:val="20"/>
          <w:szCs w:val="20"/>
          <w:color w:val="auto"/>
        </w:rPr>
      </w:pPr>
      <w:r>
        <w:rPr>
          <w:rFonts w:ascii="Times New Roman" w:cs="Times New Roman" w:eastAsia="Times New Roman" w:hAnsi="Times New Roman"/>
          <w:sz w:val="14"/>
          <w:szCs w:val="14"/>
          <w:color w:val="auto"/>
        </w:rPr>
        <w:t>Our current certificate of incorporation provides that shares of preferred stock may be issued from time to time in one or more series. With respect to each series of our preferred stock, our Board has the authority to fix the voting rights, if any, designations, powers, preferences, the relative, participating, optional or other special rights and any qualifications, limitations and restrictions thereof, applicable to the shares of each series. The Board is able to, without stockholder approval, issue preferred stock with voting and other rights that could adversely affect the voting power and other rights of the holders of the common stock and could have anti -takeover effects. The ability of the Board to issue preferred stock without stockholder approval could have the effect of delaying, deferring or preventing a change of control of us or the removal of existing management.</w:t>
      </w:r>
    </w:p>
    <w:p>
      <w:pPr>
        <w:spacing w:after="0" w:line="31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Redeemable Convertible Preferred Stock</w:t>
      </w:r>
    </w:p>
    <w:p>
      <w:pPr>
        <w:spacing w:after="0" w:line="114" w:lineRule="exact"/>
        <w:rPr>
          <w:sz w:val="20"/>
          <w:szCs w:val="20"/>
          <w:color w:val="auto"/>
        </w:rPr>
      </w:pPr>
    </w:p>
    <w:p>
      <w:pPr>
        <w:ind w:left="1280" w:right="1359" w:firstLine="282"/>
        <w:spacing w:after="0" w:line="246" w:lineRule="auto"/>
        <w:rPr>
          <w:sz w:val="20"/>
          <w:szCs w:val="20"/>
          <w:color w:val="auto"/>
        </w:rPr>
      </w:pPr>
      <w:r>
        <w:rPr>
          <w:rFonts w:ascii="Times New Roman" w:cs="Times New Roman" w:eastAsia="Times New Roman" w:hAnsi="Times New Roman"/>
          <w:sz w:val="14"/>
          <w:szCs w:val="14"/>
          <w:i w:val="1"/>
          <w:iCs w:val="1"/>
          <w:color w:val="auto"/>
        </w:rPr>
        <w:t xml:space="preserve">Ranking and Dividend. </w:t>
      </w:r>
      <w:r>
        <w:rPr>
          <w:rFonts w:ascii="Times New Roman" w:cs="Times New Roman" w:eastAsia="Times New Roman" w:hAnsi="Times New Roman"/>
          <w:sz w:val="14"/>
          <w:szCs w:val="14"/>
          <w:color w:val="auto"/>
        </w:rPr>
        <w:t>The Redeemable Convertible Preferred Stock ranks senior to our common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with respect to dividends and distributions of assets upon the Company’s liquidation, dissolution or winding up. Each share of the Redeemable Convertible Preferred Stock has an initial value of $10,000 (the “Initial Value”). Dividends on the Redeemable Convertible Preferred Stock is payable in the form of compounded dividends upon each share of Redeemable Convertible Preferred Stock (such payment in kind, “Compounded Returns”). Dividends accrue on the Initial Value (as increased for any Compounded Dividends previously compounded thereon) of each share of Redeemable Convertible Preferred Stock at a rate of 9% per annum and is compound on the basis of quarterly dividend payment dates on each March 31, June 30, September 30 and December 31 of each year, which commenced on June 30, 2024 for the Series A Convertible Preferred Stock and September 30, 2024 for the Series B Convertible Preferred Stock.</w:t>
      </w:r>
    </w:p>
    <w:p>
      <w:pPr>
        <w:spacing w:after="0" w:line="87" w:lineRule="exact"/>
        <w:rPr>
          <w:sz w:val="20"/>
          <w:szCs w:val="20"/>
          <w:color w:val="auto"/>
        </w:rPr>
      </w:pPr>
    </w:p>
    <w:p>
      <w:pPr>
        <w:ind w:left="1280" w:right="1339" w:firstLine="282"/>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Liquidation Preference. </w:t>
      </w:r>
      <w:r>
        <w:rPr>
          <w:rFonts w:ascii="Times New Roman" w:cs="Times New Roman" w:eastAsia="Times New Roman" w:hAnsi="Times New Roman"/>
          <w:sz w:val="14"/>
          <w:szCs w:val="14"/>
          <w:color w:val="auto"/>
        </w:rPr>
        <w:t>Upon a liquidation, dissolution or winding up of the Company, each holder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of Redeemable Convertible Preferred Stock (“Holder”) is entitled to receive, with respect to each share of then -outstanding Redeemable Convertible Preferred Stock, out of the assets of the Company available for distribution to its stockholders (pari passu with the holders of any liquidation parity securities) an amount in cash equal to the greater of (a) an amount per share of Redeemable Convertible Preferred</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5" w:name="page16"/>
    <w:bookmarkEnd w:id="15"/>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319"/>
        <w:spacing w:after="0" w:line="245" w:lineRule="auto"/>
        <w:rPr>
          <w:sz w:val="20"/>
          <w:szCs w:val="20"/>
          <w:color w:val="auto"/>
        </w:rPr>
      </w:pPr>
      <w:r>
        <w:rPr>
          <w:rFonts w:ascii="Times New Roman" w:cs="Times New Roman" w:eastAsia="Times New Roman" w:hAnsi="Times New Roman"/>
          <w:sz w:val="14"/>
          <w:szCs w:val="14"/>
          <w:color w:val="auto"/>
        </w:rPr>
        <w:t>Stock as of the date of such liquidation, dissolution or winding up equal to (i) the per share accrued value (as used herein, representing the Initial Value, plus any Compounded Returns, plus accrued dividends from the last dividend payment date to, and including, the relevant date of determination) (the “Accrued Value”) as of the relevant date (as defined in the respective certificate of designations) multiplied by (ii) the relevant percentage (as defined in the respective certificate of designations) (the product of (i) and (ii), the “Minimum Consideration”); and (b) the amount that such Holder would have received with respect to such share of Redeemable Convertible Preferred Stock based on its Accrued Value if all shares of Redeemable Convertible Preferred Stock had been converted at their Accrued Value (regardless of whether they were actually converted and without regard to any limitations on convertibility or to whether sufficient shares of common stock are available out of the Company’s authorized but unissued stock for the purpose of effecting such conversion) into shares of common stock on the business day immediately prior to the date of such liquidation, dissolution or winding up.</w:t>
      </w:r>
    </w:p>
    <w:p>
      <w:pPr>
        <w:spacing w:after="0" w:line="255" w:lineRule="exact"/>
        <w:rPr>
          <w:sz w:val="20"/>
          <w:szCs w:val="20"/>
          <w:color w:val="auto"/>
        </w:rPr>
      </w:pPr>
    </w:p>
    <w:p>
      <w:pPr>
        <w:ind w:left="1280" w:right="1299" w:firstLine="282"/>
        <w:spacing w:after="0" w:line="246" w:lineRule="auto"/>
        <w:rPr>
          <w:sz w:val="20"/>
          <w:szCs w:val="20"/>
          <w:color w:val="auto"/>
        </w:rPr>
      </w:pPr>
      <w:r>
        <w:rPr>
          <w:rFonts w:ascii="Times New Roman" w:cs="Times New Roman" w:eastAsia="Times New Roman" w:hAnsi="Times New Roman"/>
          <w:sz w:val="14"/>
          <w:szCs w:val="14"/>
          <w:i w:val="1"/>
          <w:iCs w:val="1"/>
          <w:color w:val="auto"/>
        </w:rPr>
        <w:t xml:space="preserve">Conversion. </w:t>
      </w:r>
      <w:r>
        <w:rPr>
          <w:rFonts w:ascii="Times New Roman" w:cs="Times New Roman" w:eastAsia="Times New Roman" w:hAnsi="Times New Roman"/>
          <w:sz w:val="14"/>
          <w:szCs w:val="14"/>
          <w:color w:val="auto"/>
        </w:rPr>
        <w:t>Each share of Redeemable Convertible Preferred Stock is convertible, at the option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respective Holder, from time to time after the initial issue date (the “Initial Issue Date”), and without the payment of additional consideration by the Holder, (a) at any time that the closing price per share of our common stock on the trading day immediately preceding the date on which the Holder delivers the relevant notice of conversion is at least $5.50 (subject to certain adjustments), unless the Company otherwise consents to such conversion in its sole discretion, or (b) in all events during certain specified periods relating to a fundamental change or optional redemption by the Company, into such number of fully paid and non-assessable shares of common stock as is determined by dividing (i) the applicable Accrued Value as of the conversion date by (ii) the respective conversion price (as defined in the respective certificate of designations) in effect as of such conversion date.</w:t>
      </w:r>
    </w:p>
    <w:p>
      <w:pPr>
        <w:spacing w:after="0" w:line="252" w:lineRule="exact"/>
        <w:rPr>
          <w:sz w:val="20"/>
          <w:szCs w:val="20"/>
          <w:color w:val="auto"/>
        </w:rPr>
      </w:pPr>
    </w:p>
    <w:p>
      <w:pPr>
        <w:ind w:left="1280" w:right="1339" w:firstLine="282"/>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Voting. </w:t>
      </w:r>
      <w:r>
        <w:rPr>
          <w:rFonts w:ascii="Times New Roman" w:cs="Times New Roman" w:eastAsia="Times New Roman" w:hAnsi="Times New Roman"/>
          <w:sz w:val="14"/>
          <w:szCs w:val="14"/>
          <w:color w:val="auto"/>
        </w:rPr>
        <w:t>Except as otherwise provided in the respective certificate of designations or by applicable law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the rules of any stock exchange on which the Company’s securities are listed, on any matter presented to the stockholders of the Company for their action or consideration at any meeting of stockholders and on which matter holders of our common stock shall be entitled to vote, each Holder is entitled to the number of votes equal to the number of whole shares of common stock into which the aggregate shares of Redeemable Convertible Preferred Stock held by such Holder are convertible on the record date for determining stockholders entitled to vote on such matter (subject to certain adjustments, but without regard to any limitations on convertibility or to whether sufficient shares of common stock are available out of the Company’s authorized but unissued stock for the purpose of effecting the conversion). Holders are entitled to notice of any meeting of stockholders and, except as otherwise provided in the respective certificate of designations or otherwise required by law, to vote together as a single class with the holders of common stock and any other class or series of stock entitled to vote thereon. The voting power of Holders is subject to a voting cap per share equal to the quotient of the $10,000 Initial Value and $2.77 for the Series A Convertible Preferred Stock and the quotient of the $10,000 Initial Value and $3.120 for the Series B Convertible Preferred Stock.</w:t>
      </w:r>
    </w:p>
    <w:p>
      <w:pPr>
        <w:spacing w:after="0" w:line="265" w:lineRule="exact"/>
        <w:rPr>
          <w:sz w:val="20"/>
          <w:szCs w:val="20"/>
          <w:color w:val="auto"/>
        </w:rPr>
      </w:pPr>
    </w:p>
    <w:p>
      <w:pPr>
        <w:ind w:left="1280" w:right="1299" w:firstLine="282"/>
        <w:spacing w:after="0" w:line="257" w:lineRule="auto"/>
        <w:rPr>
          <w:sz w:val="20"/>
          <w:szCs w:val="20"/>
          <w:color w:val="auto"/>
        </w:rPr>
      </w:pPr>
      <w:r>
        <w:rPr>
          <w:rFonts w:ascii="Times New Roman" w:cs="Times New Roman" w:eastAsia="Times New Roman" w:hAnsi="Times New Roman"/>
          <w:sz w:val="14"/>
          <w:szCs w:val="14"/>
          <w:color w:val="auto"/>
        </w:rPr>
        <w:t>For each series of the Redeemable Convertible Preferred Stock, as long as at least 10% of the aggregate number of shares of such series issued on the Initial Issue Date remain outstanding, and subject to certain other conditions, Holders of such series are entitled to a separate class vote with respect to, among other things, amendments to the Company’s organizational documents that have an adverse effect on such series, authorizations or issuances by the Company of capital stock of the Company that ranks senior or equal to such series with respect to dividends or distributions on liquidation or the terms of which provide for cash dividends (other than our common stock), winding-up and dissolution, and decreases in the number of authorized shares of such series.</w:t>
      </w:r>
    </w:p>
    <w:p>
      <w:pPr>
        <w:spacing w:after="0" w:line="253" w:lineRule="exact"/>
        <w:rPr>
          <w:sz w:val="20"/>
          <w:szCs w:val="20"/>
          <w:color w:val="auto"/>
        </w:rPr>
      </w:pPr>
    </w:p>
    <w:p>
      <w:pPr>
        <w:ind w:left="1280" w:right="1339" w:firstLine="282"/>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Junior and Parity Securities. </w:t>
      </w:r>
      <w:r>
        <w:rPr>
          <w:rFonts w:ascii="Times New Roman" w:cs="Times New Roman" w:eastAsia="Times New Roman" w:hAnsi="Times New Roman"/>
          <w:sz w:val="14"/>
          <w:szCs w:val="14"/>
          <w:color w:val="auto"/>
        </w:rPr>
        <w:t>Subject to certain exceptions, unless all accumulated and unpaid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on the Redeemable Convertible Preferred Stock for all preceding quarterly dividend payment periods have been declared upon all outstanding shares of Redeemable Convertible Preferred Stock through the most recently completed dividend period, the Company (1) may not repurchase, redeem or otherwise acquire shares of any parity stock or any junior stock (which includes our common stock), (2) may not declare or pay dividends on any junior stock (which includes our common stock) and (3) may not declare or pay dividends on any parity stock, unless the respective amounts of dividends declared on the Redeemable Convertible Preferred Stock and each such other class or series of dividend parity stock bear the same ratio</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203835</wp:posOffset>
            </wp:positionV>
            <wp:extent cx="53581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6" w:name="page17"/>
    <w:bookmarkEnd w:id="16"/>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499"/>
        <w:spacing w:after="0" w:line="263" w:lineRule="auto"/>
        <w:rPr>
          <w:sz w:val="20"/>
          <w:szCs w:val="20"/>
          <w:color w:val="auto"/>
        </w:rPr>
      </w:pPr>
      <w:r>
        <w:rPr>
          <w:rFonts w:ascii="Times New Roman" w:cs="Times New Roman" w:eastAsia="Times New Roman" w:hAnsi="Times New Roman"/>
          <w:sz w:val="14"/>
          <w:szCs w:val="14"/>
          <w:color w:val="auto"/>
        </w:rPr>
        <w:t>to each other as all accumulated and unpaid dividends per share of the Redeemable Convertible Preferred Stock and such class or series of parity stock (subject to their having been declared by the Board out of legally available funds) bear to each other, in proportion to their respective liquidation preferences at the time of declaration.</w:t>
      </w:r>
    </w:p>
    <w:p>
      <w:pPr>
        <w:spacing w:after="0" w:line="87" w:lineRule="exact"/>
        <w:rPr>
          <w:sz w:val="20"/>
          <w:szCs w:val="20"/>
          <w:color w:val="auto"/>
        </w:rPr>
      </w:pPr>
    </w:p>
    <w:p>
      <w:pPr>
        <w:ind w:left="1280" w:right="1359" w:firstLine="282"/>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Mandatory Conversion. </w:t>
      </w:r>
      <w:r>
        <w:rPr>
          <w:rFonts w:ascii="Times New Roman" w:cs="Times New Roman" w:eastAsia="Times New Roman" w:hAnsi="Times New Roman"/>
          <w:sz w:val="14"/>
          <w:szCs w:val="14"/>
          <w:color w:val="auto"/>
        </w:rPr>
        <w:t>On or after the third anniversary of the respective Initial Issue Date, if at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time (i) the daily VWAP (as defined in the respective certificate of designations) of our common stock has been at least 200% of the respective conversion price (as defined in the respective certificate of designations) for at least twenty (20) trading days (whether or not consecutive) during any thirty (30) consecutive trading days (including the last day of such period) and (ii) certain common stock liquidity conditions (as defined in the respective certificate of designations) are satisfied, the Company has the right, exercisable at its election within fifteen (15) business days following completion of the applicable thirty</w:t>
      </w:r>
    </w:p>
    <w:p>
      <w:pPr>
        <w:ind w:left="1280" w:right="1359" w:firstLine="5"/>
        <w:spacing w:after="0" w:line="255" w:lineRule="auto"/>
        <w:tabs>
          <w:tab w:leader="none" w:pos="156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day period, to cause all or any portion of the Redeemable Convertible Preferred Stock to convert into common stock. The Company is required to pay an additional amount per share of Redeemable Convertible Preferred Stock payable in cash, shares of common stock valued based on a five-day average daily VWAP (with the number of shares of common stock rounded up to the nearest whole share) or a combination thereof in respect of such conversion equal to the greater of (x) the difference between (i) the Minimum Consideration and (ii) the value of the shares of common stock delivered upon mandatory conversion thereof and (y) zero.</w:t>
      </w:r>
    </w:p>
    <w:p>
      <w:pPr>
        <w:spacing w:after="0" w:line="260" w:lineRule="exact"/>
        <w:rPr>
          <w:sz w:val="20"/>
          <w:szCs w:val="20"/>
          <w:color w:val="auto"/>
        </w:rPr>
      </w:pPr>
    </w:p>
    <w:p>
      <w:pPr>
        <w:ind w:left="1280" w:right="1379" w:firstLine="282"/>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Fundamental Change. </w:t>
      </w:r>
      <w:r>
        <w:rPr>
          <w:rFonts w:ascii="Times New Roman" w:cs="Times New Roman" w:eastAsia="Times New Roman" w:hAnsi="Times New Roman"/>
          <w:sz w:val="14"/>
          <w:szCs w:val="14"/>
          <w:color w:val="auto"/>
        </w:rPr>
        <w:t>Upon a “fundamental change” (as​ defined in the respective certificate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designations), the Holders are entitled, on the fundamental change repurchase date specified by the Company, to receive an amount equal to the greater of (a) the Minimum Consideration and (b) an amount equal to the value that such Holder would have received if it had converted its shares of Redeemable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(as defined in the respective certificate of designations) are not satisfied.</w:t>
      </w:r>
    </w:p>
    <w:p>
      <w:pPr>
        <w:spacing w:after="0" w:line="256" w:lineRule="exact"/>
        <w:rPr>
          <w:sz w:val="20"/>
          <w:szCs w:val="20"/>
          <w:color w:val="auto"/>
        </w:rPr>
      </w:pPr>
    </w:p>
    <w:p>
      <w:pPr>
        <w:ind w:left="1280" w:right="1359" w:firstLine="282"/>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Optional Redemption. </w:t>
      </w:r>
      <w:r>
        <w:rPr>
          <w:rFonts w:ascii="Times New Roman" w:cs="Times New Roman" w:eastAsia="Times New Roman" w:hAnsi="Times New Roman"/>
          <w:sz w:val="14"/>
          <w:szCs w:val="14"/>
          <w:color w:val="auto"/>
        </w:rPr>
        <w:t>On or after the fifth anniversary of the respective Initial Issue Date,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may redeem all or any portion of the respective series of the Redeemable Convertible Preferred Stock at a redemption price per share equal to the greater of (a) the Minimum Consideration and (b) an amount equal to the value (calculated based on a twenty (20)-day average daily VWAP) of the number of shares of common stock issuable upon conversion at the Conversion Price on such redemption date. Such redemption price may be paid in cash, shares of common stock valued based on a twenty (20)-day average daily VWAP (with the number of shares of common stock rounded up to the nearest whole share), or a combination thereof, at the Company’s election. The Company may not pay any portion of such redemption price in shares of common stock if the common stock liquidity conditions (as defined in the respective certificate of designations) are not satisfied.</w:t>
      </w:r>
    </w:p>
    <w:p>
      <w:pPr>
        <w:spacing w:after="0" w:line="265" w:lineRule="exact"/>
        <w:rPr>
          <w:sz w:val="20"/>
          <w:szCs w:val="20"/>
          <w:color w:val="auto"/>
        </w:rPr>
      </w:pPr>
    </w:p>
    <w:p>
      <w:pPr>
        <w:ind w:left="1280" w:right="1299" w:firstLine="282"/>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Nasdaq Rules. </w:t>
      </w:r>
      <w:r>
        <w:rPr>
          <w:rFonts w:ascii="Times New Roman" w:cs="Times New Roman" w:eastAsia="Times New Roman" w:hAnsi="Times New Roman"/>
          <w:sz w:val="14"/>
          <w:szCs w:val="14"/>
          <w:color w:val="auto"/>
        </w:rPr>
        <w:t>The number of shares of common stock deliverable upon conversion, redemption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repurchase of the Redeemable Convertible Preferred Stock is limited as required by applicable Nasdaq listing rules, unless the Company shall have obtained any required stockholder approval. Lucid and Ayar have agreed to cooperate reasonably to obtain, and Ayar has agreed to consent in respect of such stockholder approval no later than 18 months following the respective closing of the private placement of each series of the Redeemable Convertible Preferred Stock. The Series A Convertible Preferred Stock is initially convertible into approximately 278.15 million shares of common stock and the Series B Convertible Preferred Stock is initially convertible into approximately 171.24 million shares of common stock.</w:t>
      </w:r>
    </w:p>
    <w:p>
      <w:pPr>
        <w:spacing w:after="0" w:line="93" w:lineRule="exact"/>
        <w:rPr>
          <w:sz w:val="20"/>
          <w:szCs w:val="20"/>
          <w:color w:val="auto"/>
        </w:rPr>
      </w:pPr>
    </w:p>
    <w:p>
      <w:pPr>
        <w:ind w:left="1280" w:right="1539" w:firstLine="2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Remedies for Nonpayment. </w:t>
      </w:r>
      <w:r>
        <w:rPr>
          <w:rFonts w:ascii="Times New Roman" w:cs="Times New Roman" w:eastAsia="Times New Roman" w:hAnsi="Times New Roman"/>
          <w:sz w:val="14"/>
          <w:szCs w:val="14"/>
          <w:color w:val="auto"/>
        </w:rPr>
        <w:t>The dividend rate described above will be increased to a rate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exceeding 15% per annum upon certain events of noncompliance relating to a failure by the Company to deliver consideration due in connection with a fundamental change or optional redemption.</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7" w:name="page18"/>
    <w:bookmarkEnd w:id="17"/>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Private Placement Warrants and Working Capital Warrants</w:t>
      </w:r>
    </w:p>
    <w:p>
      <w:pPr>
        <w:spacing w:after="0" w:line="127" w:lineRule="exact"/>
        <w:rPr>
          <w:sz w:val="20"/>
          <w:szCs w:val="20"/>
          <w:color w:val="auto"/>
        </w:rPr>
      </w:pPr>
    </w:p>
    <w:p>
      <w:pPr>
        <w:ind w:left="1280" w:right="1319" w:firstLine="282"/>
        <w:spacing w:after="0" w:line="249" w:lineRule="auto"/>
        <w:rPr>
          <w:sz w:val="20"/>
          <w:szCs w:val="20"/>
          <w:color w:val="auto"/>
        </w:rPr>
      </w:pPr>
      <w:r>
        <w:rPr>
          <w:rFonts w:ascii="Times New Roman" w:cs="Times New Roman" w:eastAsia="Times New Roman" w:hAnsi="Times New Roman"/>
          <w:sz w:val="14"/>
          <w:szCs w:val="14"/>
          <w:color w:val="auto"/>
        </w:rPr>
        <w:t>The Private Placement Warrants (including the common stock issuable upon exercise of the Private Placement Warrants) are, pursuant to the Investor Rights Agreement, not redeemable by us so long as they are held by the Sponsor or its permitted transferees. The Sponsor, or its permitted transferees, has the option to exercise the Private Placement Warrants on a cashless basis and will be entitled to certain registration rights. The Private Placement Warrants have terms and provisions outlined below.</w:t>
      </w:r>
    </w:p>
    <w:p>
      <w:pPr>
        <w:spacing w:after="0" w:line="86" w:lineRule="exact"/>
        <w:rPr>
          <w:sz w:val="20"/>
          <w:szCs w:val="20"/>
          <w:color w:val="auto"/>
        </w:rPr>
      </w:pPr>
    </w:p>
    <w:p>
      <w:pPr>
        <w:jc w:val="both"/>
        <w:ind w:left="1280" w:right="1319" w:firstLine="282"/>
        <w:spacing w:after="0" w:line="250" w:lineRule="auto"/>
        <w:rPr>
          <w:sz w:val="20"/>
          <w:szCs w:val="20"/>
          <w:color w:val="auto"/>
        </w:rPr>
      </w:pPr>
      <w:r>
        <w:rPr>
          <w:rFonts w:ascii="Times New Roman" w:cs="Times New Roman" w:eastAsia="Times New Roman" w:hAnsi="Times New Roman"/>
          <w:sz w:val="14"/>
          <w:szCs w:val="14"/>
          <w:color w:val="auto"/>
        </w:rPr>
        <w:t>If holders of the Private Placement Warrants elect to exercise them on a cashless basis, they would pay the exercise price by surrendering their warrants for that number of shares of our common stock equal to the quotient obtained by dividing (x) the product of the number of shares of common stock underlying the</w:t>
      </w:r>
    </w:p>
    <w:p>
      <w:pPr>
        <w:ind w:left="1280" w:right="1299"/>
        <w:spacing w:after="0" w:line="245" w:lineRule="auto"/>
        <w:rPr>
          <w:sz w:val="20"/>
          <w:szCs w:val="20"/>
          <w:color w:val="auto"/>
        </w:rPr>
      </w:pPr>
      <w:r>
        <w:rPr>
          <w:rFonts w:ascii="Times New Roman" w:cs="Times New Roman" w:eastAsia="Times New Roman" w:hAnsi="Times New Roman"/>
          <w:sz w:val="14"/>
          <w:szCs w:val="14"/>
          <w:color w:val="auto"/>
        </w:rPr>
        <w:t>warrants, multiplied by the excess of the “fair market value” (defined​ below) over the exercise price per share of the warrants by (y) the fair market value. The “fair market value” shall mean the average closing price per share of our common stock for the ten (10) trading days ending on the third trading day prior to the date on which the notice of redemption is sent to the holders of warrants.</w:t>
      </w:r>
    </w:p>
    <w:p>
      <w:pPr>
        <w:spacing w:after="0" w:line="89" w:lineRule="exact"/>
        <w:rPr>
          <w:sz w:val="20"/>
          <w:szCs w:val="20"/>
          <w:color w:val="auto"/>
        </w:rPr>
      </w:pPr>
    </w:p>
    <w:p>
      <w:pPr>
        <w:ind w:left="1280" w:right="1519" w:firstLine="282"/>
        <w:spacing w:after="0" w:line="253" w:lineRule="auto"/>
        <w:rPr>
          <w:sz w:val="20"/>
          <w:szCs w:val="20"/>
          <w:color w:val="auto"/>
        </w:rPr>
      </w:pPr>
      <w:r>
        <w:rPr>
          <w:rFonts w:ascii="Times New Roman" w:cs="Times New Roman" w:eastAsia="Times New Roman" w:hAnsi="Times New Roman"/>
          <w:sz w:val="14"/>
          <w:szCs w:val="14"/>
          <w:color w:val="auto"/>
        </w:rPr>
        <w:t>In order to finance transaction costs in connection with an intended initial business combination, the Sponsor loaned us $1,500,000 funds pursuant to the Promissory Note. The principal amount of such Promissory Note was converted into Working Capital Warrants by the Sponsor. The Working Capital Warrants are identical to the Private Placement Warrants issued to the Sponsor.</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Anti-Dilution Adjustments</w:t>
      </w:r>
    </w:p>
    <w:p>
      <w:pPr>
        <w:spacing w:after="0" w:line="116" w:lineRule="exact"/>
        <w:rPr>
          <w:sz w:val="20"/>
          <w:szCs w:val="20"/>
          <w:color w:val="auto"/>
        </w:rPr>
      </w:pPr>
    </w:p>
    <w:p>
      <w:pPr>
        <w:ind w:left="1280" w:right="1339" w:firstLine="282"/>
        <w:spacing w:after="0" w:line="243" w:lineRule="auto"/>
        <w:rPr>
          <w:sz w:val="20"/>
          <w:szCs w:val="20"/>
          <w:color w:val="auto"/>
        </w:rPr>
      </w:pPr>
      <w:r>
        <w:rPr>
          <w:rFonts w:ascii="Times New Roman" w:cs="Times New Roman" w:eastAsia="Times New Roman" w:hAnsi="Times New Roman"/>
          <w:sz w:val="14"/>
          <w:szCs w:val="14"/>
          <w:color w:val="auto"/>
        </w:rPr>
        <w:t>If the number of outstanding shares of our common stock is increased by a stock dividend payable in shares of our common stock, or by a split -up of shares of our common stock or other similar event, then, on the effective date of such stock dividend, split-up or similar event, the number of shares of our common stock issuable on exercise of each Private Placement Warrant will be increased in proportion to such increase in the outstanding shares of our common stock. A rights offering to holders of our common stock entitling holders to purchase shares of our common stock at a price less than the fair market value will be deemed a stock dividend of a number of shares of our common stock equal to the product of (1) the number of shares of our common stock actually sold in such rights offering (or issuable under any other equity securities sold in such rights offering that are convertible into or exercisable for our common stock) multiplied by (2) one minus the quotient of (x) the price per share of our common stock paid in such rights offering divided by (y) the fair market value. For these purposes (1) if the rights offering is for securities convertible into or exercisable for our common stock, in determining the price payable for our common stock, there will be taken into account any consideration received for such rights, as well as any additional amount payable upon exercise or conversion and (2) fair market value means the volume weighted average price per share of our common stock as reported during the ten trading day period ending on the trading day prior to the first date on which the shares of our common stock trade on the applicable exchange or in the applicable market, regular way, without the right to receive such rights.</w:t>
      </w:r>
    </w:p>
    <w:p>
      <w:pPr>
        <w:spacing w:after="0" w:line="262" w:lineRule="exact"/>
        <w:rPr>
          <w:sz w:val="20"/>
          <w:szCs w:val="20"/>
          <w:color w:val="auto"/>
        </w:rPr>
      </w:pPr>
    </w:p>
    <w:p>
      <w:pPr>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In addition, if we, at any time while the Private Placement Warrants are outstanding and unexpired, pay a dividend or make a distribution in cash, securities or other assets to the holders of our common stock on account of such shares of common stock (or other shares of our capital stock into which the warrants are convertible), other than (a) as described above and (b) certain ordinary cash dividends, then the Private Placement Warrant exercise price will be decreased, effective immediately after the effective date of such event, by the amount of cash and /or the fair market value of any securities or other assets paid on each share of our common stock in respect of such event.</w:t>
      </w:r>
    </w:p>
    <w:p>
      <w:pPr>
        <w:spacing w:after="0" w:line="90" w:lineRule="exact"/>
        <w:rPr>
          <w:sz w:val="20"/>
          <w:szCs w:val="20"/>
          <w:color w:val="auto"/>
        </w:rPr>
      </w:pPr>
    </w:p>
    <w:p>
      <w:pPr>
        <w:ind w:left="1280" w:right="1319" w:firstLine="282"/>
        <w:spacing w:after="0" w:line="253" w:lineRule="auto"/>
        <w:rPr>
          <w:sz w:val="20"/>
          <w:szCs w:val="20"/>
          <w:color w:val="auto"/>
        </w:rPr>
      </w:pPr>
      <w:r>
        <w:rPr>
          <w:rFonts w:ascii="Times New Roman" w:cs="Times New Roman" w:eastAsia="Times New Roman" w:hAnsi="Times New Roman"/>
          <w:sz w:val="14"/>
          <w:szCs w:val="14"/>
          <w:color w:val="auto"/>
        </w:rPr>
        <w:t>If the number of outstanding shares of our common stock is decreased by a consolidation, combination, reverse stock split or reclassification of shares of our common stock or other similar event, then, on the effective date of such consolidation, combination, reverse stock split, reclassification or similar event, the number of shares of our common stock issuable on exercise of each Private Placement Warrant will be decreased in proportion to such decrease in outstanding shares of our common stock.</w:t>
      </w:r>
    </w:p>
    <w:p>
      <w:pPr>
        <w:spacing w:after="0" w:line="83" w:lineRule="exact"/>
        <w:rPr>
          <w:sz w:val="20"/>
          <w:szCs w:val="20"/>
          <w:color w:val="auto"/>
        </w:rPr>
      </w:pPr>
    </w:p>
    <w:p>
      <w:pPr>
        <w:ind w:left="1280" w:right="1619" w:firstLine="282"/>
        <w:spacing w:after="0" w:line="253" w:lineRule="auto"/>
        <w:rPr>
          <w:sz w:val="20"/>
          <w:szCs w:val="20"/>
          <w:color w:val="auto"/>
        </w:rPr>
      </w:pPr>
      <w:r>
        <w:rPr>
          <w:rFonts w:ascii="Times New Roman" w:cs="Times New Roman" w:eastAsia="Times New Roman" w:hAnsi="Times New Roman"/>
          <w:sz w:val="14"/>
          <w:szCs w:val="14"/>
          <w:color w:val="auto"/>
        </w:rPr>
        <w:t>Whenever the number of shares of our common stock purchasable upon the exercise of the Private Placement Warrants is adjusted, as described above, the warrant exercise price will be adjusted by multiplying</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8" w:name="page19"/>
    <w:bookmarkEnd w:id="18"/>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459"/>
        <w:spacing w:after="0" w:line="253" w:lineRule="auto"/>
        <w:rPr>
          <w:sz w:val="20"/>
          <w:szCs w:val="20"/>
          <w:color w:val="auto"/>
        </w:rPr>
      </w:pPr>
      <w:r>
        <w:rPr>
          <w:rFonts w:ascii="Times New Roman" w:cs="Times New Roman" w:eastAsia="Times New Roman" w:hAnsi="Times New Roman"/>
          <w:sz w:val="14"/>
          <w:szCs w:val="14"/>
          <w:color w:val="auto"/>
        </w:rPr>
        <w:t>the warrant exercise price immediately prior to such adjustment by a fraction (x) the numerator of which will be the number of shares of our common stock purchasable upon the exercise of the Private Placement Warrants immediately prior to such adjustment, and (y) the denominator of which will be the number of shares of our common stock so purchasable immediately thereafter.</w:t>
      </w:r>
    </w:p>
    <w:p>
      <w:pPr>
        <w:spacing w:after="0" w:line="84" w:lineRule="exact"/>
        <w:rPr>
          <w:sz w:val="20"/>
          <w:szCs w:val="20"/>
          <w:color w:val="auto"/>
        </w:rPr>
      </w:pPr>
    </w:p>
    <w:p>
      <w:pPr>
        <w:ind w:left="1280" w:right="1299" w:firstLine="282"/>
        <w:spacing w:after="0" w:line="242" w:lineRule="auto"/>
        <w:rPr>
          <w:sz w:val="20"/>
          <w:szCs w:val="20"/>
          <w:color w:val="auto"/>
        </w:rPr>
      </w:pPr>
      <w:r>
        <w:rPr>
          <w:rFonts w:ascii="Times New Roman" w:cs="Times New Roman" w:eastAsia="Times New Roman" w:hAnsi="Times New Roman"/>
          <w:sz w:val="14"/>
          <w:szCs w:val="14"/>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Private Placement Warrants will thereafter have the right to purchase and receive, upon the basis and upon the terms and conditions specified in the Private Placement Warrants and in lieu of the shares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Private Placement Warrants would have received if such holder had exercised their Private Placement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Private Placement Warrants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 -5(b)(l)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our common stock, the holder of a Private Placement Warrants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our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our common stock in such a transaction is payable in the form of common stock in the successor entity that is listed for trading on a national securities exchange or is quoted in an established over- the-counter market, or is to be so listed for trading or quoted immediately following such event, and if the registered holder of the warrant properly exercises the Private Placement Warrants within thirty (30)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Private Placement Warrants when an extraordinary transaction occurs during the exercise period of the warrants pursuant to which the holders of the warrants otherwise do not receive the full potential value of the warrants in order to determine and realize the option value component of the Private Placement Warrant. This formula is to compensate the warrant holder for the loss of the option value portion of the Private Placement Warrant due to the requirement that the warrant holder exercise the warrant within thirty (30) days of the event. The Black-Scholes model is an accepted pricing model for estimating fair market value where no quoted market price for an instrument is available.</w:t>
      </w:r>
    </w:p>
    <w:p>
      <w:pPr>
        <w:spacing w:after="0" w:line="200" w:lineRule="exact"/>
        <w:rPr>
          <w:sz w:val="20"/>
          <w:szCs w:val="20"/>
          <w:color w:val="auto"/>
        </w:rPr>
      </w:pPr>
    </w:p>
    <w:p>
      <w:pPr>
        <w:spacing w:after="0" w:line="244" w:lineRule="exact"/>
        <w:rPr>
          <w:sz w:val="20"/>
          <w:szCs w:val="20"/>
          <w:color w:val="auto"/>
        </w:rPr>
      </w:pPr>
    </w:p>
    <w:p>
      <w:pPr>
        <w:ind w:left="1280" w:right="1379" w:firstLine="282"/>
        <w:spacing w:after="0" w:line="246" w:lineRule="auto"/>
        <w:rPr>
          <w:sz w:val="20"/>
          <w:szCs w:val="20"/>
          <w:color w:val="auto"/>
        </w:rPr>
      </w:pPr>
      <w:r>
        <w:rPr>
          <w:rFonts w:ascii="Times New Roman" w:cs="Times New Roman" w:eastAsia="Times New Roman" w:hAnsi="Times New Roman"/>
          <w:sz w:val="14"/>
          <w:szCs w:val="14"/>
          <w:color w:val="auto"/>
        </w:rPr>
        <w:t>The Private Placement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by certified or official bank check payable to us, for the number of warrants being exercised. The warrant holders do not have the rights or privileges of holders of common stock and any voting rights until they exercise their warrants and receive shares of our common stock. After the issuance</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9" w:name="page20"/>
    <w:bookmarkEnd w:id="19"/>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80" w:right="1299"/>
        <w:spacing w:after="0" w:line="270" w:lineRule="auto"/>
        <w:rPr>
          <w:sz w:val="20"/>
          <w:szCs w:val="20"/>
          <w:color w:val="auto"/>
        </w:rPr>
      </w:pPr>
      <w:r>
        <w:rPr>
          <w:rFonts w:ascii="Times New Roman" w:cs="Times New Roman" w:eastAsia="Times New Roman" w:hAnsi="Times New Roman"/>
          <w:sz w:val="14"/>
          <w:szCs w:val="14"/>
          <w:color w:val="auto"/>
        </w:rPr>
        <w:t>of shares of our common stock upon exercise of the Private Placement Warrants, each holder will be entitled to one vote for each share held of record on all matters to be voted on by stockholders.</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Annual Stockholder Meetings</w:t>
      </w:r>
    </w:p>
    <w:p>
      <w:pPr>
        <w:spacing w:after="0" w:line="106" w:lineRule="exact"/>
        <w:rPr>
          <w:sz w:val="20"/>
          <w:szCs w:val="20"/>
          <w:color w:val="auto"/>
        </w:rPr>
      </w:pPr>
    </w:p>
    <w:p>
      <w:pPr>
        <w:ind w:left="1280" w:right="1519" w:firstLine="282"/>
        <w:spacing w:after="0" w:line="253" w:lineRule="auto"/>
        <w:rPr>
          <w:sz w:val="20"/>
          <w:szCs w:val="20"/>
          <w:color w:val="auto"/>
        </w:rPr>
      </w:pPr>
      <w:r>
        <w:rPr>
          <w:rFonts w:ascii="Times New Roman" w:cs="Times New Roman" w:eastAsia="Times New Roman" w:hAnsi="Times New Roman"/>
          <w:sz w:val="14"/>
          <w:szCs w:val="14"/>
          <w:color w:val="auto"/>
        </w:rPr>
        <w:t>Our current certificate of incorporation and our current bylaws provide that annual stockholder meetings will be held at a date, time and place, if any, as exclusively selected by the Board. To the extent permitted under applicable law, we may conduct meetings by remote communications.</w:t>
      </w:r>
    </w:p>
    <w:p>
      <w:pPr>
        <w:spacing w:after="0" w:line="124" w:lineRule="exact"/>
        <w:rPr>
          <w:sz w:val="20"/>
          <w:szCs w:val="20"/>
          <w:color w:val="auto"/>
        </w:rPr>
      </w:pPr>
    </w:p>
    <w:p>
      <w:pPr>
        <w:ind w:left="1280" w:right="1439"/>
        <w:spacing w:after="0" w:line="273" w:lineRule="auto"/>
        <w:rPr>
          <w:sz w:val="20"/>
          <w:szCs w:val="20"/>
          <w:color w:val="auto"/>
        </w:rPr>
      </w:pPr>
      <w:r>
        <w:rPr>
          <w:rFonts w:ascii="Times New Roman" w:cs="Times New Roman" w:eastAsia="Times New Roman" w:hAnsi="Times New Roman"/>
          <w:sz w:val="14"/>
          <w:szCs w:val="14"/>
          <w:b w:val="1"/>
          <w:bCs w:val="1"/>
          <w:color w:val="auto"/>
        </w:rPr>
        <w:t>Effects of Our Current Certificate of Incorporation, Our Current Bylaws and Certain Provisions of Delaware Law</w:t>
      </w:r>
    </w:p>
    <w:p>
      <w:pPr>
        <w:spacing w:after="0" w:line="59" w:lineRule="exact"/>
        <w:rPr>
          <w:sz w:val="20"/>
          <w:szCs w:val="20"/>
          <w:color w:val="auto"/>
        </w:rPr>
      </w:pPr>
    </w:p>
    <w:p>
      <w:pPr>
        <w:ind w:left="1280" w:right="1399" w:firstLine="282"/>
        <w:spacing w:after="0" w:line="235" w:lineRule="auto"/>
        <w:rPr>
          <w:sz w:val="20"/>
          <w:szCs w:val="20"/>
          <w:color w:val="auto"/>
        </w:rPr>
      </w:pPr>
      <w:r>
        <w:rPr>
          <w:rFonts w:ascii="Times New Roman" w:cs="Times New Roman" w:eastAsia="Times New Roman" w:hAnsi="Times New Roman"/>
          <w:sz w:val="14"/>
          <w:szCs w:val="14"/>
          <w:color w:val="auto"/>
        </w:rPr>
        <w:t>Our current certificate of incorporation, our current bylaws and the DGCL contain provisions, which are summarized in the following paragraphs, that are intended to enhance the likelihood of continuity and stability in the composition of the Board. These provisions are intended to avoid costly takeover battles, reduce our vulnerability to a hostile change of control and enhance the ability of the Board to maximize stockholder value in connection with any unsolicited offer to acquire us.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our common stock held by stockholders.</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Capital Stock</w:t>
      </w:r>
    </w:p>
    <w:p>
      <w:pPr>
        <w:spacing w:after="0" w:line="116" w:lineRule="exact"/>
        <w:rPr>
          <w:sz w:val="20"/>
          <w:szCs w:val="20"/>
          <w:color w:val="auto"/>
        </w:rPr>
      </w:pPr>
    </w:p>
    <w:p>
      <w:pPr>
        <w:ind w:left="1280" w:right="1319" w:firstLine="282"/>
        <w:spacing w:after="0" w:line="237" w:lineRule="auto"/>
        <w:rPr>
          <w:sz w:val="20"/>
          <w:szCs w:val="20"/>
          <w:color w:val="auto"/>
        </w:rPr>
      </w:pPr>
      <w:r>
        <w:rPr>
          <w:rFonts w:ascii="Times New Roman" w:cs="Times New Roman" w:eastAsia="Times New Roman" w:hAnsi="Times New Roman"/>
          <w:sz w:val="14"/>
          <w:szCs w:val="14"/>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used in the future may be used for a variety of corporate purposes, including future public offerings, to raise additional capital or to facilitate acquisitions.</w:t>
      </w:r>
    </w:p>
    <w:p>
      <w:pPr>
        <w:spacing w:after="0" w:line="84" w:lineRule="exact"/>
        <w:rPr>
          <w:sz w:val="20"/>
          <w:szCs w:val="20"/>
          <w:color w:val="auto"/>
        </w:rPr>
      </w:pPr>
    </w:p>
    <w:p>
      <w:pPr>
        <w:ind w:left="1280" w:right="1319" w:firstLine="282"/>
        <w:spacing w:after="0" w:line="241" w:lineRule="auto"/>
        <w:rPr>
          <w:sz w:val="20"/>
          <w:szCs w:val="20"/>
          <w:color w:val="auto"/>
        </w:rPr>
      </w:pPr>
      <w:r>
        <w:rPr>
          <w:rFonts w:ascii="Times New Roman" w:cs="Times New Roman" w:eastAsia="Times New Roman" w:hAnsi="Times New Roman"/>
          <w:sz w:val="14"/>
          <w:szCs w:val="14"/>
          <w:color w:val="auto"/>
        </w:rPr>
        <w:t>The Board may generally issue one or more series of preferred shares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81" w:lineRule="exact"/>
        <w:rPr>
          <w:sz w:val="20"/>
          <w:szCs w:val="20"/>
          <w:color w:val="auto"/>
        </w:rPr>
      </w:pPr>
    </w:p>
    <w:p>
      <w:pPr>
        <w:ind w:left="1280" w:right="1299" w:firstLine="282"/>
        <w:spacing w:after="0"/>
        <w:rPr>
          <w:sz w:val="20"/>
          <w:szCs w:val="20"/>
          <w:color w:val="auto"/>
        </w:rPr>
      </w:pPr>
      <w:r>
        <w:rPr>
          <w:rFonts w:ascii="Times New Roman" w:cs="Times New Roman" w:eastAsia="Times New Roman" w:hAnsi="Times New Roman"/>
          <w:sz w:val="14"/>
          <w:szCs w:val="14"/>
          <w:color w:val="auto"/>
        </w:rPr>
        <w:t>One of the effects of the existence of authorized and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3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16" w:lineRule="exact"/>
        <w:rPr>
          <w:sz w:val="20"/>
          <w:szCs w:val="20"/>
          <w:color w:val="auto"/>
        </w:rPr>
      </w:pPr>
    </w:p>
    <w:p>
      <w:pPr>
        <w:ind w:left="1280" w:right="1479" w:firstLine="282"/>
        <w:spacing w:after="0" w:line="242" w:lineRule="auto"/>
        <w:rPr>
          <w:sz w:val="20"/>
          <w:szCs w:val="20"/>
          <w:color w:val="auto"/>
        </w:rPr>
      </w:pPr>
      <w:r>
        <w:rPr>
          <w:rFonts w:ascii="Times New Roman" w:cs="Times New Roman" w:eastAsia="Times New Roman" w:hAnsi="Times New Roman"/>
          <w:sz w:val="14"/>
          <w:szCs w:val="14"/>
          <w:color w:val="auto"/>
        </w:rPr>
        <w:t>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60" w:lineRule="exact"/>
        <w:rPr>
          <w:sz w:val="20"/>
          <w:szCs w:val="20"/>
          <w:color w:val="auto"/>
        </w:rPr>
      </w:pPr>
    </w:p>
    <w:p>
      <w:pPr>
        <w:ind w:left="1700" w:right="1779" w:hanging="133"/>
        <w:spacing w:after="0" w:line="286" w:lineRule="auto"/>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the Board approved either the business combination or the transaction that resulted in the stockholder becoming an interested stockholder;</w:t>
      </w:r>
    </w:p>
    <w:p>
      <w:pPr>
        <w:spacing w:after="0" w:line="29" w:lineRule="exact"/>
        <w:rPr>
          <w:rFonts w:ascii="Times New Roman" w:cs="Times New Roman" w:eastAsia="Times New Roman" w:hAnsi="Times New Roman"/>
          <w:sz w:val="14"/>
          <w:szCs w:val="14"/>
          <w:color w:val="auto"/>
        </w:rPr>
      </w:pPr>
    </w:p>
    <w:p>
      <w:pPr>
        <w:ind w:left="1700" w:right="1299" w:hanging="133"/>
        <w:spacing w:after="0" w:line="269" w:lineRule="auto"/>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41" w:lineRule="exact"/>
        <w:rPr>
          <w:rFonts w:ascii="Times New Roman" w:cs="Times New Roman" w:eastAsia="Times New Roman" w:hAnsi="Times New Roman"/>
          <w:sz w:val="14"/>
          <w:szCs w:val="14"/>
          <w:color w:val="auto"/>
        </w:rPr>
      </w:pPr>
    </w:p>
    <w:p>
      <w:pPr>
        <w:ind w:left="1700" w:right="1439" w:hanging="133"/>
        <w:spacing w:after="0" w:line="269" w:lineRule="auto"/>
        <w:tabs>
          <w:tab w:leader="none" w:pos="17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0" w:name="page21"/>
    <w:bookmarkEnd w:id="20"/>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80" w:right="1319" w:firstLine="282"/>
        <w:spacing w:after="0" w:line="250" w:lineRule="auto"/>
        <w:rPr>
          <w:sz w:val="20"/>
          <w:szCs w:val="20"/>
          <w:color w:val="auto"/>
        </w:rPr>
      </w:pPr>
      <w:r>
        <w:rPr>
          <w:rFonts w:ascii="Times New Roman" w:cs="Times New Roman" w:eastAsia="Times New Roman" w:hAnsi="Times New Roman"/>
          <w:sz w:val="14"/>
          <w:szCs w:val="14"/>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w:t>
      </w:r>
    </w:p>
    <w:p>
      <w:pPr>
        <w:jc w:val="both"/>
        <w:ind w:left="1280" w:right="1299"/>
        <w:spacing w:after="0" w:line="262" w:lineRule="auto"/>
        <w:rPr>
          <w:sz w:val="20"/>
          <w:szCs w:val="20"/>
          <w:color w:val="auto"/>
        </w:rPr>
      </w:pPr>
      <w:r>
        <w:rPr>
          <w:rFonts w:ascii="Times New Roman" w:cs="Times New Roman" w:eastAsia="Times New Roman" w:hAnsi="Times New Roman"/>
          <w:sz w:val="14"/>
          <w:szCs w:val="14"/>
          <w:color w:val="auto"/>
        </w:rPr>
        <w:t>three years owned, 15% or more of the votes of our outstanding voting stock. For purposes of this provision, “voting stock” means any class or series of stock entitled to vote generally in the election of directors.</w:t>
      </w:r>
    </w:p>
    <w:p>
      <w:pPr>
        <w:spacing w:after="0" w:line="77" w:lineRule="exact"/>
        <w:rPr>
          <w:sz w:val="20"/>
          <w:szCs w:val="20"/>
          <w:color w:val="auto"/>
        </w:rPr>
      </w:pPr>
    </w:p>
    <w:p>
      <w:pPr>
        <w:ind w:left="1280" w:right="1459" w:firstLine="282"/>
        <w:spacing w:after="0" w:line="247" w:lineRule="auto"/>
        <w:rPr>
          <w:sz w:val="20"/>
          <w:szCs w:val="20"/>
          <w:color w:val="auto"/>
        </w:rPr>
      </w:pPr>
      <w:r>
        <w:rPr>
          <w:rFonts w:ascii="Times New Roman" w:cs="Times New Roman" w:eastAsia="Times New Roman" w:hAnsi="Times New Roman"/>
          <w:sz w:val="14"/>
          <w:szCs w:val="14"/>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This provision also may have the effect of preventing changes in our Board and may make it more difficult to accomplish transactions that stockholders may otherwise deem to be in their best interests.</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Removal of Directors; Vacancies</w:t>
      </w:r>
    </w:p>
    <w:p>
      <w:pPr>
        <w:spacing w:after="0" w:line="127" w:lineRule="exact"/>
        <w:rPr>
          <w:sz w:val="20"/>
          <w:szCs w:val="20"/>
          <w:color w:val="auto"/>
        </w:rPr>
      </w:pPr>
    </w:p>
    <w:p>
      <w:pPr>
        <w:ind w:left="1280" w:right="1339" w:firstLine="282"/>
        <w:spacing w:after="0" w:line="242" w:lineRule="auto"/>
        <w:rPr>
          <w:sz w:val="20"/>
          <w:szCs w:val="20"/>
          <w:color w:val="auto"/>
        </w:rPr>
      </w:pPr>
      <w:r>
        <w:rPr>
          <w:rFonts w:ascii="Times New Roman" w:cs="Times New Roman" w:eastAsia="Times New Roman" w:hAnsi="Times New Roman"/>
          <w:sz w:val="14"/>
          <w:szCs w:val="14"/>
          <w:color w:val="auto"/>
        </w:rPr>
        <w:t>Under the DGCL, unless otherwise provided in our current certificate of incorporation, directors serving on a board may be removed by the stockholders with or without cause. Our current certificate of incorporation provides that any director may be removed from office by the stockholders, with or without cause, by the affirmative vote of the holders of a majority of the total voting power of all outstanding securities generally entitled to vote in the election of directors, voting together as a single class. However, pursuant to the Investor Rights Agreement, Ayar has the exclusive right to (i) remove its nominees from the Board, and we are required to take all necessary action to cause the removal of any such nominee at the request of Ayar and (ii) designate directors for election or appointment, as applicable, to the Board to fill vacancies created by reason of death, removal or resignation of its nominees to the Board, and we are required to take all necessary action to nominate or cause the Board to appoint, as applicable, replacement directors designated by Ayar to fill any such vacancies created pursuant to clause (i) or (ii) above as promptly as practicable after such designation (and in any event prior to the next meeting or action of the Board or applicable committee). In addition, our current certificate of incorporation provides that, without limiting the rights of any party to the Investor Rights Agreement, vacancies on the Board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 Our current certificate of incorporation provides that, subject to the Investor Rights Agreement, the number of directors constituting the Board can be fixed exclusively by one or more resolutions adopted from time to time solely by the affirmative vote of a majority of the Board.</w:t>
      </w:r>
    </w:p>
    <w:p>
      <w:pPr>
        <w:spacing w:after="0" w:line="200" w:lineRule="exact"/>
        <w:rPr>
          <w:sz w:val="20"/>
          <w:szCs w:val="20"/>
          <w:color w:val="auto"/>
        </w:rPr>
      </w:pPr>
    </w:p>
    <w:p>
      <w:pPr>
        <w:spacing w:after="0" w:line="2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No Cumulative Voting</w:t>
      </w:r>
    </w:p>
    <w:p>
      <w:pPr>
        <w:spacing w:after="0" w:line="116" w:lineRule="exact"/>
        <w:rPr>
          <w:sz w:val="20"/>
          <w:szCs w:val="20"/>
          <w:color w:val="auto"/>
        </w:rPr>
      </w:pPr>
    </w:p>
    <w:p>
      <w:pPr>
        <w:ind w:left="1280" w:right="1299" w:firstLine="282"/>
        <w:spacing w:after="0" w:line="253" w:lineRule="auto"/>
        <w:rPr>
          <w:sz w:val="20"/>
          <w:szCs w:val="20"/>
          <w:color w:val="auto"/>
        </w:rPr>
      </w:pPr>
      <w:r>
        <w:rPr>
          <w:rFonts w:ascii="Times New Roman" w:cs="Times New Roman" w:eastAsia="Times New Roman" w:hAnsi="Times New Roman"/>
          <w:sz w:val="14"/>
          <w:szCs w:val="14"/>
          <w:color w:val="auto"/>
        </w:rPr>
        <w:t>Under Delaware law, the right to vote cumulatively does not exist unless the certificate of incorporation specifically authorizes cumulative voting. Our current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Special Stockholder Meetings</w:t>
      </w:r>
    </w:p>
    <w:p>
      <w:pPr>
        <w:spacing w:after="0" w:line="116" w:lineRule="exact"/>
        <w:rPr>
          <w:sz w:val="20"/>
          <w:szCs w:val="20"/>
          <w:color w:val="auto"/>
        </w:rPr>
      </w:pPr>
    </w:p>
    <w:p>
      <w:pPr>
        <w:ind w:left="1280" w:right="1299" w:firstLine="282"/>
        <w:spacing w:after="0" w:line="253" w:lineRule="auto"/>
        <w:rPr>
          <w:sz w:val="20"/>
          <w:szCs w:val="20"/>
          <w:color w:val="auto"/>
        </w:rPr>
      </w:pPr>
      <w:r>
        <w:rPr>
          <w:rFonts w:ascii="Times New Roman" w:cs="Times New Roman" w:eastAsia="Times New Roman" w:hAnsi="Times New Roman"/>
          <w:sz w:val="14"/>
          <w:szCs w:val="14"/>
          <w:color w:val="auto"/>
        </w:rPr>
        <w:t>Our current certificate of incorporation provides that special meetings of the stockholders may be called only by the Board acting pursuant to a resolution adopted by a majority of the Board. Our current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Requirements for Advance Notification of Director Nominations and Stockholder Proposals</w:t>
      </w:r>
    </w:p>
    <w:p>
      <w:pPr>
        <w:spacing w:after="0" w:line="127" w:lineRule="exact"/>
        <w:rPr>
          <w:sz w:val="20"/>
          <w:szCs w:val="20"/>
          <w:color w:val="auto"/>
        </w:rPr>
      </w:pPr>
    </w:p>
    <w:p>
      <w:pPr>
        <w:ind w:left="1280" w:right="1359" w:firstLine="282"/>
        <w:spacing w:after="0" w:line="253" w:lineRule="auto"/>
        <w:rPr>
          <w:sz w:val="20"/>
          <w:szCs w:val="20"/>
          <w:color w:val="auto"/>
        </w:rPr>
      </w:pPr>
      <w:r>
        <w:rPr>
          <w:rFonts w:ascii="Times New Roman" w:cs="Times New Roman" w:eastAsia="Times New Roman" w:hAnsi="Times New Roman"/>
          <w:sz w:val="14"/>
          <w:szCs w:val="14"/>
          <w:color w:val="auto"/>
        </w:rPr>
        <w:t>Our current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of</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1" w:name="page22"/>
    <w:bookmarkEnd w:id="21"/>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339"/>
        <w:spacing w:after="0" w:line="245" w:lineRule="auto"/>
        <w:rPr>
          <w:sz w:val="20"/>
          <w:szCs w:val="20"/>
          <w:color w:val="auto"/>
        </w:rPr>
      </w:pPr>
      <w:r>
        <w:rPr>
          <w:rFonts w:ascii="Times New Roman" w:cs="Times New Roman" w:eastAsia="Times New Roman" w:hAnsi="Times New Roman"/>
          <w:sz w:val="14"/>
          <w:szCs w:val="14"/>
          <w:color w:val="auto"/>
        </w:rPr>
        <w:t>our stockholders, a stockholder will have to comply with advance notice requirements and provide us with certain information. Generally, to be timely, a stockholder’s notice must be received by our secretary not less than 90 calendar days nor more than 120 calendar days prior to the first anniversary date of the immediately preceding annual meeting of stockholders. Our current bylaws also specify requirements as to the form and content of a stockholder’s notice. Our current bylaws allow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the Company.</w:t>
      </w:r>
    </w:p>
    <w:p>
      <w:pPr>
        <w:spacing w:after="0" w:line="3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by Written Consent</w:t>
      </w:r>
    </w:p>
    <w:p>
      <w:pPr>
        <w:spacing w:after="0" w:line="116" w:lineRule="exact"/>
        <w:rPr>
          <w:sz w:val="20"/>
          <w:szCs w:val="20"/>
          <w:color w:val="auto"/>
        </w:rPr>
      </w:pPr>
    </w:p>
    <w:p>
      <w:pPr>
        <w:ind w:left="1280" w:right="1319" w:firstLine="282"/>
        <w:spacing w:after="0" w:line="245" w:lineRule="auto"/>
        <w:rPr>
          <w:sz w:val="20"/>
          <w:szCs w:val="20"/>
          <w:color w:val="auto"/>
        </w:rPr>
      </w:pPr>
      <w:r>
        <w:rPr>
          <w:rFonts w:ascii="Times New Roman" w:cs="Times New Roman" w:eastAsia="Times New Roman" w:hAnsi="Times New Roman"/>
          <w:sz w:val="14"/>
          <w:szCs w:val="14"/>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current certificate of incorporation provides otherwise. Our current certificate of incorporation precludes stockholder action by written consent at any time when Ayar and its permitted transferees beneficially own, in the aggregate, less than 50% in voting power of the stock of the Company entitled to vote generally in the election of directors, other than certain rights that holders of our preferred stock may have to act by written consent.</w:t>
      </w:r>
    </w:p>
    <w:p>
      <w:pPr>
        <w:spacing w:after="0" w:line="3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Dissenters’ Rights of Appraisal and Payment</w:t>
      </w:r>
    </w:p>
    <w:p>
      <w:pPr>
        <w:spacing w:after="0" w:line="116" w:lineRule="exact"/>
        <w:rPr>
          <w:sz w:val="20"/>
          <w:szCs w:val="20"/>
          <w:color w:val="auto"/>
        </w:rPr>
      </w:pPr>
    </w:p>
    <w:p>
      <w:pPr>
        <w:ind w:left="1280" w:right="1479" w:firstLine="282"/>
        <w:spacing w:after="0" w:line="253" w:lineRule="auto"/>
        <w:rPr>
          <w:sz w:val="20"/>
          <w:szCs w:val="20"/>
          <w:color w:val="auto"/>
        </w:rPr>
      </w:pPr>
      <w:r>
        <w:rPr>
          <w:rFonts w:ascii="Times New Roman" w:cs="Times New Roman" w:eastAsia="Times New Roman" w:hAnsi="Times New Roman"/>
          <w:sz w:val="14"/>
          <w:szCs w:val="14"/>
          <w:color w:val="auto"/>
        </w:rPr>
        <w:t>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Stockholders’ Derivative Actions</w:t>
      </w:r>
    </w:p>
    <w:p>
      <w:pPr>
        <w:spacing w:after="0" w:line="116" w:lineRule="exact"/>
        <w:rPr>
          <w:sz w:val="20"/>
          <w:szCs w:val="20"/>
          <w:color w:val="auto"/>
        </w:rPr>
      </w:pPr>
    </w:p>
    <w:p>
      <w:pPr>
        <w:ind w:left="1280" w:right="1359" w:firstLine="282"/>
        <w:spacing w:after="0" w:line="253" w:lineRule="auto"/>
        <w:rPr>
          <w:sz w:val="20"/>
          <w:szCs w:val="20"/>
          <w:color w:val="auto"/>
        </w:rPr>
      </w:pPr>
      <w:r>
        <w:rPr>
          <w:rFonts w:ascii="Times New Roman" w:cs="Times New Roman" w:eastAsia="Times New Roman" w:hAnsi="Times New Roman"/>
          <w:sz w:val="14"/>
          <w:szCs w:val="14"/>
          <w:color w:val="auto"/>
        </w:rPr>
        <w:t>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w:t>
      </w:r>
    </w:p>
    <w:p>
      <w:pPr>
        <w:spacing w:after="0" w:line="1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Exclusive Forum</w:t>
      </w:r>
    </w:p>
    <w:p>
      <w:pPr>
        <w:spacing w:after="0" w:line="127" w:lineRule="exact"/>
        <w:rPr>
          <w:sz w:val="20"/>
          <w:szCs w:val="20"/>
          <w:color w:val="auto"/>
        </w:rPr>
      </w:pPr>
    </w:p>
    <w:p>
      <w:pPr>
        <w:ind w:left="1280" w:right="1319" w:firstLine="282"/>
        <w:spacing w:after="0" w:line="254" w:lineRule="auto"/>
        <w:rPr>
          <w:sz w:val="20"/>
          <w:szCs w:val="20"/>
          <w:color w:val="auto"/>
        </w:rPr>
      </w:pPr>
      <w:r>
        <w:rPr>
          <w:rFonts w:ascii="Times New Roman" w:cs="Times New Roman" w:eastAsia="Times New Roman" w:hAnsi="Times New Roman"/>
          <w:sz w:val="14"/>
          <w:szCs w:val="14"/>
          <w:color w:val="auto"/>
        </w:rPr>
        <w:t>Our current bylaws provide that unless the Company consents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 (iii) any action asserting a claim against the Company or any director or officer or other employee of the Company arising pursuant to any provision of Delaware law or our current certificate of incorporation or our current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These provisions do not apply to claims arising under the Securities Act, the Exchange Act, or other federal securities laws for which there is exclusive federal or concurrent federal and state jurisdiction. Unless the Company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capital stock of the Company shall be deemed to have notice of and consented to the forum</w:t>
      </w: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203835</wp:posOffset>
            </wp:positionV>
            <wp:extent cx="53581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2" w:name="page23"/>
    <w:bookmarkEnd w:id="22"/>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839"/>
        <w:spacing w:after="0" w:line="286" w:lineRule="auto"/>
        <w:rPr>
          <w:sz w:val="20"/>
          <w:szCs w:val="20"/>
          <w:color w:val="auto"/>
        </w:rPr>
      </w:pPr>
      <w:r>
        <w:rPr>
          <w:rFonts w:ascii="Times New Roman" w:cs="Times New Roman" w:eastAsia="Times New Roman" w:hAnsi="Times New Roman"/>
          <w:sz w:val="14"/>
          <w:szCs w:val="14"/>
          <w:color w:val="auto"/>
        </w:rPr>
        <w:t>provisions in our current bylaws. However, it is possible that a court could find our forum selection provisions to be inapplicable or unenforceable.</w:t>
      </w:r>
    </w:p>
    <w:p>
      <w:pPr>
        <w:spacing w:after="0" w:line="1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Limitation on Liability and Indemnification of Directors and Officers</w:t>
      </w:r>
    </w:p>
    <w:p>
      <w:pPr>
        <w:spacing w:after="0" w:line="127" w:lineRule="exact"/>
        <w:rPr>
          <w:sz w:val="20"/>
          <w:szCs w:val="20"/>
          <w:color w:val="auto"/>
        </w:rPr>
      </w:pPr>
    </w:p>
    <w:p>
      <w:pPr>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w:t>
      </w:r>
    </w:p>
    <w:p>
      <w:pPr>
        <w:spacing w:after="0" w:line="256" w:lineRule="exact"/>
        <w:rPr>
          <w:sz w:val="20"/>
          <w:szCs w:val="20"/>
          <w:color w:val="auto"/>
        </w:rPr>
      </w:pPr>
    </w:p>
    <w:p>
      <w:pPr>
        <w:ind w:left="1280" w:right="1359" w:firstLine="282"/>
        <w:spacing w:after="0" w:line="243" w:lineRule="auto"/>
        <w:rPr>
          <w:sz w:val="20"/>
          <w:szCs w:val="20"/>
          <w:color w:val="auto"/>
        </w:rPr>
      </w:pPr>
      <w:r>
        <w:rPr>
          <w:rFonts w:ascii="Times New Roman" w:cs="Times New Roman" w:eastAsia="Times New Roman" w:hAnsi="Times New Roman"/>
          <w:sz w:val="14"/>
          <w:szCs w:val="14"/>
          <w:color w:val="auto"/>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 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256" w:lineRule="exact"/>
        <w:rPr>
          <w:sz w:val="20"/>
          <w:szCs w:val="20"/>
          <w:color w:val="auto"/>
        </w:rPr>
      </w:pPr>
    </w:p>
    <w:p>
      <w:pPr>
        <w:ind w:left="1280" w:right="1519" w:firstLine="282"/>
        <w:spacing w:after="0" w:line="249" w:lineRule="auto"/>
        <w:rPr>
          <w:sz w:val="20"/>
          <w:szCs w:val="20"/>
          <w:color w:val="auto"/>
        </w:rPr>
      </w:pPr>
      <w:r>
        <w:rPr>
          <w:rFonts w:ascii="Times New Roman" w:cs="Times New Roman" w:eastAsia="Times New Roman" w:hAnsi="Times New Roman"/>
          <w:sz w:val="14"/>
          <w:szCs w:val="14"/>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89" w:lineRule="exact"/>
        <w:rPr>
          <w:sz w:val="20"/>
          <w:szCs w:val="20"/>
          <w:color w:val="auto"/>
        </w:rPr>
      </w:pPr>
    </w:p>
    <w:p>
      <w:pPr>
        <w:ind w:left="1280" w:right="1679" w:firstLine="282"/>
        <w:spacing w:after="0" w:line="270" w:lineRule="auto"/>
        <w:rPr>
          <w:sz w:val="20"/>
          <w:szCs w:val="20"/>
          <w:color w:val="auto"/>
        </w:rPr>
      </w:pPr>
      <w:r>
        <w:rPr>
          <w:rFonts w:ascii="Times New Roman" w:cs="Times New Roman" w:eastAsia="Times New Roman" w:hAnsi="Times New Roman"/>
          <w:sz w:val="14"/>
          <w:szCs w:val="14"/>
          <w:color w:val="auto"/>
        </w:rPr>
        <w:t>The Company’s current certificate of incorporation provides that we must indemnify and advance expenses to our directors and officers to the full extent authorized by the DGCL.</w:t>
      </w:r>
    </w:p>
    <w:p>
      <w:pPr>
        <w:spacing w:after="0" w:line="72" w:lineRule="exact"/>
        <w:rPr>
          <w:sz w:val="20"/>
          <w:szCs w:val="20"/>
          <w:color w:val="auto"/>
        </w:rPr>
      </w:pPr>
    </w:p>
    <w:p>
      <w:pPr>
        <w:ind w:left="1280" w:right="1339" w:firstLine="282"/>
        <w:spacing w:after="0" w:line="250"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w:t>
      </w:r>
    </w:p>
    <w:p>
      <w:pPr>
        <w:spacing w:after="0" w:line="252" w:lineRule="exact"/>
        <w:rPr>
          <w:sz w:val="20"/>
          <w:szCs w:val="20"/>
          <w:color w:val="auto"/>
        </w:rPr>
      </w:pPr>
    </w:p>
    <w:p>
      <w:pPr>
        <w:ind w:left="1280" w:right="1299" w:firstLine="282"/>
        <w:spacing w:after="0" w:line="247" w:lineRule="auto"/>
        <w:rPr>
          <w:sz w:val="20"/>
          <w:szCs w:val="20"/>
          <w:color w:val="auto"/>
        </w:rPr>
      </w:pPr>
      <w:r>
        <w:rPr>
          <w:rFonts w:ascii="Times New Roman" w:cs="Times New Roman" w:eastAsia="Times New Roman" w:hAnsi="Times New Roman"/>
          <w:sz w:val="14"/>
          <w:szCs w:val="14"/>
          <w:color w:val="auto"/>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3" w:name="page24"/>
    <w:bookmarkEnd w:id="23"/>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319" w:firstLine="282"/>
        <w:spacing w:after="0" w:line="259" w:lineRule="auto"/>
        <w:rPr>
          <w:sz w:val="20"/>
          <w:szCs w:val="20"/>
          <w:color w:val="auto"/>
        </w:rPr>
      </w:pPr>
      <w:r>
        <w:rPr>
          <w:rFonts w:ascii="Times New Roman" w:cs="Times New Roman" w:eastAsia="Times New Roman" w:hAnsi="Times New Roman"/>
          <w:sz w:val="14"/>
          <w:szCs w:val="14"/>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The Company maintains and expect to maintain standard policies of insurance that provide coverage</w:t>
      </w:r>
    </w:p>
    <w:p>
      <w:pPr>
        <w:spacing w:after="0" w:line="23" w:lineRule="exact"/>
        <w:rPr>
          <w:sz w:val="20"/>
          <w:szCs w:val="20"/>
          <w:color w:val="auto"/>
        </w:rPr>
      </w:pPr>
    </w:p>
    <w:p>
      <w:pPr>
        <w:ind w:left="1280" w:right="1319" w:firstLine="5"/>
        <w:spacing w:after="0" w:line="258" w:lineRule="auto"/>
        <w:tabs>
          <w:tab w:leader="none" w:pos="149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its directors and officers against loss rising from claims made by reason of breach of duty or other wrongful act and (2) to the Company with respect to indemnification payments that the Company may make to such directors and officers.</w:t>
      </w:r>
    </w:p>
    <w:p>
      <w:pPr>
        <w:spacing w:after="0" w:line="91" w:lineRule="exact"/>
        <w:rPr>
          <w:sz w:val="20"/>
          <w:szCs w:val="20"/>
          <w:color w:val="auto"/>
        </w:rPr>
      </w:pPr>
    </w:p>
    <w:p>
      <w:pPr>
        <w:ind w:left="1280" w:right="1339" w:firstLine="282"/>
        <w:spacing w:after="0" w:line="260" w:lineRule="auto"/>
        <w:rPr>
          <w:sz w:val="20"/>
          <w:szCs w:val="20"/>
          <w:color w:val="auto"/>
        </w:rPr>
      </w:pPr>
      <w:r>
        <w:rPr>
          <w:rFonts w:ascii="Times New Roman" w:cs="Times New Roman" w:eastAsia="Times New Roman" w:hAnsi="Times New Roman"/>
          <w:sz w:val="14"/>
          <w:szCs w:val="14"/>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251" w:lineRule="exact"/>
        <w:rPr>
          <w:sz w:val="20"/>
          <w:szCs w:val="20"/>
          <w:color w:val="auto"/>
        </w:rPr>
      </w:pPr>
    </w:p>
    <w:p>
      <w:pPr>
        <w:ind w:left="1280" w:right="1339" w:firstLine="282"/>
        <w:spacing w:after="0" w:line="286" w:lineRule="auto"/>
        <w:rPr>
          <w:sz w:val="20"/>
          <w:szCs w:val="20"/>
          <w:color w:val="auto"/>
        </w:rPr>
      </w:pPr>
      <w:r>
        <w:rPr>
          <w:rFonts w:ascii="Times New Roman" w:cs="Times New Roman" w:eastAsia="Times New Roman" w:hAnsi="Times New Roman"/>
          <w:sz w:val="14"/>
          <w:szCs w:val="14"/>
          <w:color w:val="auto"/>
        </w:rPr>
        <w:t>The Company believes that these provisions, the insurance and the indemnity agreements are necessary to attract and retain talented and experienced officers and directors.</w:t>
      </w:r>
    </w:p>
    <w:p>
      <w:pPr>
        <w:spacing w:after="0" w:line="1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Our common stock is listed on The Nasdaq Stock Market LLC under the symbol “LCID.”</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Equiniti Trust Company.</w:t>
      </w:r>
    </w:p>
    <w:p>
      <w:pPr>
        <w:spacing w:after="0" w:line="114" w:lineRule="exact"/>
        <w:rPr>
          <w:sz w:val="20"/>
          <w:szCs w:val="20"/>
          <w:color w:val="auto"/>
        </w:rPr>
      </w:pPr>
    </w:p>
    <w:p>
      <w:pPr>
        <w:ind w:left="1280" w:right="1399" w:firstLine="282"/>
        <w:spacing w:after="0" w:line="262" w:lineRule="auto"/>
        <w:rPr>
          <w:sz w:val="20"/>
          <w:szCs w:val="20"/>
          <w:color w:val="auto"/>
        </w:rPr>
      </w:pPr>
      <w:r>
        <w:rPr>
          <w:rFonts w:ascii="Times New Roman" w:cs="Times New Roman" w:eastAsia="Times New Roman" w:hAnsi="Times New Roman"/>
          <w:sz w:val="14"/>
          <w:szCs w:val="14"/>
          <w:color w:val="auto"/>
        </w:rPr>
        <w:t>We have agreed to indemnify Equiniti Trust Company in its roles as transfer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4" w:name="page25"/>
    <w:bookmarkEnd w:id="24"/>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DEPOSITARY SHARES</w:t>
      </w:r>
    </w:p>
    <w:p>
      <w:pPr>
        <w:spacing w:after="0" w:line="127" w:lineRule="exact"/>
        <w:rPr>
          <w:sz w:val="20"/>
          <w:szCs w:val="20"/>
          <w:color w:val="auto"/>
        </w:rPr>
      </w:pPr>
    </w:p>
    <w:p>
      <w:pPr>
        <w:jc w:val="both"/>
        <w:ind w:left="1280" w:right="1379" w:firstLine="282"/>
        <w:spacing w:after="0" w:line="249" w:lineRule="auto"/>
        <w:rPr>
          <w:sz w:val="20"/>
          <w:szCs w:val="20"/>
          <w:color w:val="auto"/>
        </w:rPr>
      </w:pPr>
      <w:r>
        <w:rPr>
          <w:rFonts w:ascii="Times New Roman" w:cs="Times New Roman" w:eastAsia="Times New Roman" w:hAnsi="Times New Roman"/>
          <w:sz w:val="14"/>
          <w:szCs w:val="14"/>
          <w:color w:val="auto"/>
        </w:rPr>
        <w:t>We may offer depositary receipts representing fractional shares of our preferred stock, rather than full shares of preferred stock. The shares of preferred stock represented by depositary shares will be deposited under a depositary agreement between us and a bank or trust company that meets certain requirements and is selected by us (the “Bank Depositary”). Each owner of a depositary share will be entitled to all the rights and preferences of the preferred stock represented by the depositary share.</w:t>
      </w:r>
    </w:p>
    <w:p>
      <w:pPr>
        <w:spacing w:after="0" w:line="86" w:lineRule="exact"/>
        <w:rPr>
          <w:sz w:val="20"/>
          <w:szCs w:val="20"/>
          <w:color w:val="auto"/>
        </w:rPr>
      </w:pPr>
    </w:p>
    <w:p>
      <w:pPr>
        <w:ind w:left="1280" w:right="1399" w:firstLine="282"/>
        <w:spacing w:after="0" w:line="249" w:lineRule="auto"/>
        <w:rPr>
          <w:sz w:val="20"/>
          <w:szCs w:val="20"/>
          <w:color w:val="auto"/>
        </w:rPr>
      </w:pPr>
      <w:r>
        <w:rPr>
          <w:rFonts w:ascii="Times New Roman" w:cs="Times New Roman" w:eastAsia="Times New Roman" w:hAnsi="Times New Roman"/>
          <w:sz w:val="14"/>
          <w:szCs w:val="14"/>
          <w:color w:val="auto"/>
        </w:rPr>
        <w:t>The description in an accompanying prospectus supplement of any depositary shares we offer will not necessarily be complete and will be qualified in its entirety by reference to the applicable depositary agreement, which will be filed with the SEC if we offer depositary shares. For more information on how you can obtain copies of any depositary agreement if we offer depositary shares, see “Where You Can Find More Information.” We urge you to read the applicable depositary agreement and any accompanying prospectus supplement in their entirety.</w:t>
      </w:r>
    </w:p>
    <w:p>
      <w:pPr>
        <w:spacing w:after="0" w:line="1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Dividends and Other Distributions</w:t>
      </w:r>
    </w:p>
    <w:p>
      <w:pPr>
        <w:spacing w:after="0" w:line="127" w:lineRule="exact"/>
        <w:rPr>
          <w:sz w:val="20"/>
          <w:szCs w:val="20"/>
          <w:color w:val="auto"/>
        </w:rPr>
      </w:pPr>
    </w:p>
    <w:p>
      <w:pPr>
        <w:ind w:left="1280" w:right="1319" w:firstLine="282"/>
        <w:spacing w:after="0" w:line="249" w:lineRule="auto"/>
        <w:rPr>
          <w:sz w:val="20"/>
          <w:szCs w:val="20"/>
          <w:color w:val="auto"/>
        </w:rPr>
      </w:pPr>
      <w:r>
        <w:rPr>
          <w:rFonts w:ascii="Times New Roman" w:cs="Times New Roman" w:eastAsia="Times New Roman" w:hAnsi="Times New Roman"/>
          <w:sz w:val="14"/>
          <w:szCs w:val="14"/>
          <w:color w:val="auto"/>
        </w:rPr>
        <w:t>If we pay a cash distribution or dividend on a series of preferred stock represented by depositary shares, the Bank Depositary will distribute such dividends to the record holders of such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such property and distribute the net proceeds from such sale to the record holders of the depositary shares.</w:t>
      </w:r>
    </w:p>
    <w:p>
      <w:pPr>
        <w:spacing w:after="0" w:line="1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Redemption of Depositary Shares</w:t>
      </w:r>
    </w:p>
    <w:p>
      <w:pPr>
        <w:spacing w:after="0" w:line="127" w:lineRule="exact"/>
        <w:rPr>
          <w:sz w:val="20"/>
          <w:szCs w:val="20"/>
          <w:color w:val="auto"/>
        </w:rPr>
      </w:pPr>
    </w:p>
    <w:p>
      <w:pPr>
        <w:ind w:left="1280" w:right="1399" w:firstLine="282"/>
        <w:spacing w:after="0" w:line="249" w:lineRule="auto"/>
        <w:rPr>
          <w:sz w:val="20"/>
          <w:szCs w:val="20"/>
          <w:color w:val="auto"/>
        </w:rPr>
      </w:pPr>
      <w:r>
        <w:rPr>
          <w:rFonts w:ascii="Times New Roman" w:cs="Times New Roman" w:eastAsia="Times New Roman" w:hAnsi="Times New Roman"/>
          <w:sz w:val="14"/>
          <w:szCs w:val="14"/>
          <w:color w:val="auto"/>
        </w:rPr>
        <w:t>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w:t>
      </w:r>
    </w:p>
    <w:p>
      <w:pPr>
        <w:spacing w:after="0" w:line="1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Voting the Preferred Stock</w:t>
      </w:r>
    </w:p>
    <w:p>
      <w:pPr>
        <w:spacing w:after="0" w:line="127" w:lineRule="exact"/>
        <w:rPr>
          <w:sz w:val="20"/>
          <w:szCs w:val="20"/>
          <w:color w:val="auto"/>
        </w:rPr>
      </w:pPr>
    </w:p>
    <w:p>
      <w:pPr>
        <w:ind w:left="1280" w:right="1419" w:firstLine="282"/>
        <w:spacing w:after="0" w:line="245" w:lineRule="auto"/>
        <w:rPr>
          <w:sz w:val="20"/>
          <w:szCs w:val="20"/>
          <w:color w:val="auto"/>
        </w:rPr>
      </w:pPr>
      <w:r>
        <w:rPr>
          <w:rFonts w:ascii="Times New Roman" w:cs="Times New Roman" w:eastAsia="Times New Roman" w:hAnsi="Times New Roman"/>
          <w:sz w:val="14"/>
          <w:szCs w:val="14"/>
          <w:color w:val="auto"/>
        </w:rPr>
        <w:t>Upon receipt of notice of any meeting at which the holders of the preferred stock represented by depositary shares are entitled to vote, the Bank Depositary will mail the notice to the record holders of the depositary shares relating to such preferred stock. Each record holder of these depositary shares on the record date, which will be the same date as the record date for the preferred stock, may instruct the Bank Depositary as to how to vote the preferred stock represented by such holder’s depositary shares. The Bank Depositary will endeavor, insofar as practicable, to vote the amount of the preferred stock represented by such depositary shares in accordance with such instructions, and we will take all action that the Bank Depositary deems necessary in order to enable the Bank Depositary to do so. The Bank Depositary will abstain from voting shares of the preferred stock to the extent it does not receive specific instructions from the holders of depositary shares representing such preferred stock.</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Amendment and Termination of the Depositary Agreement</w:t>
      </w:r>
    </w:p>
    <w:p>
      <w:pPr>
        <w:spacing w:after="0" w:line="127" w:lineRule="exact"/>
        <w:rPr>
          <w:sz w:val="20"/>
          <w:szCs w:val="20"/>
          <w:color w:val="auto"/>
        </w:rPr>
      </w:pPr>
    </w:p>
    <w:p>
      <w:pPr>
        <w:ind w:left="1280" w:right="1359" w:firstLine="282"/>
        <w:spacing w:after="0" w:line="246" w:lineRule="auto"/>
        <w:rPr>
          <w:sz w:val="20"/>
          <w:szCs w:val="20"/>
          <w:color w:val="auto"/>
        </w:rPr>
      </w:pPr>
      <w:r>
        <w:rPr>
          <w:rFonts w:ascii="Times New Roman" w:cs="Times New Roman" w:eastAsia="Times New Roman" w:hAnsi="Times New Roman"/>
          <w:sz w:val="14"/>
          <w:szCs w:val="14"/>
          <w:color w:val="auto"/>
        </w:rPr>
        <w:t>The form of depositary receipt evidencing the depositary shares and any provision of the depositary agreement may be amended by agreement between the Bank Depositary and us. However, any amendment that materially and adversely alters the rights of the holders of depositary shares will not be effective unless such amendment has been approved by the holders of at least a majority of the depositary shares then outstanding. The depositary agreement may be terminated by the Bank Depositary or us only if (1) all outstanding depositary shares have been redeemed or (2) there has been a final distribution in respect of the preferred stock in connection with any liquidation, dissolution or winding up of our company and such distribution has been distributed to the holders of depositary receipts.</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Withdrawal of Preferred Stock</w:t>
      </w:r>
    </w:p>
    <w:p>
      <w:pPr>
        <w:spacing w:after="0" w:line="127" w:lineRule="exact"/>
        <w:rPr>
          <w:sz w:val="20"/>
          <w:szCs w:val="20"/>
          <w:color w:val="auto"/>
        </w:rPr>
      </w:pPr>
    </w:p>
    <w:p>
      <w:pPr>
        <w:ind w:left="1280" w:right="1499" w:firstLine="282"/>
        <w:spacing w:after="0" w:line="270" w:lineRule="auto"/>
        <w:rPr>
          <w:sz w:val="20"/>
          <w:szCs w:val="20"/>
          <w:color w:val="auto"/>
        </w:rPr>
      </w:pPr>
      <w:r>
        <w:rPr>
          <w:rFonts w:ascii="Times New Roman" w:cs="Times New Roman" w:eastAsia="Times New Roman" w:hAnsi="Times New Roman"/>
          <w:sz w:val="14"/>
          <w:szCs w:val="14"/>
          <w:color w:val="auto"/>
        </w:rPr>
        <w:t>Except as may be provided otherwise in an accompanying prospectus supplement, upon surrender of depositary receipts at the principal office of the Bank Depositary, subject to the terms of the depositary</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5" w:name="page26"/>
    <w:bookmarkEnd w:id="25"/>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299"/>
        <w:spacing w:after="0" w:line="257" w:lineRule="auto"/>
        <w:rPr>
          <w:sz w:val="20"/>
          <w:szCs w:val="20"/>
          <w:color w:val="auto"/>
        </w:rPr>
      </w:pPr>
      <w:r>
        <w:rPr>
          <w:rFonts w:ascii="Times New Roman" w:cs="Times New Roman" w:eastAsia="Times New Roman" w:hAnsi="Times New Roman"/>
          <w:sz w:val="14"/>
          <w:szCs w:val="14"/>
          <w:color w:val="auto"/>
        </w:rPr>
        <w:t>agreement, the owner of the depositary shares may demand delivery of the number of whole shares of preferred stock and all money and other property, if any, represented by those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Bank Depositary will deliver to such holder at the same time a new depositary receipt evidencing the excess number of depositary shares. Holders of withdrawn preferred stock may not thereafter deposit those shares under the depositary agreement or receive depositary receipts evidencing depositary shares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6" w:name="page27"/>
    <w:bookmarkEnd w:id="26"/>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27" w:lineRule="exact"/>
        <w:rPr>
          <w:sz w:val="20"/>
          <w:szCs w:val="20"/>
          <w:color w:val="auto"/>
        </w:rPr>
      </w:pPr>
    </w:p>
    <w:p>
      <w:pPr>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We may offer debt securities in one or more series, which may be senior debt securities or subordinated debt securities and which may be convertible into another security.</w:t>
      </w:r>
    </w:p>
    <w:p>
      <w:pPr>
        <w:spacing w:after="0" w:line="72" w:lineRule="exact"/>
        <w:rPr>
          <w:sz w:val="20"/>
          <w:szCs w:val="20"/>
          <w:color w:val="auto"/>
        </w:rPr>
      </w:pPr>
    </w:p>
    <w:p>
      <w:pPr>
        <w:ind w:left="1280" w:right="1399" w:firstLine="282"/>
        <w:spacing w:after="0" w:line="246" w:lineRule="auto"/>
        <w:rPr>
          <w:sz w:val="20"/>
          <w:szCs w:val="20"/>
          <w:color w:val="auto"/>
        </w:rPr>
      </w:pPr>
      <w:r>
        <w:rPr>
          <w:rFonts w:ascii="Times New Roman" w:cs="Times New Roman" w:eastAsia="Times New Roman" w:hAnsi="Times New Roman"/>
          <w:sz w:val="14"/>
          <w:szCs w:val="14"/>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U.S. Bank Trust Company, National Association, as trustee, or such other trustee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256" w:lineRule="exact"/>
        <w:rPr>
          <w:sz w:val="20"/>
          <w:szCs w:val="20"/>
          <w:color w:val="auto"/>
        </w:rPr>
      </w:pPr>
    </w:p>
    <w:p>
      <w:pPr>
        <w:ind w:left="1280" w:right="1419" w:firstLine="282"/>
        <w:spacing w:after="0" w:line="253" w:lineRule="auto"/>
        <w:rPr>
          <w:sz w:val="20"/>
          <w:szCs w:val="20"/>
          <w:color w:val="auto"/>
        </w:rPr>
      </w:pPr>
      <w:r>
        <w:rPr>
          <w:rFonts w:ascii="Times New Roman" w:cs="Times New Roman" w:eastAsia="Times New Roman" w:hAnsi="Times New Roman"/>
          <w:sz w:val="14"/>
          <w:szCs w:val="14"/>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spacing w:after="0" w:line="52" w:lineRule="exact"/>
        <w:rPr>
          <w:sz w:val="20"/>
          <w:szCs w:val="20"/>
          <w:color w:val="auto"/>
        </w:rPr>
      </w:pPr>
    </w:p>
    <w:p>
      <w:pPr>
        <w:ind w:left="1700" w:right="1839" w:hanging="133"/>
        <w:spacing w:after="0" w:line="286" w:lineRule="auto"/>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aggregate principal amount of the debt securities and any limit on the aggregate principal amount of such series;</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subordination provisions for any subordinated debt securities;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date(s) or method for determining same;</w:t>
      </w:r>
    </w:p>
    <w:p>
      <w:pPr>
        <w:spacing w:after="0" w:line="82"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or the method for determining same;</w:t>
      </w:r>
    </w:p>
    <w:p>
      <w:pPr>
        <w:spacing w:after="0" w:line="93" w:lineRule="exact"/>
        <w:rPr>
          <w:rFonts w:ascii="Times New Roman" w:cs="Times New Roman" w:eastAsia="Times New Roman" w:hAnsi="Times New Roman"/>
          <w:sz w:val="14"/>
          <w:szCs w:val="14"/>
          <w:color w:val="auto"/>
        </w:rPr>
      </w:pPr>
    </w:p>
    <w:p>
      <w:pPr>
        <w:ind w:left="1700" w:right="1559" w:hanging="133"/>
        <w:spacing w:after="0" w:line="269" w:lineRule="auto"/>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51" w:lineRule="exact"/>
        <w:rPr>
          <w:rFonts w:ascii="Times New Roman" w:cs="Times New Roman" w:eastAsia="Times New Roman" w:hAnsi="Times New Roman"/>
          <w:sz w:val="14"/>
          <w:szCs w:val="14"/>
          <w:color w:val="auto"/>
        </w:rPr>
      </w:pPr>
    </w:p>
    <w:p>
      <w:pPr>
        <w:ind w:left="1700" w:right="1659" w:hanging="133"/>
        <w:spacing w:after="0" w:line="286" w:lineRule="auto"/>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convertible or exchangeable into other securities and any related terms and conditions;</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or early repayment provisions;</w:t>
      </w:r>
    </w:p>
    <w:p>
      <w:pPr>
        <w:spacing w:after="0" w:line="82"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authorized denominations;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the principal amount of debt securities payable upon acceleration;</w:t>
      </w:r>
    </w:p>
    <w:p>
      <w:pPr>
        <w:spacing w:after="0" w:line="93" w:lineRule="exact"/>
        <w:rPr>
          <w:rFonts w:ascii="Times New Roman" w:cs="Times New Roman" w:eastAsia="Times New Roman" w:hAnsi="Times New Roman"/>
          <w:sz w:val="14"/>
          <w:szCs w:val="14"/>
          <w:color w:val="auto"/>
        </w:rPr>
      </w:pPr>
    </w:p>
    <w:p>
      <w:pPr>
        <w:ind w:left="1700" w:right="1839" w:hanging="133"/>
        <w:spacing w:after="0" w:line="286" w:lineRule="auto"/>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place(s) where payment of principal and interest may be made, where debt securities may be presented and where notices or demands upon the company may be made;</w:t>
      </w:r>
    </w:p>
    <w:p>
      <w:pPr>
        <w:spacing w:after="0" w:line="39" w:lineRule="exact"/>
        <w:rPr>
          <w:rFonts w:ascii="Times New Roman" w:cs="Times New Roman" w:eastAsia="Times New Roman" w:hAnsi="Times New Roman"/>
          <w:sz w:val="14"/>
          <w:szCs w:val="14"/>
          <w:color w:val="auto"/>
        </w:rPr>
      </w:pPr>
    </w:p>
    <w:p>
      <w:pPr>
        <w:ind w:left="1700" w:right="1499" w:hanging="133"/>
        <w:spacing w:after="0" w:line="286" w:lineRule="auto"/>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or forms of the debt securities of the series including such legends as may be required by applicable law;</w:t>
      </w:r>
    </w:p>
    <w:p>
      <w:pPr>
        <w:spacing w:after="0" w:line="39" w:lineRule="exact"/>
        <w:rPr>
          <w:rFonts w:ascii="Times New Roman" w:cs="Times New Roman" w:eastAsia="Times New Roman" w:hAnsi="Times New Roman"/>
          <w:sz w:val="14"/>
          <w:szCs w:val="14"/>
          <w:color w:val="auto"/>
        </w:rPr>
      </w:pPr>
    </w:p>
    <w:p>
      <w:pPr>
        <w:ind w:left="1700" w:right="1379" w:hanging="133"/>
        <w:spacing w:after="0" w:line="286" w:lineRule="auto"/>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whole or in part in the form of one or more global securities and the date as of which the securities are dated if other than the date of original issuance;</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secured and the terms of such security;</w:t>
      </w:r>
    </w:p>
    <w:p>
      <w:pPr>
        <w:spacing w:after="0" w:line="82"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discount or premium, if any, with which the debt securities will be issued;</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covenants applicable to the particular debt securities being issued;</w:t>
      </w:r>
    </w:p>
    <w:p>
      <w:pPr>
        <w:spacing w:after="0" w:line="93" w:lineRule="exact"/>
        <w:rPr>
          <w:rFonts w:ascii="Times New Roman" w:cs="Times New Roman" w:eastAsia="Times New Roman" w:hAnsi="Times New Roman"/>
          <w:sz w:val="14"/>
          <w:szCs w:val="14"/>
          <w:color w:val="auto"/>
        </w:rPr>
      </w:pPr>
    </w:p>
    <w:p>
      <w:pPr>
        <w:ind w:left="1700" w:right="1779" w:hanging="133"/>
        <w:spacing w:after="0" w:line="286" w:lineRule="auto"/>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or changes in the defaults and events of default applicable to the particular debt securities being issued;</w:t>
      </w:r>
    </w:p>
    <w:p>
      <w:pPr>
        <w:spacing w:after="0" w:line="39" w:lineRule="exact"/>
        <w:rPr>
          <w:rFonts w:ascii="Times New Roman" w:cs="Times New Roman" w:eastAsia="Times New Roman" w:hAnsi="Times New Roman"/>
          <w:sz w:val="14"/>
          <w:szCs w:val="14"/>
          <w:color w:val="auto"/>
        </w:rPr>
      </w:pPr>
    </w:p>
    <w:p>
      <w:pPr>
        <w:ind w:left="1700" w:right="1319" w:hanging="133"/>
        <w:spacing w:after="0" w:line="286" w:lineRule="auto"/>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guarantors of each series, if any, and the extent of the guarantees (including provisions relating to seniority, subordination and release of the guarantees), if any;</w:t>
      </w:r>
    </w:p>
    <w:p>
      <w:pPr>
        <w:spacing w:after="0" w:line="39" w:lineRule="exact"/>
        <w:rPr>
          <w:rFonts w:ascii="Times New Roman" w:cs="Times New Roman" w:eastAsia="Times New Roman" w:hAnsi="Times New Roman"/>
          <w:sz w:val="14"/>
          <w:szCs w:val="14"/>
          <w:color w:val="auto"/>
        </w:rPr>
      </w:pPr>
    </w:p>
    <w:p>
      <w:pPr>
        <w:ind w:left="1700" w:right="1499" w:hanging="133"/>
        <w:spacing w:after="0" w:line="286" w:lineRule="auto"/>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currencies or currency units in which the purchase price for, the principal of and any premium and any interest on, the debt securities will be payable;</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7" w:name="page28"/>
    <w:bookmarkEnd w:id="27"/>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700" w:right="1479" w:hanging="133"/>
        <w:spacing w:after="0" w:line="286"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period within which, the manner in which and the terms and conditions upon which we or the holders of the debt securities can select the payment currency;</w:t>
      </w:r>
    </w:p>
    <w:p>
      <w:pPr>
        <w:spacing w:after="0" w:line="39" w:lineRule="exact"/>
        <w:rPr>
          <w:rFonts w:ascii="Times New Roman" w:cs="Times New Roman" w:eastAsia="Times New Roman" w:hAnsi="Times New Roman"/>
          <w:sz w:val="14"/>
          <w:szCs w:val="14"/>
          <w:color w:val="auto"/>
        </w:rPr>
      </w:pPr>
    </w:p>
    <w:p>
      <w:pPr>
        <w:ind w:left="1700" w:right="2059" w:hanging="133"/>
        <w:spacing w:after="0" w:line="286"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or right to redeem, purchase or repay debt securities under a sinking fund, amortization or analogous provision;</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 or conditions on the transferability of the debt securities;</w:t>
      </w:r>
    </w:p>
    <w:p>
      <w:pPr>
        <w:spacing w:after="0" w:line="82" w:lineRule="exact"/>
        <w:rPr>
          <w:rFonts w:ascii="Times New Roman" w:cs="Times New Roman" w:eastAsia="Times New Roman" w:hAnsi="Times New Roman"/>
          <w:sz w:val="14"/>
          <w:szCs w:val="14"/>
          <w:color w:val="auto"/>
        </w:rPr>
      </w:pPr>
    </w:p>
    <w:p>
      <w:pPr>
        <w:ind w:left="1700" w:right="1699" w:hanging="133"/>
        <w:spacing w:after="0" w:line="286"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granting special rights to holders of the debt securities upon occurrence of specified events;</w:t>
      </w:r>
    </w:p>
    <w:p>
      <w:pPr>
        <w:spacing w:after="0" w:line="39" w:lineRule="exact"/>
        <w:rPr>
          <w:rFonts w:ascii="Times New Roman" w:cs="Times New Roman" w:eastAsia="Times New Roman" w:hAnsi="Times New Roman"/>
          <w:sz w:val="14"/>
          <w:szCs w:val="14"/>
          <w:color w:val="auto"/>
        </w:rPr>
      </w:pPr>
    </w:p>
    <w:p>
      <w:pPr>
        <w:ind w:left="1700" w:right="1479" w:hanging="133"/>
        <w:spacing w:after="0" w:line="286"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changes relating to compensation or reimbursement of the trustee of the series of debt securities;</w:t>
      </w:r>
    </w:p>
    <w:p>
      <w:pPr>
        <w:spacing w:after="0" w:line="29" w:lineRule="exact"/>
        <w:rPr>
          <w:rFonts w:ascii="Times New Roman" w:cs="Times New Roman" w:eastAsia="Times New Roman" w:hAnsi="Times New Roman"/>
          <w:sz w:val="14"/>
          <w:szCs w:val="14"/>
          <w:color w:val="auto"/>
        </w:rPr>
      </w:pPr>
    </w:p>
    <w:p>
      <w:pPr>
        <w:ind w:left="1700" w:right="1379" w:hanging="133"/>
        <w:spacing w:after="0" w:line="269"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the modification of the indenture both with and without the consent of holders of debt securities issued under the indenture and the execution of supplemental indentures for such series; and</w:t>
      </w:r>
    </w:p>
    <w:p>
      <w:pPr>
        <w:spacing w:after="0" w:line="51" w:lineRule="exact"/>
        <w:rPr>
          <w:rFonts w:ascii="Times New Roman" w:cs="Times New Roman" w:eastAsia="Times New Roman" w:hAnsi="Times New Roman"/>
          <w:sz w:val="14"/>
          <w:szCs w:val="14"/>
          <w:color w:val="auto"/>
        </w:rPr>
      </w:pPr>
    </w:p>
    <w:p>
      <w:pPr>
        <w:ind w:left="1700" w:right="1339" w:hanging="133"/>
        <w:spacing w:after="0" w:line="269" w:lineRule="auto"/>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7" w:lineRule="exact"/>
        <w:rPr>
          <w:sz w:val="20"/>
          <w:szCs w:val="20"/>
          <w:color w:val="auto"/>
        </w:rPr>
      </w:pPr>
    </w:p>
    <w:p>
      <w:pPr>
        <w:ind w:left="1280" w:right="1419" w:firstLine="282"/>
        <w:spacing w:after="0" w:line="246" w:lineRule="auto"/>
        <w:rPr>
          <w:sz w:val="20"/>
          <w:szCs w:val="20"/>
          <w:color w:val="auto"/>
        </w:rPr>
      </w:pPr>
      <w:r>
        <w:rPr>
          <w:rFonts w:ascii="Times New Roman" w:cs="Times New Roman" w:eastAsia="Times New Roman" w:hAnsi="Times New Roman"/>
          <w:sz w:val="14"/>
          <w:szCs w:val="14"/>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90" w:lineRule="exact"/>
        <w:rPr>
          <w:sz w:val="20"/>
          <w:szCs w:val="20"/>
          <w:color w:val="auto"/>
        </w:rPr>
      </w:pPr>
    </w:p>
    <w:p>
      <w:pPr>
        <w:ind w:left="1280" w:right="1399" w:firstLine="282"/>
        <w:spacing w:after="0" w:line="245" w:lineRule="auto"/>
        <w:rPr>
          <w:sz w:val="20"/>
          <w:szCs w:val="20"/>
          <w:color w:val="auto"/>
        </w:rPr>
      </w:pPr>
      <w:r>
        <w:rPr>
          <w:rFonts w:ascii="Times New Roman" w:cs="Times New Roman" w:eastAsia="Times New Roman" w:hAnsi="Times New Roman"/>
          <w:sz w:val="14"/>
          <w:szCs w:val="14"/>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258" w:lineRule="exact"/>
        <w:rPr>
          <w:sz w:val="20"/>
          <w:szCs w:val="20"/>
          <w:color w:val="auto"/>
        </w:rPr>
      </w:pPr>
    </w:p>
    <w:p>
      <w:pPr>
        <w:ind w:left="1280" w:right="1579" w:firstLine="282"/>
        <w:spacing w:after="0" w:line="270" w:lineRule="auto"/>
        <w:rPr>
          <w:sz w:val="20"/>
          <w:szCs w:val="20"/>
          <w:color w:val="auto"/>
        </w:rPr>
      </w:pPr>
      <w:r>
        <w:rPr>
          <w:rFonts w:ascii="Times New Roman" w:cs="Times New Roman" w:eastAsia="Times New Roman" w:hAnsi="Times New Roman"/>
          <w:sz w:val="14"/>
          <w:szCs w:val="14"/>
          <w:color w:val="auto"/>
        </w:rPr>
        <w:t>United States federal income tax consequences and special considerations, if any, applicable to any such series will be described in an accompanying prospectus supplement.</w:t>
      </w:r>
    </w:p>
    <w:p>
      <w:pPr>
        <w:spacing w:after="0" w:line="72" w:lineRule="exact"/>
        <w:rPr>
          <w:sz w:val="20"/>
          <w:szCs w:val="20"/>
          <w:color w:val="auto"/>
        </w:rPr>
      </w:pPr>
    </w:p>
    <w:p>
      <w:pPr>
        <w:ind w:left="1280" w:right="1419" w:firstLine="282"/>
        <w:spacing w:after="0" w:line="250" w:lineRule="auto"/>
        <w:rPr>
          <w:sz w:val="20"/>
          <w:szCs w:val="20"/>
          <w:color w:val="auto"/>
        </w:rPr>
      </w:pPr>
      <w:r>
        <w:rPr>
          <w:rFonts w:ascii="Times New Roman" w:cs="Times New Roman" w:eastAsia="Times New Roman" w:hAnsi="Times New Roman"/>
          <w:sz w:val="14"/>
          <w:szCs w:val="14"/>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3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27" w:lineRule="exact"/>
        <w:rPr>
          <w:sz w:val="20"/>
          <w:szCs w:val="20"/>
          <w:color w:val="auto"/>
        </w:rPr>
      </w:pPr>
    </w:p>
    <w:p>
      <w:pPr>
        <w:ind w:left="1280" w:right="1359" w:firstLine="282"/>
        <w:spacing w:after="0" w:line="247" w:lineRule="auto"/>
        <w:rPr>
          <w:sz w:val="20"/>
          <w:szCs w:val="20"/>
          <w:color w:val="auto"/>
        </w:rPr>
      </w:pPr>
      <w:r>
        <w:rPr>
          <w:rFonts w:ascii="Times New Roman" w:cs="Times New Roman" w:eastAsia="Times New Roman" w:hAnsi="Times New Roman"/>
          <w:sz w:val="14"/>
          <w:szCs w:val="14"/>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8" w:name="page29"/>
    <w:bookmarkEnd w:id="28"/>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27" w:lineRule="exact"/>
        <w:rPr>
          <w:sz w:val="20"/>
          <w:szCs w:val="20"/>
          <w:color w:val="auto"/>
        </w:rPr>
      </w:pPr>
    </w:p>
    <w:p>
      <w:pPr>
        <w:ind w:left="1280" w:right="1459" w:firstLine="282"/>
        <w:spacing w:after="0" w:line="286" w:lineRule="auto"/>
        <w:rPr>
          <w:sz w:val="20"/>
          <w:szCs w:val="20"/>
          <w:color w:val="auto"/>
        </w:rPr>
      </w:pPr>
      <w:r>
        <w:rPr>
          <w:rFonts w:ascii="Times New Roman" w:cs="Times New Roman" w:eastAsia="Times New Roman" w:hAnsi="Times New Roman"/>
          <w:sz w:val="14"/>
          <w:szCs w:val="14"/>
          <w:color w:val="auto"/>
        </w:rPr>
        <w:t>The indenture and the debt securities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9" w:name="page30"/>
    <w:bookmarkEnd w:id="29"/>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For a description of our outstanding warrants, see “Description of Capital Stock — Warrants.”</w:t>
      </w:r>
    </w:p>
    <w:p>
      <w:pPr>
        <w:spacing w:after="0" w:line="125" w:lineRule="exact"/>
        <w:rPr>
          <w:sz w:val="20"/>
          <w:szCs w:val="20"/>
          <w:color w:val="auto"/>
        </w:rPr>
      </w:pPr>
    </w:p>
    <w:p>
      <w:pPr>
        <w:ind w:left="1280" w:right="1299" w:firstLine="282"/>
        <w:spacing w:after="0" w:line="259" w:lineRule="auto"/>
        <w:rPr>
          <w:sz w:val="20"/>
          <w:szCs w:val="20"/>
          <w:color w:val="auto"/>
        </w:rPr>
      </w:pPr>
      <w:r>
        <w:rPr>
          <w:rFonts w:ascii="Times New Roman" w:cs="Times New Roman" w:eastAsia="Times New Roman" w:hAnsi="Times New Roman"/>
          <w:sz w:val="14"/>
          <w:szCs w:val="14"/>
          <w:color w:val="auto"/>
        </w:rPr>
        <w:t>We may issue warrants for the purchase of shares of our common stock, shares of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80" w:lineRule="exact"/>
        <w:rPr>
          <w:sz w:val="20"/>
          <w:szCs w:val="20"/>
          <w:color w:val="auto"/>
        </w:rPr>
      </w:pPr>
    </w:p>
    <w:p>
      <w:pPr>
        <w:ind w:left="1280" w:right="1539" w:firstLine="282"/>
        <w:spacing w:after="0" w:line="286" w:lineRule="auto"/>
        <w:rPr>
          <w:sz w:val="20"/>
          <w:szCs w:val="20"/>
          <w:color w:val="auto"/>
        </w:rPr>
      </w:pPr>
      <w:r>
        <w:rPr>
          <w:rFonts w:ascii="Times New Roman" w:cs="Times New Roman" w:eastAsia="Times New Roman" w:hAnsi="Times New Roman"/>
          <w:sz w:val="14"/>
          <w:szCs w:val="14"/>
          <w:color w:val="auto"/>
        </w:rPr>
        <w:t>The prospectus supplement relating to a particular issue of warrants will describe the terms of those warrants, including, when applicable:</w:t>
      </w:r>
    </w:p>
    <w:p>
      <w:pPr>
        <w:spacing w:after="0" w:line="40" w:lineRule="exact"/>
        <w:rPr>
          <w:sz w:val="20"/>
          <w:szCs w:val="20"/>
          <w:color w:val="auto"/>
        </w:rPr>
      </w:pPr>
    </w:p>
    <w:p>
      <w:pPr>
        <w:ind w:left="1700" w:hanging="133"/>
        <w:spacing w:after="0"/>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w:t>
      </w:r>
    </w:p>
    <w:p>
      <w:pPr>
        <w:spacing w:after="0" w:line="93" w:lineRule="exact"/>
        <w:rPr>
          <w:rFonts w:ascii="Times New Roman" w:cs="Times New Roman" w:eastAsia="Times New Roman" w:hAnsi="Times New Roman"/>
          <w:sz w:val="14"/>
          <w:szCs w:val="14"/>
          <w:color w:val="auto"/>
        </w:rPr>
      </w:pPr>
    </w:p>
    <w:p>
      <w:pPr>
        <w:ind w:left="1700" w:right="1719" w:hanging="133"/>
        <w:spacing w:after="0" w:line="286" w:lineRule="auto"/>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including composite currencies, in which the purchase price and/or exercise price of the warrants may be payable;</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warrants offered;</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and the amount of securities you will receive upon exercise;</w:t>
      </w:r>
    </w:p>
    <w:p>
      <w:pPr>
        <w:spacing w:after="0" w:line="93" w:lineRule="exact"/>
        <w:rPr>
          <w:rFonts w:ascii="Times New Roman" w:cs="Times New Roman" w:eastAsia="Times New Roman" w:hAnsi="Times New Roman"/>
          <w:sz w:val="14"/>
          <w:szCs w:val="14"/>
          <w:color w:val="auto"/>
        </w:rPr>
      </w:pPr>
    </w:p>
    <w:p>
      <w:pPr>
        <w:ind w:left="1700" w:right="1399" w:hanging="133"/>
        <w:spacing w:after="0" w:line="286" w:lineRule="auto"/>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 for exercise of the warrants and the circumstances, if any, that will cause the warrants to be automatically exercised;</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if any, we have to redeem the warrants;</w:t>
      </w:r>
    </w:p>
    <w:p>
      <w:pPr>
        <w:spacing w:after="0" w:line="93" w:lineRule="exact"/>
        <w:rPr>
          <w:rFonts w:ascii="Times New Roman" w:cs="Times New Roman" w:eastAsia="Times New Roman" w:hAnsi="Times New Roman"/>
          <w:sz w:val="14"/>
          <w:szCs w:val="14"/>
          <w:color w:val="auto"/>
        </w:rPr>
      </w:pPr>
    </w:p>
    <w:p>
      <w:pPr>
        <w:ind w:left="1700" w:right="1799" w:hanging="133"/>
        <w:spacing w:after="0" w:line="286" w:lineRule="auto"/>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commence and the date on which the warrants will expire;</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warrant agent; and</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material terms of the warrants.</w:t>
      </w:r>
    </w:p>
    <w:p>
      <w:pPr>
        <w:spacing w:after="0" w:line="125" w:lineRule="exact"/>
        <w:rPr>
          <w:sz w:val="20"/>
          <w:szCs w:val="20"/>
          <w:color w:val="auto"/>
        </w:rPr>
      </w:pPr>
    </w:p>
    <w:p>
      <w:pPr>
        <w:ind w:left="1280" w:right="1939" w:firstLine="282"/>
        <w:spacing w:after="0" w:line="286" w:lineRule="auto"/>
        <w:rPr>
          <w:sz w:val="20"/>
          <w:szCs w:val="20"/>
          <w:color w:val="auto"/>
        </w:rPr>
      </w:pPr>
      <w:r>
        <w:rPr>
          <w:rFonts w:ascii="Times New Roman" w:cs="Times New Roman" w:eastAsia="Times New Roman" w:hAnsi="Times New Roman"/>
          <w:sz w:val="14"/>
          <w:szCs w:val="14"/>
          <w:color w:val="auto"/>
        </w:rPr>
        <w:t>After warrants expire they will become void. The prospectus supplement may provide for the adjustment of the exercise price of the warrants.</w:t>
      </w:r>
    </w:p>
    <w:p>
      <w:pPr>
        <w:spacing w:after="0" w:line="72" w:lineRule="exact"/>
        <w:rPr>
          <w:sz w:val="20"/>
          <w:szCs w:val="20"/>
          <w:color w:val="auto"/>
        </w:rPr>
      </w:pPr>
    </w:p>
    <w:p>
      <w:pPr>
        <w:ind w:left="1280" w:right="1299" w:firstLine="282"/>
        <w:spacing w:after="0" w:line="263" w:lineRule="auto"/>
        <w:rPr>
          <w:sz w:val="20"/>
          <w:szCs w:val="20"/>
          <w:color w:val="auto"/>
        </w:rPr>
      </w:pPr>
      <w:r>
        <w:rPr>
          <w:rFonts w:ascii="Times New Roman" w:cs="Times New Roman" w:eastAsia="Times New Roman" w:hAnsi="Times New Roman"/>
          <w:sz w:val="14"/>
          <w:szCs w:val="14"/>
          <w:color w:val="auto"/>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spacing w:after="0" w:line="78" w:lineRule="exact"/>
        <w:rPr>
          <w:sz w:val="20"/>
          <w:szCs w:val="20"/>
          <w:color w:val="auto"/>
        </w:rPr>
      </w:pPr>
    </w:p>
    <w:p>
      <w:pPr>
        <w:ind w:left="1280" w:right="1379" w:firstLine="282"/>
        <w:spacing w:after="0" w:line="260" w:lineRule="auto"/>
        <w:rPr>
          <w:sz w:val="20"/>
          <w:szCs w:val="20"/>
          <w:color w:val="auto"/>
        </w:rPr>
      </w:pPr>
      <w:r>
        <w:rPr>
          <w:rFonts w:ascii="Times New Roman" w:cs="Times New Roman" w:eastAsia="Times New Roman" w:hAnsi="Times New Roman"/>
          <w:sz w:val="14"/>
          <w:szCs w:val="14"/>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0" w:name="page31"/>
    <w:bookmarkEnd w:id="30"/>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SUBSCRIPTION RIGHTS</w:t>
      </w:r>
    </w:p>
    <w:p>
      <w:pPr>
        <w:spacing w:after="0" w:line="127" w:lineRule="exact"/>
        <w:rPr>
          <w:sz w:val="20"/>
          <w:szCs w:val="20"/>
          <w:color w:val="auto"/>
        </w:rPr>
      </w:pPr>
    </w:p>
    <w:p>
      <w:pPr>
        <w:ind w:left="1280" w:right="1319" w:firstLine="282"/>
        <w:spacing w:after="0" w:line="259" w:lineRule="auto"/>
        <w:rPr>
          <w:sz w:val="20"/>
          <w:szCs w:val="20"/>
          <w:color w:val="auto"/>
        </w:rPr>
      </w:pPr>
      <w:r>
        <w:rPr>
          <w:rFonts w:ascii="Times New Roman" w:cs="Times New Roman" w:eastAsia="Times New Roman" w:hAnsi="Times New Roman"/>
          <w:sz w:val="14"/>
          <w:szCs w:val="14"/>
          <w:color w:val="auto"/>
        </w:rPr>
        <w:t>We may issue subscription rights to purchase shares of our common stock, shares of our preferred stock or our debt securities. We may issue subscription rights independently or together with any other offered security, which may or may not be transferable by the stockholder.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91" w:lineRule="exact"/>
        <w:rPr>
          <w:sz w:val="20"/>
          <w:szCs w:val="20"/>
          <w:color w:val="auto"/>
        </w:rPr>
      </w:pPr>
    </w:p>
    <w:p>
      <w:pPr>
        <w:ind w:left="1280" w:right="1519" w:firstLine="282"/>
        <w:spacing w:after="0" w:line="286" w:lineRule="auto"/>
        <w:rPr>
          <w:sz w:val="20"/>
          <w:szCs w:val="20"/>
          <w:color w:val="auto"/>
        </w:rPr>
      </w:pPr>
      <w:r>
        <w:rPr>
          <w:rFonts w:ascii="Times New Roman" w:cs="Times New Roman" w:eastAsia="Times New Roman" w:hAnsi="Times New Roman"/>
          <w:sz w:val="14"/>
          <w:szCs w:val="14"/>
          <w:color w:val="auto"/>
        </w:rPr>
        <w:t>The prospectus supplement relating to any subscription rights we may offer will contain the specific terms of the subscription rights. These terms may include the following:</w:t>
      </w:r>
    </w:p>
    <w:p>
      <w:pPr>
        <w:spacing w:after="0" w:line="40" w:lineRule="exact"/>
        <w:rPr>
          <w:sz w:val="20"/>
          <w:szCs w:val="20"/>
          <w:color w:val="auto"/>
        </w:rPr>
      </w:pPr>
    </w:p>
    <w:p>
      <w:pPr>
        <w:ind w:left="1700" w:hanging="133"/>
        <w:spacing w:after="0"/>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if any, for the subscription rights;</w:t>
      </w:r>
    </w:p>
    <w:p>
      <w:pPr>
        <w:spacing w:after="0" w:line="93" w:lineRule="exact"/>
        <w:rPr>
          <w:rFonts w:ascii="Times New Roman" w:cs="Times New Roman" w:eastAsia="Times New Roman" w:hAnsi="Times New Roman"/>
          <w:sz w:val="14"/>
          <w:szCs w:val="14"/>
          <w:color w:val="auto"/>
        </w:rPr>
      </w:pPr>
    </w:p>
    <w:p>
      <w:pPr>
        <w:ind w:left="1700" w:right="1319" w:hanging="133"/>
        <w:spacing w:after="0" w:line="286"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terms of each share of common stock or preferred stock or debt securities which may be purchased per each subscription right;</w:t>
      </w:r>
    </w:p>
    <w:p>
      <w:pPr>
        <w:spacing w:after="0" w:line="39" w:lineRule="exact"/>
        <w:rPr>
          <w:rFonts w:ascii="Times New Roman" w:cs="Times New Roman" w:eastAsia="Times New Roman" w:hAnsi="Times New Roman"/>
          <w:sz w:val="14"/>
          <w:szCs w:val="14"/>
          <w:color w:val="auto"/>
        </w:rPr>
      </w:pPr>
    </w:p>
    <w:p>
      <w:pPr>
        <w:ind w:left="1700" w:right="1379" w:hanging="133"/>
        <w:spacing w:after="0" w:line="286"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payable for each share of common stock or preferred stock or debt securities upon the exercise of the subscription rights;</w:t>
      </w:r>
    </w:p>
    <w:p>
      <w:pPr>
        <w:spacing w:after="0" w:line="39"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subscription rights are transferable;</w:t>
      </w:r>
    </w:p>
    <w:p>
      <w:pPr>
        <w:spacing w:after="0" w:line="93" w:lineRule="exact"/>
        <w:rPr>
          <w:rFonts w:ascii="Times New Roman" w:cs="Times New Roman" w:eastAsia="Times New Roman" w:hAnsi="Times New Roman"/>
          <w:sz w:val="14"/>
          <w:szCs w:val="14"/>
          <w:color w:val="auto"/>
        </w:rPr>
      </w:pPr>
    </w:p>
    <w:p>
      <w:pPr>
        <w:ind w:left="1700" w:right="1399" w:hanging="133"/>
        <w:spacing w:after="0" w:line="286"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adjustment of the number or amount of securities receivable upon exercise of the subscription rights or the exercise price of the subscription rights;</w:t>
      </w:r>
    </w:p>
    <w:p>
      <w:pPr>
        <w:spacing w:after="0" w:line="39" w:lineRule="exact"/>
        <w:rPr>
          <w:rFonts w:ascii="Times New Roman" w:cs="Times New Roman" w:eastAsia="Times New Roman" w:hAnsi="Times New Roman"/>
          <w:sz w:val="14"/>
          <w:szCs w:val="14"/>
          <w:color w:val="auto"/>
        </w:rPr>
      </w:pPr>
    </w:p>
    <w:p>
      <w:pPr>
        <w:ind w:left="1700" w:right="1359" w:hanging="133"/>
        <w:spacing w:after="0" w:line="286"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subscription rights, including the terms, procedures and limitations relating to the exchange and exercise of the subscription rights;</w:t>
      </w:r>
    </w:p>
    <w:p>
      <w:pPr>
        <w:spacing w:after="0" w:line="39" w:lineRule="exact"/>
        <w:rPr>
          <w:rFonts w:ascii="Times New Roman" w:cs="Times New Roman" w:eastAsia="Times New Roman" w:hAnsi="Times New Roman"/>
          <w:sz w:val="14"/>
          <w:szCs w:val="14"/>
          <w:color w:val="auto"/>
        </w:rPr>
      </w:pPr>
    </w:p>
    <w:p>
      <w:pPr>
        <w:ind w:left="1700" w:right="1319" w:hanging="133"/>
        <w:spacing w:after="0" w:line="286"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subscription rights shall commence, and the date on which the subscription rights shall expire;</w:t>
      </w:r>
    </w:p>
    <w:p>
      <w:pPr>
        <w:spacing w:after="0" w:line="39" w:lineRule="exact"/>
        <w:rPr>
          <w:rFonts w:ascii="Times New Roman" w:cs="Times New Roman" w:eastAsia="Times New Roman" w:hAnsi="Times New Roman"/>
          <w:sz w:val="14"/>
          <w:szCs w:val="14"/>
          <w:color w:val="auto"/>
        </w:rPr>
      </w:pPr>
    </w:p>
    <w:p>
      <w:pPr>
        <w:ind w:left="1700" w:right="1339" w:hanging="133"/>
        <w:spacing w:after="0" w:line="286"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subscription rights may include an over-subscription privilege with respect to unsubscribed securities; and</w:t>
      </w:r>
    </w:p>
    <w:p>
      <w:pPr>
        <w:spacing w:after="0" w:line="39" w:lineRule="exact"/>
        <w:rPr>
          <w:rFonts w:ascii="Times New Roman" w:cs="Times New Roman" w:eastAsia="Times New Roman" w:hAnsi="Times New Roman"/>
          <w:sz w:val="14"/>
          <w:szCs w:val="14"/>
          <w:color w:val="auto"/>
        </w:rPr>
      </w:pPr>
    </w:p>
    <w:p>
      <w:pPr>
        <w:ind w:left="1700" w:right="1479" w:hanging="133"/>
        <w:spacing w:after="0" w:line="286"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material terms of any standby underwriting or purchase arrangement entered into by us in connection with the offering of subscription rights.</w:t>
      </w:r>
    </w:p>
    <w:p>
      <w:pPr>
        <w:spacing w:after="0" w:line="61" w:lineRule="exact"/>
        <w:rPr>
          <w:sz w:val="20"/>
          <w:szCs w:val="20"/>
          <w:color w:val="auto"/>
        </w:rPr>
      </w:pPr>
    </w:p>
    <w:p>
      <w:pPr>
        <w:ind w:left="1280" w:right="1299" w:firstLine="282"/>
        <w:spacing w:after="0" w:line="258" w:lineRule="auto"/>
        <w:rPr>
          <w:sz w:val="20"/>
          <w:szCs w:val="20"/>
          <w:color w:val="auto"/>
        </w:rPr>
      </w:pPr>
      <w:r>
        <w:rPr>
          <w:rFonts w:ascii="Times New Roman" w:cs="Times New Roman" w:eastAsia="Times New Roman" w:hAnsi="Times New Roman"/>
          <w:sz w:val="14"/>
          <w:szCs w:val="14"/>
          <w:color w:val="auto"/>
        </w:rPr>
        <w:t>The description in an accompanying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 For more information on how you can obtain copies of any subscription rights certificate or subscription rights agreement if we offer subscription rights, see “Where You Can Find More Information.” We urge you to read the applicable subscription rights certificate, the applicable subscription rights agreement and any accompanying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1" w:name="page32"/>
    <w:bookmarkEnd w:id="31"/>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PURCHASE CONTRACTS AND PURCHASE UNITS</w:t>
      </w:r>
    </w:p>
    <w:p>
      <w:pPr>
        <w:spacing w:after="0" w:line="127" w:lineRule="exact"/>
        <w:rPr>
          <w:sz w:val="20"/>
          <w:szCs w:val="20"/>
          <w:color w:val="auto"/>
        </w:rPr>
      </w:pPr>
    </w:p>
    <w:p>
      <w:pPr>
        <w:ind w:left="1280" w:right="1299" w:firstLine="282"/>
        <w:spacing w:after="0" w:line="255" w:lineRule="auto"/>
        <w:rPr>
          <w:sz w:val="20"/>
          <w:szCs w:val="20"/>
          <w:color w:val="auto"/>
        </w:rPr>
      </w:pPr>
      <w:r>
        <w:rPr>
          <w:rFonts w:ascii="Times New Roman" w:cs="Times New Roman" w:eastAsia="Times New Roman" w:hAnsi="Times New Roman"/>
          <w:sz w:val="14"/>
          <w:szCs w:val="14"/>
          <w:color w:val="auto"/>
        </w:rPr>
        <w:t>We may issue purchase contracts, including contracts obligating holders to purchase from us, and obligating us to sell to the holders, a specified number of shares of our common stock, shares of our preferred stock or our debt securities at a future date or dates, which we refer to in this prospectus as purchase contracts. The price of the securities and the number of securities may be fixed at the time the purchase contracts are issued or may be determined by reference to a specific formula set forth in the purchase contracts, and may be subject to adjustment under anti-dilution formulas. The purchase contracts may be issued separately or as part of units consisting of a stock purchase contract and our debt securities or preferred securities or debt obligations of third parties, including U.S. treasury securities, or any combination of the foregoing, securing the holders’ obligations to purchase the securities under the purchase contracts, which we refer to herein as purchase units. The purchase contracts may require holders to secure their obligations under the purchase contracts in a specified manner. The purchase contracts also may require us to make periodic payments to the holders of the purchase contracts or the purchase units, as the case may be, or vice versa, and those payments may be unsecured or pre-funded in whole or in part.</w:t>
      </w:r>
    </w:p>
    <w:p>
      <w:pPr>
        <w:spacing w:after="0" w:line="267" w:lineRule="exact"/>
        <w:rPr>
          <w:sz w:val="20"/>
          <w:szCs w:val="20"/>
          <w:color w:val="auto"/>
        </w:rPr>
      </w:pPr>
    </w:p>
    <w:p>
      <w:pPr>
        <w:ind w:left="1280" w:right="1419" w:firstLine="282"/>
        <w:spacing w:after="0" w:line="258" w:lineRule="auto"/>
        <w:rPr>
          <w:sz w:val="20"/>
          <w:szCs w:val="20"/>
          <w:color w:val="auto"/>
        </w:rPr>
      </w:pPr>
      <w:r>
        <w:rPr>
          <w:rFonts w:ascii="Times New Roman" w:cs="Times New Roman" w:eastAsia="Times New Roman" w:hAnsi="Times New Roman"/>
          <w:sz w:val="14"/>
          <w:szCs w:val="14"/>
          <w:color w:val="auto"/>
        </w:rPr>
        <w:t>The description in an accompanying prospectus supplement of any purchase contract or purchase unit we offer will not necessarily be complete and will be qualified in its entirety by reference to the applicable purchase contract or purchase unit, which will be filed with the SEC if we offer purchase contracts or purchase units. For more information on how you can obtain copies of any purchase contract or purchase unit we may offer, see “Where You Can Find More Information.” We urge you to read the applicable purchase contract or applicable purchase unit and any accompanying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2" w:name="page33"/>
    <w:bookmarkEnd w:id="32"/>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27" w:lineRule="exact"/>
        <w:rPr>
          <w:sz w:val="20"/>
          <w:szCs w:val="20"/>
          <w:color w:val="auto"/>
        </w:rPr>
      </w:pPr>
    </w:p>
    <w:p>
      <w:pPr>
        <w:ind w:left="1280" w:right="1599" w:firstLine="282"/>
        <w:spacing w:after="0" w:line="269" w:lineRule="auto"/>
        <w:rPr>
          <w:sz w:val="20"/>
          <w:szCs w:val="20"/>
          <w:color w:val="auto"/>
        </w:rPr>
      </w:pPr>
      <w:r>
        <w:rPr>
          <w:rFonts w:ascii="Times New Roman" w:cs="Times New Roman" w:eastAsia="Times New Roman" w:hAnsi="Times New Roman"/>
          <w:sz w:val="14"/>
          <w:szCs w:val="14"/>
          <w:color w:val="auto"/>
        </w:rPr>
        <w:t>Information about selling securityholders, where applicable, will be set forth in a prospectus supplement, in a post-effective amendment or in filings we make with the SEC under the Exchange Act which are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3" w:name="page34"/>
    <w:bookmarkEnd w:id="33"/>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7" w:lineRule="exact"/>
        <w:rPr>
          <w:sz w:val="20"/>
          <w:szCs w:val="20"/>
          <w:color w:val="auto"/>
        </w:rPr>
      </w:pPr>
    </w:p>
    <w:p>
      <w:pPr>
        <w:ind w:left="1280" w:right="1599" w:firstLine="282"/>
        <w:spacing w:after="0" w:line="286" w:lineRule="auto"/>
        <w:rPr>
          <w:sz w:val="20"/>
          <w:szCs w:val="20"/>
          <w:color w:val="auto"/>
        </w:rPr>
      </w:pPr>
      <w:r>
        <w:rPr>
          <w:rFonts w:ascii="Times New Roman" w:cs="Times New Roman" w:eastAsia="Times New Roman" w:hAnsi="Times New Roman"/>
          <w:sz w:val="14"/>
          <w:szCs w:val="14"/>
          <w:color w:val="auto"/>
        </w:rPr>
        <w:t>We or the selling securityholders may sell the securities being offered hereby in one or more of the following ways from time to time:</w:t>
      </w:r>
    </w:p>
    <w:p>
      <w:pPr>
        <w:spacing w:after="0" w:line="40" w:lineRule="exact"/>
        <w:rPr>
          <w:sz w:val="20"/>
          <w:szCs w:val="20"/>
          <w:color w:val="auto"/>
        </w:rPr>
      </w:pPr>
    </w:p>
    <w:p>
      <w:pPr>
        <w:ind w:left="1700" w:hanging="133"/>
        <w:spacing w:after="0"/>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underwriters for resale to purchasers;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or dealers to purchasers; or</w:t>
      </w:r>
    </w:p>
    <w:p>
      <w:pPr>
        <w:spacing w:after="0" w:line="93" w:lineRule="exact"/>
        <w:rPr>
          <w:rFonts w:ascii="Times New Roman" w:cs="Times New Roman" w:eastAsia="Times New Roman" w:hAnsi="Times New Roman"/>
          <w:sz w:val="14"/>
          <w:szCs w:val="14"/>
          <w:color w:val="auto"/>
        </w:rPr>
      </w:pPr>
    </w:p>
    <w:p>
      <w:pPr>
        <w:ind w:left="1700" w:hanging="133"/>
        <w:spacing w:after="0"/>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w:t>
      </w:r>
    </w:p>
    <w:p>
      <w:pPr>
        <w:spacing w:after="0" w:line="125" w:lineRule="exact"/>
        <w:rPr>
          <w:sz w:val="20"/>
          <w:szCs w:val="20"/>
          <w:color w:val="auto"/>
        </w:rPr>
      </w:pPr>
    </w:p>
    <w:p>
      <w:pPr>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82" w:lineRule="exact"/>
        <w:rPr>
          <w:sz w:val="20"/>
          <w:szCs w:val="20"/>
          <w:color w:val="auto"/>
        </w:rPr>
      </w:pPr>
    </w:p>
    <w:p>
      <w:pPr>
        <w:ind w:left="1280" w:right="1439" w:firstLine="282"/>
        <w:spacing w:after="0" w:line="286" w:lineRule="auto"/>
        <w:rPr>
          <w:sz w:val="20"/>
          <w:szCs w:val="20"/>
          <w:color w:val="auto"/>
        </w:rPr>
      </w:pPr>
      <w:r>
        <w:rPr>
          <w:rFonts w:ascii="Times New Roman" w:cs="Times New Roman" w:eastAsia="Times New Roman" w:hAnsi="Times New Roman"/>
          <w:sz w:val="14"/>
          <w:szCs w:val="14"/>
          <w:color w:val="auto"/>
        </w:rPr>
        <w:t>We will identify the specific plan of distribution, including any underwriters, dealers, agents or direct purchasers and their compensation in a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4" w:name="page35"/>
    <w:bookmarkEnd w:id="34"/>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7" w:lineRule="exact"/>
        <w:rPr>
          <w:sz w:val="20"/>
          <w:szCs w:val="20"/>
          <w:color w:val="auto"/>
        </w:rPr>
      </w:pPr>
    </w:p>
    <w:p>
      <w:pPr>
        <w:ind w:left="1280" w:right="1319" w:firstLine="282"/>
        <w:spacing w:after="0" w:line="261" w:lineRule="auto"/>
        <w:rPr>
          <w:sz w:val="20"/>
          <w:szCs w:val="20"/>
          <w:color w:val="auto"/>
        </w:rPr>
      </w:pPr>
      <w:r>
        <w:rPr>
          <w:rFonts w:ascii="Times New Roman" w:cs="Times New Roman" w:eastAsia="Times New Roman" w:hAnsi="Times New Roman"/>
          <w:sz w:val="14"/>
          <w:szCs w:val="14"/>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5" w:name="page36"/>
    <w:bookmarkEnd w:id="35"/>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7" w:lineRule="exact"/>
        <w:rPr>
          <w:sz w:val="20"/>
          <w:szCs w:val="20"/>
          <w:color w:val="auto"/>
        </w:rPr>
      </w:pPr>
    </w:p>
    <w:p>
      <w:pPr>
        <w:ind w:left="1280" w:right="1379" w:firstLine="282"/>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of Lucid Group, Inc. as of and for the period ended December 31, 2023, and management’s assessment of the effectiveness of internal control over financial reporting as of December 31, 2023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88" w:lineRule="exact"/>
        <w:rPr>
          <w:sz w:val="20"/>
          <w:szCs w:val="20"/>
          <w:color w:val="auto"/>
        </w:rPr>
      </w:pPr>
    </w:p>
    <w:p>
      <w:pPr>
        <w:ind w:left="1280" w:right="1379" w:firstLine="282"/>
        <w:spacing w:after="0" w:line="263" w:lineRule="auto"/>
        <w:rPr>
          <w:sz w:val="20"/>
          <w:szCs w:val="20"/>
          <w:color w:val="auto"/>
        </w:rPr>
      </w:pPr>
      <w:r>
        <w:rPr>
          <w:rFonts w:ascii="Times New Roman" w:cs="Times New Roman" w:eastAsia="Times New Roman" w:hAnsi="Times New Roman"/>
          <w:sz w:val="14"/>
          <w:szCs w:val="14"/>
          <w:color w:val="auto"/>
        </w:rPr>
        <w:t>The audited financial statements of Lucid Group, Inc. as of and for the two years in the period ended December 31, 2022 incorporated by reference in this prospectus and elsewhere in the registration statement have been so incorporated by reference in reliance upon the report of Grant Thornton LLP, an independent registered public accounting firm,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6" w:name="page37"/>
    <w:bookmarkEnd w:id="36"/>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ectPr>
          <w:pgSz w:w="11900" w:h="16838" w:orient="portrait"/>
          <w:cols w:equalWidth="0" w:num="1">
            <w:col w:w="9019"/>
          </w:cols>
          <w:pgMar w:left="1440" w:top="1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4"/>
          <w:szCs w:val="14"/>
          <w:b w:val="1"/>
          <w:bCs w:val="1"/>
          <w:color w:val="auto"/>
        </w:rPr>
        <w:t>PART II INFORMATION NOT REQUIRED IN PROSPECTUS</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1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expenses relating to the registration of the securities will be borne by the registrant.</w:t>
      </w:r>
    </w:p>
    <w:p>
      <w:pPr>
        <w:spacing w:after="0" w:line="13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-85725</wp:posOffset>
            </wp:positionV>
            <wp:extent cx="3725545" cy="939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3725545" cy="93980"/>
                    </a:xfrm>
                    <a:prstGeom prst="rect">
                      <a:avLst/>
                    </a:prstGeom>
                    <a:noFill/>
                  </pic:spPr>
                </pic:pic>
              </a:graphicData>
            </a:graphic>
          </wp:anchor>
        </w:drawing>
      </w:r>
    </w:p>
    <w:p>
      <w:pPr>
        <w:spacing w:after="0" w:line="1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Blue​ Sky Qualification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12065</wp:posOffset>
            </wp:positionV>
            <wp:extent cx="3725545" cy="1276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3725545" cy="127635"/>
                    </a:xfrm>
                    <a:prstGeom prst="rect">
                      <a:avLst/>
                    </a:prstGeom>
                    <a:noFill/>
                  </pic:spPr>
                </pic:pic>
              </a:graphicData>
            </a:graphic>
          </wp:anchor>
        </w:drawing>
      </w:r>
    </w:p>
    <w:p>
      <w:pPr>
        <w:spacing w:after="0" w:line="2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4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12065</wp:posOffset>
            </wp:positionV>
            <wp:extent cx="3725545" cy="134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3725545" cy="134620"/>
                    </a:xfrm>
                    <a:prstGeom prst="rect">
                      <a:avLst/>
                    </a:prstGeom>
                    <a:noFill/>
                  </pic:spPr>
                </pic:pic>
              </a:graphicData>
            </a:graphic>
          </wp:anchor>
        </w:drawing>
      </w:r>
    </w:p>
    <w:p>
      <w:pPr>
        <w:spacing w:after="0" w:line="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Printing​ Fees</w:t>
      </w:r>
    </w:p>
    <w:p>
      <w:pPr>
        <w:spacing w:after="0" w:line="5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Transfer​ Agents and Trustees’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14605</wp:posOffset>
            </wp:positionV>
            <wp:extent cx="3725545" cy="134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3725545" cy="134620"/>
                    </a:xfrm>
                    <a:prstGeom prst="rect">
                      <a:avLst/>
                    </a:prstGeom>
                    <a:noFill/>
                  </pic:spPr>
                </pic:pic>
              </a:graphicData>
            </a:graphic>
          </wp:anchor>
        </w:drawing>
      </w:r>
    </w:p>
    <w:p>
      <w:pPr>
        <w:spacing w:after="0" w:line="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Rating​ Agency Fees</w:t>
      </w:r>
    </w:p>
    <w:p>
      <w:pPr>
        <w:spacing w:after="0" w:line="5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Warrant​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14605</wp:posOffset>
            </wp:positionV>
            <wp:extent cx="3725545" cy="134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3725545" cy="134620"/>
                    </a:xfrm>
                    <a:prstGeom prst="rect">
                      <a:avLst/>
                    </a:prstGeom>
                    <a:noFill/>
                  </pic:spPr>
                </pic:pic>
              </a:graphicData>
            </a:graphic>
          </wp:anchor>
        </w:drawing>
      </w:r>
    </w:p>
    <w:p>
      <w:pPr>
        <w:spacing w:after="0" w:line="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Nasdaq​ Listing Fees</w:t>
      </w:r>
    </w:p>
    <w:p>
      <w:pPr>
        <w:ind w:left="1560"/>
        <w:spacing w:after="0" w:line="181" w:lineRule="auto"/>
        <w:rPr>
          <w:sz w:val="20"/>
          <w:szCs w:val="20"/>
          <w:color w:val="auto"/>
        </w:rPr>
      </w:pPr>
      <w:r>
        <w:rPr>
          <w:rFonts w:ascii="Times New Roman" w:cs="Times New Roman" w:eastAsia="Times New Roman" w:hAnsi="Times New Roman"/>
          <w:sz w:val="14"/>
          <w:szCs w:val="14"/>
          <w:color w:val="auto"/>
        </w:rPr>
        <w:t>Miscellaneous</w:t>
      </w:r>
      <w:r>
        <w:rPr>
          <w:rFonts w:ascii="Times New Roman" w:cs="Times New Roman" w:eastAsia="Times New Roman" w:hAnsi="Times New Roman"/>
          <w:sz w:val="28"/>
          <w:szCs w:val="28"/>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1905</wp:posOffset>
            </wp:positionV>
            <wp:extent cx="350329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35032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260" w:type="dxa"/>
            <w:vAlign w:val="bottom"/>
          </w:tcPr>
          <w:p>
            <w:pPr>
              <w:spacing w:after="0" w:line="200"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3"/>
                <w:szCs w:val="23"/>
                <w:color w:val="auto"/>
                <w:vertAlign w:val="superscript"/>
              </w:rPr>
              <w:t>$</w:t>
            </w:r>
          </w:p>
        </w:tc>
        <w:tc>
          <w:tcPr>
            <w:tcW w:w="240" w:type="dxa"/>
            <w:vAlign w:val="bottom"/>
          </w:tcPr>
          <w:p>
            <w:pPr>
              <w:jc w:val="right"/>
              <w:spacing w:after="0" w:line="200"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3"/>
                <w:szCs w:val="23"/>
                <w:color w:val="auto"/>
                <w:vertAlign w:val="subscript"/>
              </w:rPr>
              <w:t>​</w:t>
            </w:r>
          </w:p>
        </w:tc>
      </w:tr>
    </w:tbl>
    <w:p>
      <w:pPr>
        <w:spacing w:after="0" w:line="1" w:lineRule="exact"/>
        <w:rPr>
          <w:sz w:val="20"/>
          <w:szCs w:val="20"/>
          <w:color w:val="auto"/>
        </w:rPr>
      </w:pPr>
    </w:p>
    <w:p>
      <w:pPr>
        <w:sectPr>
          <w:pgSz w:w="11900" w:h="16838" w:orient="portrait"/>
          <w:cols w:equalWidth="0" w:num="2">
            <w:col w:w="6780" w:space="180"/>
            <w:col w:w="2059"/>
          </w:cols>
          <w:pgMar w:left="1440" w:top="107" w:right="1440" w:bottom="1440" w:gutter="0" w:footer="0" w:header="0"/>
          <w:type w:val="continuous"/>
        </w:sectPr>
      </w:pPr>
    </w:p>
    <w:tbl>
      <w:tblPr>
        <w:tblLayout w:type="fixed"/>
        <w:tblInd w:w="1560" w:type="dxa"/>
        <w:tblCellMar>
          <w:top w:w="0" w:type="dxa"/>
          <w:left w:w="0" w:type="dxa"/>
          <w:bottom w:w="0" w:type="dxa"/>
          <w:right w:w="0" w:type="dxa"/>
        </w:tblCellMar>
      </w:tblPr>
      <w:tr>
        <w:trPr>
          <w:trHeight w:val="162"/>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6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53"/>
        </w:trPr>
        <w:tc>
          <w:tcPr>
            <w:tcW w:w="2860" w:type="dxa"/>
            <w:vAlign w:val="bottom"/>
            <w:shd w:val="clear" w:color="auto" w:fill="CCEEFF"/>
          </w:tcPr>
          <w:p>
            <w:pPr>
              <w:spacing w:after="0" w:line="53" w:lineRule="exact"/>
              <w:rPr>
                <w:sz w:val="20"/>
                <w:szCs w:val="20"/>
                <w:color w:val="auto"/>
              </w:rPr>
            </w:pPr>
            <w:r>
              <w:rPr>
                <w:rFonts w:ascii="Times New Roman" w:cs="Times New Roman" w:eastAsia="Times New Roman" w:hAnsi="Times New Roman"/>
                <w:sz w:val="6"/>
                <w:szCs w:val="6"/>
                <w:color w:val="auto"/>
              </w:rPr>
              <w:t>​</w:t>
            </w:r>
          </w:p>
        </w:tc>
        <w:tc>
          <w:tcPr>
            <w:tcW w:w="2800" w:type="dxa"/>
            <w:vAlign w:val="bottom"/>
            <w:gridSpan w:val="2"/>
            <w:shd w:val="clear" w:color="auto" w:fill="CCEEFF"/>
          </w:tcPr>
          <w:p>
            <w:pPr>
              <w:jc w:val="right"/>
              <w:ind w:right="29"/>
              <w:spacing w:after="0" w:line="53" w:lineRule="exact"/>
              <w:rPr>
                <w:sz w:val="20"/>
                <w:szCs w:val="20"/>
                <w:color w:val="auto"/>
              </w:rPr>
            </w:pPr>
            <w:r>
              <w:rPr>
                <w:rFonts w:ascii="Times New Roman" w:cs="Times New Roman" w:eastAsia="Times New Roman" w:hAnsi="Times New Roman"/>
                <w:sz w:val="6"/>
                <w:szCs w:val="6"/>
                <w:color w:val="auto"/>
              </w:rPr>
              <w:t>​ ​​</w:t>
            </w:r>
          </w:p>
        </w:tc>
        <w:tc>
          <w:tcPr>
            <w:tcW w:w="220" w:type="dxa"/>
            <w:vAlign w:val="bottom"/>
            <w:shd w:val="clear" w:color="auto" w:fill="CCEEFF"/>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121285</wp:posOffset>
            </wp:positionV>
            <wp:extent cx="96837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283" w:lineRule="exact"/>
        <w:rPr>
          <w:sz w:val="20"/>
          <w:szCs w:val="20"/>
          <w:color w:val="auto"/>
        </w:rPr>
      </w:pPr>
    </w:p>
    <w:p>
      <w:pPr>
        <w:ind w:left="1560" w:hanging="275"/>
        <w:spacing w:after="0"/>
        <w:tabs>
          <w:tab w:leader="none" w:pos="15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in reliance on Rules 456(b) and 457(r) under the Securities Act.</w:t>
      </w:r>
    </w:p>
    <w:p>
      <w:pPr>
        <w:spacing w:after="0" w:line="61" w:lineRule="exact"/>
        <w:rPr>
          <w:sz w:val="20"/>
          <w:szCs w:val="20"/>
          <w:color w:val="auto"/>
        </w:rPr>
      </w:pPr>
    </w:p>
    <w:p>
      <w:pPr>
        <w:ind w:left="1560" w:right="1479" w:hanging="275"/>
        <w:spacing w:after="0" w:line="286" w:lineRule="auto"/>
        <w:tabs>
          <w:tab w:leader="none" w:pos="15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an indeterminate amount of securities is covered by this registration statement, the expenses in connection with the issuance and distribution of the securities are not currently determinable.</w:t>
      </w:r>
    </w:p>
    <w:p>
      <w:pPr>
        <w:spacing w:after="0" w:line="1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127" w:lineRule="exact"/>
        <w:rPr>
          <w:sz w:val="20"/>
          <w:szCs w:val="20"/>
          <w:color w:val="auto"/>
        </w:rPr>
      </w:pPr>
    </w:p>
    <w:p>
      <w:pPr>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The registrant is a Delaware corporation. Section 102(b)(7) of the Delaware General Corporation Law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 ty, failed to act in good faith, engaged in intentional misconduct or knowingly violated a law, authorized the payment of a dividend or approved a stock repurchase in violation of Delaware corporate law or obtained an improper personal benefit. Our current certificate of incorporation provides for this limitation of liability.</w:t>
      </w:r>
    </w:p>
    <w:p>
      <w:pPr>
        <w:spacing w:after="0" w:line="91" w:lineRule="exact"/>
        <w:rPr>
          <w:sz w:val="20"/>
          <w:szCs w:val="20"/>
          <w:color w:val="auto"/>
        </w:rPr>
      </w:pPr>
    </w:p>
    <w:p>
      <w:pPr>
        <w:ind w:left="1280" w:right="1299" w:firstLine="282"/>
        <w:spacing w:after="0" w:line="254" w:lineRule="auto"/>
        <w:rPr>
          <w:sz w:val="20"/>
          <w:szCs w:val="20"/>
          <w:color w:val="auto"/>
        </w:rPr>
      </w:pPr>
      <w:r>
        <w:rPr>
          <w:rFonts w:ascii="Times New Roman" w:cs="Times New Roman" w:eastAsia="Times New Roman" w:hAnsi="Times New Roman"/>
          <w:sz w:val="14"/>
          <w:szCs w:val="14"/>
          <w:color w:val="auto"/>
        </w:rPr>
        <w:t>Reference is also made to Section 145 of the DGCL, which provides that a corporation may indemnify any persons, including officers and directors, who are, or are threatened to be made, parties to any threatened, pending or completed legal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director, officer, employee or agent acted in good faith and in a manner the person reasonably believed to be in or not opposed to the best interests of the corporation and, with respect to any criminal action or proceeding, had no reasonable cause to believe that the person’s conduct was unlawful. A Delaware corporation may indemnify officers and directors in an action by or in the right of the corporation under the same conditions,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that such officer or director actually and reasonably incurred. The indemnification permitted under the DGCL is not exclusive, and a corporation is empowered to purchase and maintain insurance against liabilities whether or not indemnification would be permitted by statute.</w:t>
      </w:r>
    </w:p>
    <w:p>
      <w:pPr>
        <w:spacing w:after="0" w:line="259" w:lineRule="exact"/>
        <w:rPr>
          <w:sz w:val="20"/>
          <w:szCs w:val="20"/>
          <w:color w:val="auto"/>
        </w:rPr>
      </w:pPr>
    </w:p>
    <w:p>
      <w:pPr>
        <w:ind w:left="1280" w:right="1679" w:firstLine="282"/>
        <w:spacing w:after="0" w:line="286" w:lineRule="auto"/>
        <w:rPr>
          <w:sz w:val="20"/>
          <w:szCs w:val="20"/>
          <w:color w:val="auto"/>
        </w:rPr>
      </w:pPr>
      <w:r>
        <w:rPr>
          <w:rFonts w:ascii="Times New Roman" w:cs="Times New Roman" w:eastAsia="Times New Roman" w:hAnsi="Times New Roman"/>
          <w:sz w:val="14"/>
          <w:szCs w:val="14"/>
          <w:color w:val="auto"/>
        </w:rPr>
        <w:t>The Company’s current certificate of incorporation provides that we must indemnify and advance expenses to our directors and officers to the full extent authorized by the DGCL.</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37" w:name="page38"/>
    <w:bookmarkEnd w:id="37"/>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right="1339" w:firstLine="282"/>
        <w:spacing w:after="0" w:line="250"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w:t>
      </w:r>
    </w:p>
    <w:p>
      <w:pPr>
        <w:spacing w:after="0" w:line="252" w:lineRule="exact"/>
        <w:rPr>
          <w:sz w:val="20"/>
          <w:szCs w:val="20"/>
          <w:color w:val="auto"/>
        </w:rPr>
      </w:pPr>
    </w:p>
    <w:p>
      <w:pPr>
        <w:ind w:left="1280" w:right="1299" w:firstLine="282"/>
        <w:spacing w:after="0" w:line="247" w:lineRule="auto"/>
        <w:rPr>
          <w:sz w:val="20"/>
          <w:szCs w:val="20"/>
          <w:color w:val="auto"/>
        </w:rPr>
      </w:pPr>
      <w:r>
        <w:rPr>
          <w:rFonts w:ascii="Times New Roman" w:cs="Times New Roman" w:eastAsia="Times New Roman" w:hAnsi="Times New Roman"/>
          <w:sz w:val="14"/>
          <w:szCs w:val="14"/>
          <w:color w:val="auto"/>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spacing w:after="0" w:line="90" w:lineRule="exact"/>
        <w:rPr>
          <w:sz w:val="20"/>
          <w:szCs w:val="20"/>
          <w:color w:val="auto"/>
        </w:rPr>
      </w:pPr>
    </w:p>
    <w:p>
      <w:pPr>
        <w:ind w:left="1280" w:right="1319" w:firstLine="282"/>
        <w:spacing w:after="0" w:line="249" w:lineRule="auto"/>
        <w:rPr>
          <w:sz w:val="20"/>
          <w:szCs w:val="20"/>
          <w:color w:val="auto"/>
        </w:rPr>
      </w:pPr>
      <w:r>
        <w:rPr>
          <w:rFonts w:ascii="Times New Roman" w:cs="Times New Roman" w:eastAsia="Times New Roman" w:hAnsi="Times New Roman"/>
          <w:sz w:val="14"/>
          <w:szCs w:val="14"/>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The Company maintains and expect to maintain standard policies of insurance that provide coverage</w:t>
      </w:r>
    </w:p>
    <w:p>
      <w:pPr>
        <w:spacing w:after="0" w:line="14" w:lineRule="exact"/>
        <w:rPr>
          <w:sz w:val="20"/>
          <w:szCs w:val="20"/>
          <w:color w:val="auto"/>
        </w:rPr>
      </w:pPr>
    </w:p>
    <w:p>
      <w:pPr>
        <w:ind w:left="1280" w:right="1319" w:firstLine="5"/>
        <w:spacing w:after="0" w:line="249" w:lineRule="auto"/>
        <w:tabs>
          <w:tab w:leader="none" w:pos="1491"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its directors and officers against loss rising from claims made by reason of breach of duty or other wrongful act and (2) to the Company with respect to indemnification payments that the Company may make to such directors and officers.</w:t>
      </w:r>
    </w:p>
    <w:p>
      <w:pPr>
        <w:spacing w:after="0" w:line="76" w:lineRule="exact"/>
        <w:rPr>
          <w:sz w:val="20"/>
          <w:szCs w:val="20"/>
          <w:color w:val="auto"/>
        </w:rPr>
      </w:pPr>
    </w:p>
    <w:p>
      <w:pPr>
        <w:ind w:left="1280" w:right="1339" w:firstLine="282"/>
        <w:spacing w:after="0" w:line="250" w:lineRule="auto"/>
        <w:rPr>
          <w:sz w:val="20"/>
          <w:szCs w:val="20"/>
          <w:color w:val="auto"/>
        </w:rPr>
      </w:pPr>
      <w:r>
        <w:rPr>
          <w:rFonts w:ascii="Times New Roman" w:cs="Times New Roman" w:eastAsia="Times New Roman" w:hAnsi="Times New Roman"/>
          <w:sz w:val="14"/>
          <w:szCs w:val="14"/>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252" w:lineRule="exact"/>
        <w:rPr>
          <w:sz w:val="20"/>
          <w:szCs w:val="20"/>
          <w:color w:val="auto"/>
        </w:rPr>
      </w:pPr>
    </w:p>
    <w:p>
      <w:pPr>
        <w:ind w:left="1280" w:right="1339" w:firstLine="282"/>
        <w:spacing w:after="0" w:line="270" w:lineRule="auto"/>
        <w:rPr>
          <w:sz w:val="20"/>
          <w:szCs w:val="20"/>
          <w:color w:val="auto"/>
        </w:rPr>
      </w:pPr>
      <w:r>
        <w:rPr>
          <w:rFonts w:ascii="Times New Roman" w:cs="Times New Roman" w:eastAsia="Times New Roman" w:hAnsi="Times New Roman"/>
          <w:sz w:val="14"/>
          <w:szCs w:val="14"/>
          <w:color w:val="auto"/>
        </w:rPr>
        <w:t>The Company believes that these provisions, the insurance and the indemnity agreements are necessary to attract and retain talented and experienced officers and directors.</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Item 16.  List of Exhibits.</w:t>
      </w:r>
    </w:p>
    <w:p>
      <w:pPr>
        <w:spacing w:after="0" w:line="35" w:lineRule="exact"/>
        <w:rPr>
          <w:sz w:val="20"/>
          <w:szCs w:val="20"/>
          <w:color w:val="auto"/>
        </w:rPr>
      </w:pPr>
    </w:p>
    <w:p>
      <w:pPr>
        <w:jc w:val="right"/>
        <w:ind w:right="1279"/>
        <w:spacing w:after="0"/>
        <w:tabs>
          <w:tab w:leader="none" w:pos="3400" w:val="left"/>
        </w:tabs>
        <w:rPr>
          <w:sz w:val="20"/>
          <w:szCs w:val="20"/>
          <w:color w:val="auto"/>
        </w:rPr>
      </w:pPr>
      <w:r>
        <w:rPr>
          <w:rFonts w:ascii="Times New Roman" w:cs="Times New Roman" w:eastAsia="Times New Roman" w:hAnsi="Times New Roman"/>
          <w:sz w:val="11"/>
          <w:szCs w:val="11"/>
          <w:b w:val="1"/>
          <w:bCs w:val="1"/>
          <w:color w:val="auto"/>
        </w:rPr>
        <w:t>Exhibit No.</w:t>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Description of Exhibits</w:t>
      </w:r>
      <w:r>
        <w:rPr>
          <w:sz w:val="20"/>
          <w:szCs w:val="20"/>
          <w:color w:val="auto"/>
        </w:rPr>
        <w:t xml:space="preserve"> </w:t>
      </w:r>
      <w:r>
        <w:rPr>
          <w:rFonts w:ascii="Times New Roman" w:cs="Times New Roman" w:eastAsia="Times New Roman" w:hAnsi="Times New Roman"/>
          <w:sz w:val="23"/>
          <w:szCs w:val="2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1269365</wp:posOffset>
            </wp:positionH>
            <wp:positionV relativeFrom="paragraph">
              <wp:posOffset>20955</wp:posOffset>
            </wp:positionV>
            <wp:extent cx="363156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3631565" cy="698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p>
      <w:pPr>
        <w:spacing w:after="0" w:line="33" w:lineRule="exact"/>
        <w:rPr>
          <w:sz w:val="20"/>
          <w:szCs w:val="20"/>
          <w:color w:val="auto"/>
        </w:rPr>
      </w:pPr>
    </w:p>
    <w:tbl>
      <w:tblPr>
        <w:tblLayout w:type="fixed"/>
        <w:tblInd w:w="1280" w:type="dxa"/>
        <w:tblCellMar>
          <w:top w:w="0" w:type="dxa"/>
          <w:left w:w="0" w:type="dxa"/>
          <w:bottom w:w="0" w:type="dxa"/>
          <w:right w:w="0" w:type="dxa"/>
        </w:tblCellMar>
      </w:tblPr>
      <w:tr>
        <w:trPr>
          <w:trHeight w:val="209"/>
        </w:trPr>
        <w:tc>
          <w:tcPr>
            <w:tcW w:w="5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1.1</w:t>
            </w:r>
            <w:r>
              <w:rPr>
                <w:rFonts w:ascii="Times New Roman" w:cs="Times New Roman" w:eastAsia="Times New Roman" w:hAnsi="Times New Roman"/>
                <w:sz w:val="18"/>
                <w:szCs w:val="18"/>
                <w:color w:val="auto"/>
                <w:vertAlign w:val="superscript"/>
              </w:rPr>
              <w:t>*</w:t>
            </w:r>
          </w:p>
        </w:tc>
        <w:tc>
          <w:tcPr>
            <w:tcW w:w="5720" w:type="dxa"/>
            <w:vAlign w:val="bottom"/>
            <w:gridSpan w:val="9"/>
          </w:tcPr>
          <w:p>
            <w:pPr>
              <w:spacing w:after="0" w:line="209"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Form of Underwriting Agreement.</w:t>
            </w:r>
          </w:p>
        </w:tc>
      </w:tr>
      <w:tr>
        <w:trPr>
          <w:trHeight w:val="174"/>
        </w:trPr>
        <w:tc>
          <w:tcPr>
            <w:tcW w:w="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3.1</w:t>
            </w:r>
          </w:p>
        </w:tc>
        <w:tc>
          <w:tcPr>
            <w:tcW w:w="5720" w:type="dxa"/>
            <w:vAlign w:val="bottom"/>
            <w:gridSpan w:val="9"/>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88">
              <w:r>
                <w:rPr>
                  <w:rFonts w:ascii="Times New Roman" w:cs="Times New Roman" w:eastAsia="Times New Roman" w:hAnsi="Times New Roman"/>
                  <w:sz w:val="14"/>
                  <w:szCs w:val="14"/>
                  <w:color w:val="0000EE"/>
                </w:rPr>
                <w:t>Third Amended and Restated Certificate of Incorporation (incorporated by reference to</w:t>
              </w:r>
            </w:hyperlink>
          </w:p>
        </w:tc>
      </w:tr>
      <w:tr>
        <w:trPr>
          <w:trHeight w:val="149"/>
        </w:trPr>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780" w:type="dxa"/>
            <w:vAlign w:val="bottom"/>
            <w:tcBorders>
              <w:top w:val="single" w:sz="8" w:color="0000EE"/>
              <w:bottom w:val="single" w:sz="8" w:color="0000EE"/>
            </w:tcBorders>
            <w:gridSpan w:val="4"/>
          </w:tcPr>
          <w:p>
            <w:pPr>
              <w:spacing w:after="0" w:line="149" w:lineRule="exact"/>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Exhibit 3.1 of the Company’s Current Report on Form 8-K filed April 24, 2023).</w:t>
              </w:r>
            </w:hyperlink>
          </w:p>
        </w:tc>
        <w:tc>
          <w:tcPr>
            <w:tcW w:w="380" w:type="dxa"/>
            <w:vAlign w:val="bottom"/>
            <w:tcBorders>
              <w:top w:val="single" w:sz="8" w:color="0000EE"/>
            </w:tcBorders>
            <w:gridSpan w:val="2"/>
          </w:tcPr>
          <w:p>
            <w:pPr>
              <w:spacing w:after="0"/>
              <w:rPr>
                <w:sz w:val="12"/>
                <w:szCs w:val="12"/>
                <w:color w:val="auto"/>
              </w:rPr>
            </w:pPr>
          </w:p>
        </w:tc>
        <w:tc>
          <w:tcPr>
            <w:tcW w:w="380" w:type="dxa"/>
            <w:vAlign w:val="bottom"/>
            <w:gridSpan w:val="2"/>
          </w:tcPr>
          <w:p>
            <w:pPr>
              <w:spacing w:after="0"/>
              <w:rPr>
                <w:sz w:val="12"/>
                <w:szCs w:val="12"/>
                <w:color w:val="auto"/>
              </w:rPr>
            </w:pPr>
          </w:p>
        </w:tc>
      </w:tr>
      <w:tr>
        <w:trPr>
          <w:trHeight w:val="202"/>
        </w:trPr>
        <w:tc>
          <w:tcPr>
            <w:tcW w:w="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3.2</w:t>
            </w:r>
          </w:p>
        </w:tc>
        <w:tc>
          <w:tcPr>
            <w:tcW w:w="5720" w:type="dxa"/>
            <w:vAlign w:val="bottom"/>
            <w:gridSpan w:val="9"/>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89">
              <w:r>
                <w:rPr>
                  <w:rFonts w:ascii="Times New Roman" w:cs="Times New Roman" w:eastAsia="Times New Roman" w:hAnsi="Times New Roman"/>
                  <w:sz w:val="14"/>
                  <w:szCs w:val="14"/>
                  <w:color w:val="0000EE"/>
                </w:rPr>
                <w:t>Second Amended and Restated Bylaws (incorporated by reference to Exhibit 3.2 of the</w:t>
              </w:r>
            </w:hyperlink>
          </w:p>
        </w:tc>
      </w:tr>
      <w:tr>
        <w:trPr>
          <w:trHeight w:val="149"/>
        </w:trPr>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700" w:type="dxa"/>
            <w:vAlign w:val="bottom"/>
            <w:tcBorders>
              <w:top w:val="single" w:sz="8" w:color="0000EE"/>
              <w:bottom w:val="single" w:sz="8" w:color="0000EE"/>
            </w:tcBorders>
            <w:gridSpan w:val="3"/>
          </w:tcPr>
          <w:p>
            <w:pPr>
              <w:spacing w:after="0" w:line="149" w:lineRule="exact"/>
              <w:rPr>
                <w:rFonts w:ascii="Times New Roman" w:cs="Times New Roman" w:eastAsia="Times New Roman" w:hAnsi="Times New Roman"/>
                <w:sz w:val="14"/>
                <w:szCs w:val="14"/>
                <w:color w:val="0000EE"/>
              </w:rPr>
            </w:pPr>
            <w:hyperlink r:id="rId89">
              <w:r>
                <w:rPr>
                  <w:rFonts w:ascii="Times New Roman" w:cs="Times New Roman" w:eastAsia="Times New Roman" w:hAnsi="Times New Roman"/>
                  <w:sz w:val="14"/>
                  <w:szCs w:val="14"/>
                  <w:color w:val="0000EE"/>
                </w:rPr>
                <w:t>Company’s Current Report on Form 8-K filed March 3, 2023).</w:t>
              </w:r>
            </w:hyperlink>
          </w:p>
        </w:tc>
        <w:tc>
          <w:tcPr>
            <w:tcW w:w="1440" w:type="dxa"/>
            <w:vAlign w:val="bottom"/>
            <w:tcBorders>
              <w:top w:val="single" w:sz="8" w:color="0000EE"/>
            </w:tcBorders>
            <w:gridSpan w:val="2"/>
          </w:tcPr>
          <w:p>
            <w:pPr>
              <w:spacing w:after="0"/>
              <w:rPr>
                <w:sz w:val="12"/>
                <w:szCs w:val="12"/>
                <w:color w:val="auto"/>
              </w:rPr>
            </w:pPr>
          </w:p>
        </w:tc>
        <w:tc>
          <w:tcPr>
            <w:tcW w:w="400" w:type="dxa"/>
            <w:vAlign w:val="bottom"/>
            <w:gridSpan w:val="3"/>
          </w:tcPr>
          <w:p>
            <w:pPr>
              <w:spacing w:after="0"/>
              <w:rPr>
                <w:sz w:val="12"/>
                <w:szCs w:val="12"/>
                <w:color w:val="auto"/>
              </w:rPr>
            </w:pPr>
          </w:p>
        </w:tc>
      </w:tr>
      <w:tr>
        <w:trPr>
          <w:trHeight w:val="202"/>
        </w:trPr>
        <w:tc>
          <w:tcPr>
            <w:tcW w:w="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3.3</w:t>
            </w:r>
          </w:p>
        </w:tc>
        <w:tc>
          <w:tcPr>
            <w:tcW w:w="5720" w:type="dxa"/>
            <w:vAlign w:val="bottom"/>
            <w:gridSpan w:val="9"/>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90">
              <w:r>
                <w:rPr>
                  <w:rFonts w:ascii="Times New Roman" w:cs="Times New Roman" w:eastAsia="Times New Roman" w:hAnsi="Times New Roman"/>
                  <w:sz w:val="14"/>
                  <w:szCs w:val="14"/>
                  <w:color w:val="0000EE"/>
                </w:rPr>
                <w:t>Certificate of Designations of Series A Convertible Preferred Stock of Lucid Group, Inc.</w:t>
              </w:r>
            </w:hyperlink>
          </w:p>
        </w:tc>
      </w:tr>
      <w:tr>
        <w:trPr>
          <w:trHeight w:val="20"/>
        </w:trPr>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49"/>
        </w:trPr>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540" w:type="dxa"/>
            <w:vAlign w:val="bottom"/>
            <w:tcBorders>
              <w:bottom w:val="single" w:sz="8" w:color="0000EE"/>
            </w:tcBorders>
            <w:gridSpan w:val="8"/>
          </w:tcPr>
          <w:p>
            <w:pPr>
              <w:spacing w:after="0" w:line="149" w:lineRule="exact"/>
              <w:rPr>
                <w:rFonts w:ascii="Times New Roman" w:cs="Times New Roman" w:eastAsia="Times New Roman" w:hAnsi="Times New Roman"/>
                <w:sz w:val="14"/>
                <w:szCs w:val="14"/>
                <w:color w:val="0000EE"/>
              </w:rPr>
            </w:pPr>
            <w:hyperlink r:id="rId90">
              <w:r>
                <w:rPr>
                  <w:rFonts w:ascii="Times New Roman" w:cs="Times New Roman" w:eastAsia="Times New Roman" w:hAnsi="Times New Roman"/>
                  <w:sz w:val="14"/>
                  <w:szCs w:val="14"/>
                  <w:color w:val="0000EE"/>
                </w:rPr>
                <w:t>(incorporated by reference to Exhibit 3.1 of the Company’s Current Report on Form 8-K filed</w:t>
              </w:r>
            </w:hyperlink>
          </w:p>
        </w:tc>
      </w:tr>
      <w:tr>
        <w:trPr>
          <w:trHeight w:val="149"/>
        </w:trPr>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Borders>
              <w:bottom w:val="single" w:sz="8" w:color="0000EE"/>
            </w:tcBorders>
          </w:tcPr>
          <w:p>
            <w:pPr>
              <w:spacing w:after="0" w:line="149" w:lineRule="exact"/>
              <w:rPr>
                <w:rFonts w:ascii="Times New Roman" w:cs="Times New Roman" w:eastAsia="Times New Roman" w:hAnsi="Times New Roman"/>
                <w:sz w:val="14"/>
                <w:szCs w:val="14"/>
                <w:color w:val="0000EE"/>
              </w:rPr>
            </w:pPr>
            <w:hyperlink r:id="rId90">
              <w:r>
                <w:rPr>
                  <w:rFonts w:ascii="Times New Roman" w:cs="Times New Roman" w:eastAsia="Times New Roman" w:hAnsi="Times New Roman"/>
                  <w:sz w:val="14"/>
                  <w:szCs w:val="14"/>
                  <w:color w:val="0000EE"/>
                </w:rPr>
                <w:t>March 29, 2024).</w:t>
              </w:r>
            </w:hyperlink>
          </w:p>
        </w:tc>
        <w:tc>
          <w:tcPr>
            <w:tcW w:w="4520" w:type="dxa"/>
            <w:vAlign w:val="bottom"/>
            <w:gridSpan w:val="7"/>
          </w:tcPr>
          <w:p>
            <w:pPr>
              <w:spacing w:after="0"/>
              <w:rPr>
                <w:sz w:val="12"/>
                <w:szCs w:val="12"/>
                <w:color w:val="auto"/>
              </w:rPr>
            </w:pPr>
          </w:p>
        </w:tc>
      </w:tr>
      <w:tr>
        <w:trPr>
          <w:trHeight w:val="202"/>
        </w:trPr>
        <w:tc>
          <w:tcPr>
            <w:tcW w:w="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3.4</w:t>
            </w:r>
          </w:p>
        </w:tc>
        <w:tc>
          <w:tcPr>
            <w:tcW w:w="5720" w:type="dxa"/>
            <w:vAlign w:val="bottom"/>
            <w:gridSpan w:val="9"/>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91">
              <w:r>
                <w:rPr>
                  <w:rFonts w:ascii="Times New Roman" w:cs="Times New Roman" w:eastAsia="Times New Roman" w:hAnsi="Times New Roman"/>
                  <w:sz w:val="14"/>
                  <w:szCs w:val="14"/>
                  <w:color w:val="0000EE"/>
                </w:rPr>
                <w:t>Certificate of Designations of Series B Convertible Preferred Stock of Lucid Group, Inc.</w:t>
              </w:r>
            </w:hyperlink>
          </w:p>
        </w:tc>
      </w:tr>
      <w:tr>
        <w:trPr>
          <w:trHeight w:val="20"/>
        </w:trPr>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49"/>
        </w:trPr>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540" w:type="dxa"/>
            <w:vAlign w:val="bottom"/>
            <w:tcBorders>
              <w:bottom w:val="single" w:sz="8" w:color="0000EE"/>
            </w:tcBorders>
            <w:gridSpan w:val="8"/>
          </w:tcPr>
          <w:p>
            <w:pPr>
              <w:spacing w:after="0" w:line="149" w:lineRule="exact"/>
              <w:rPr>
                <w:rFonts w:ascii="Times New Roman" w:cs="Times New Roman" w:eastAsia="Times New Roman" w:hAnsi="Times New Roman"/>
                <w:sz w:val="14"/>
                <w:szCs w:val="14"/>
                <w:color w:val="0000EE"/>
              </w:rPr>
            </w:pPr>
            <w:hyperlink r:id="rId91">
              <w:r>
                <w:rPr>
                  <w:rFonts w:ascii="Times New Roman" w:cs="Times New Roman" w:eastAsia="Times New Roman" w:hAnsi="Times New Roman"/>
                  <w:sz w:val="14"/>
                  <w:szCs w:val="14"/>
                  <w:color w:val="0000EE"/>
                </w:rPr>
                <w:t>(incorporated by reference to Exhibit 3.1 of the Company’s Current Report on Form 8-K filed</w:t>
              </w:r>
            </w:hyperlink>
          </w:p>
        </w:tc>
      </w:tr>
      <w:tr>
        <w:trPr>
          <w:trHeight w:val="149"/>
        </w:trPr>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bottom w:val="single" w:sz="8" w:color="0000EE"/>
            </w:tcBorders>
            <w:gridSpan w:val="2"/>
          </w:tcPr>
          <w:p>
            <w:pPr>
              <w:spacing w:after="0" w:line="149" w:lineRule="exact"/>
              <w:rPr>
                <w:rFonts w:ascii="Times New Roman" w:cs="Times New Roman" w:eastAsia="Times New Roman" w:hAnsi="Times New Roman"/>
                <w:sz w:val="14"/>
                <w:szCs w:val="14"/>
                <w:color w:val="0000EE"/>
              </w:rPr>
            </w:pPr>
            <w:hyperlink r:id="rId91">
              <w:r>
                <w:rPr>
                  <w:rFonts w:ascii="Times New Roman" w:cs="Times New Roman" w:eastAsia="Times New Roman" w:hAnsi="Times New Roman"/>
                  <w:sz w:val="14"/>
                  <w:szCs w:val="14"/>
                  <w:color w:val="0000EE"/>
                </w:rPr>
                <w:t>August 19, 2024).</w:t>
              </w:r>
            </w:hyperlink>
          </w:p>
        </w:tc>
        <w:tc>
          <w:tcPr>
            <w:tcW w:w="4480" w:type="dxa"/>
            <w:vAlign w:val="bottom"/>
            <w:gridSpan w:val="6"/>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00" w:lineRule="exact"/>
        <w:rPr>
          <w:sz w:val="20"/>
          <w:szCs w:val="20"/>
          <w:color w:val="auto"/>
        </w:rPr>
      </w:pPr>
    </w:p>
    <w:p>
      <w:pPr>
        <w:sectPr>
          <w:pgSz w:w="11900" w:h="16838" w:orient="portrait"/>
          <w:cols w:equalWidth="0" w:num="2">
            <w:col w:w="7540" w:space="180"/>
            <w:col w:w="1299"/>
          </w:cols>
          <w:pgMar w:left="1440" w:top="107" w:right="1440" w:bottom="1440" w:gutter="0" w:footer="0" w:header="0"/>
          <w:type w:val="continuous"/>
        </w:sectPr>
      </w:pPr>
    </w:p>
    <w:tbl>
      <w:tblPr>
        <w:tblLayout w:type="fixed"/>
        <w:tblInd w:w="1420" w:type="dxa"/>
        <w:tblCellMar>
          <w:top w:w="0" w:type="dxa"/>
          <w:left w:w="0" w:type="dxa"/>
          <w:bottom w:w="0" w:type="dxa"/>
          <w:right w:w="0" w:type="dxa"/>
        </w:tblCellMar>
      </w:tblPr>
      <w:tr>
        <w:trPr>
          <w:trHeight w:val="174"/>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6000" w:type="dxa"/>
            <w:vAlign w:val="bottom"/>
            <w:gridSpan w:val="5"/>
          </w:tcPr>
          <w:p>
            <w:pPr>
              <w:ind w:left="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92">
              <w:r>
                <w:rPr>
                  <w:rFonts w:ascii="Times New Roman" w:cs="Times New Roman" w:eastAsia="Times New Roman" w:hAnsi="Times New Roman"/>
                  <w:sz w:val="14"/>
                  <w:szCs w:val="14"/>
                  <w:color w:val="0000EE"/>
                </w:rPr>
                <w:t>Specimen Class A Common Stock Certificate of Lucid Group, Inc. (incorporated by reference to</w:t>
              </w:r>
            </w:hyperlink>
            <w:r>
              <w:rPr>
                <w:rFonts w:ascii="Times New Roman" w:cs="Times New Roman" w:eastAsia="Times New Roman" w:hAnsi="Times New Roman"/>
                <w:sz w:val="14"/>
                <w:szCs w:val="14"/>
                <w:color w:val="auto"/>
              </w:rPr>
              <w:t>​</w:t>
            </w:r>
          </w:p>
        </w:tc>
      </w:tr>
      <w:tr>
        <w:trPr>
          <w:trHeight w:val="149"/>
        </w:trPr>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700" w:type="dxa"/>
            <w:vAlign w:val="bottom"/>
            <w:tcBorders>
              <w:top w:val="single" w:sz="8" w:color="0000EE"/>
            </w:tcBorders>
            <w:gridSpan w:val="3"/>
          </w:tcPr>
          <w:p>
            <w:pPr>
              <w:spacing w:after="0" w:line="149" w:lineRule="exact"/>
              <w:rPr>
                <w:rFonts w:ascii="Times New Roman" w:cs="Times New Roman" w:eastAsia="Times New Roman" w:hAnsi="Times New Roman"/>
                <w:sz w:val="14"/>
                <w:szCs w:val="14"/>
                <w:color w:val="0000EE"/>
              </w:rPr>
            </w:pPr>
            <w:hyperlink r:id="rId92">
              <w:r>
                <w:rPr>
                  <w:rFonts w:ascii="Times New Roman" w:cs="Times New Roman" w:eastAsia="Times New Roman" w:hAnsi="Times New Roman"/>
                  <w:sz w:val="14"/>
                  <w:szCs w:val="14"/>
                  <w:color w:val="0000EE"/>
                </w:rPr>
                <w:t>Exhibit 4.1 to the Company’s Current Report on Form 8-K filed on July 26, 2021).</w:t>
              </w:r>
            </w:hyperlink>
          </w:p>
        </w:tc>
        <w:tc>
          <w:tcPr>
            <w:tcW w:w="40" w:type="dxa"/>
            <w:vAlign w:val="bottom"/>
          </w:tcPr>
          <w:p>
            <w:pPr>
              <w:spacing w:after="0"/>
              <w:rPr>
                <w:sz w:val="12"/>
                <w:szCs w:val="12"/>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2"/>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4.2</w:t>
            </w:r>
            <w:r>
              <w:rPr>
                <w:rFonts w:ascii="Times New Roman" w:cs="Times New Roman" w:eastAsia="Times New Roman" w:hAnsi="Times New Roman"/>
                <w:sz w:val="18"/>
                <w:szCs w:val="18"/>
                <w:color w:val="auto"/>
                <w:vertAlign w:val="superscript"/>
              </w:rPr>
              <w:t>*</w:t>
            </w:r>
          </w:p>
        </w:tc>
        <w:tc>
          <w:tcPr>
            <w:tcW w:w="5960" w:type="dxa"/>
            <w:vAlign w:val="bottom"/>
            <w:gridSpan w:val="4"/>
          </w:tcPr>
          <w:p>
            <w:pPr>
              <w:ind w:left="80"/>
              <w:spacing w:after="0" w:line="262"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Form of Depositary Agreement (including form of Depositary Receipt).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4"/>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4.3</w:t>
            </w:r>
          </w:p>
        </w:tc>
        <w:tc>
          <w:tcPr>
            <w:tcW w:w="600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color w:val="0000EE"/>
              </w:rPr>
              <w:t>Form of Indenture for debt securities between the registrant and the trustee to be named therein.</w:t>
            </w:r>
            <w:r>
              <w:rPr>
                <w:rFonts w:ascii="Times New Roman" w:cs="Times New Roman" w:eastAsia="Times New Roman" w:hAnsi="Times New Roman"/>
                <w:sz w:val="14"/>
                <w:szCs w:val="14"/>
                <w:color w:val="auto"/>
              </w:rPr>
              <w:t xml:space="preserve"> ​</w:t>
            </w: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203835</wp:posOffset>
            </wp:positionV>
            <wp:extent cx="53581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38" w:name="page39"/>
    <w:bookmarkEnd w:id="38"/>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33" w:lineRule="exact"/>
        <w:rPr>
          <w:sz w:val="20"/>
          <w:szCs w:val="20"/>
          <w:color w:val="auto"/>
        </w:rPr>
      </w:pPr>
    </w:p>
    <w:tbl>
      <w:tblPr>
        <w:tblLayout w:type="fixed"/>
        <w:tblInd w:w="1280" w:type="dxa"/>
        <w:tblCellMar>
          <w:top w:w="0" w:type="dxa"/>
          <w:left w:w="0" w:type="dxa"/>
          <w:bottom w:w="0" w:type="dxa"/>
          <w:right w:w="0" w:type="dxa"/>
        </w:tblCellMar>
      </w:tblPr>
      <w:tr>
        <w:trPr>
          <w:trHeight w:val="297"/>
        </w:trPr>
        <w:tc>
          <w:tcPr>
            <w:tcW w:w="7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Exhibit No.</w:t>
            </w:r>
            <w:r>
              <w:rPr>
                <w:rFonts w:ascii="Times New Roman" w:cs="Times New Roman" w:eastAsia="Times New Roman" w:hAnsi="Times New Roman"/>
                <w:sz w:val="22"/>
                <w:szCs w:val="22"/>
                <w:b w:val="1"/>
                <w:bCs w:val="1"/>
                <w:color w:val="auto"/>
                <w:vertAlign w:val="subscript"/>
              </w:rPr>
              <w:t>​ ​</w:t>
            </w:r>
          </w:p>
        </w:tc>
        <w:tc>
          <w:tcPr>
            <w:tcW w:w="5720" w:type="dxa"/>
            <w:vAlign w:val="bottom"/>
          </w:tcPr>
          <w:p>
            <w:pPr>
              <w:ind w:left="2320"/>
              <w:spacing w:after="0"/>
              <w:rPr>
                <w:sz w:val="20"/>
                <w:szCs w:val="20"/>
                <w:color w:val="auto"/>
              </w:rPr>
            </w:pPr>
            <w:r>
              <w:rPr>
                <w:rFonts w:ascii="Times New Roman" w:cs="Times New Roman" w:eastAsia="Times New Roman" w:hAnsi="Times New Roman"/>
                <w:sz w:val="11"/>
                <w:szCs w:val="11"/>
                <w:b w:val="1"/>
                <w:bCs w:val="1"/>
                <w:color w:val="auto"/>
              </w:rPr>
              <w:t>Description of Exhibits</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77"/>
        </w:trPr>
        <w:tc>
          <w:tcPr>
            <w:tcW w:w="4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4.4*</w:t>
            </w:r>
          </w:p>
        </w:tc>
        <w:tc>
          <w:tcPr>
            <w:tcW w:w="60" w:type="dxa"/>
            <w:vAlign w:val="bottom"/>
            <w:tcBorders>
              <w:top w:val="single" w:sz="8" w:color="auto"/>
            </w:tcBorders>
          </w:tcPr>
          <w:p>
            <w:pPr>
              <w:spacing w:after="0"/>
              <w:rPr>
                <w:sz w:val="15"/>
                <w:szCs w:val="15"/>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5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Form of Warrant Agreement (including form of Warrant Certificate).</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33"/>
        </w:trPr>
        <w:tc>
          <w:tcPr>
            <w:tcW w:w="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4.5</w:t>
            </w:r>
            <w:r>
              <w:rPr>
                <w:rFonts w:ascii="Times New Roman" w:cs="Times New Roman" w:eastAsia="Times New Roman" w:hAnsi="Times New Roman"/>
                <w:sz w:val="18"/>
                <w:szCs w:val="18"/>
                <w:color w:val="auto"/>
                <w:vertAlign w:val="superscript"/>
              </w:rPr>
              <w:t>*</w:t>
            </w:r>
          </w:p>
        </w:tc>
        <w:tc>
          <w:tcPr>
            <w:tcW w:w="5960" w:type="dxa"/>
            <w:vAlign w:val="bottom"/>
            <w:gridSpan w:val="3"/>
          </w:tcPr>
          <w:p>
            <w:pPr>
              <w:ind w:left="60"/>
              <w:spacing w:after="0" w:line="233"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Form of Subscription Rights Agreement (including form of Subscription Rights Certificate).</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33"/>
        </w:trPr>
        <w:tc>
          <w:tcPr>
            <w:tcW w:w="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4.6</w:t>
            </w:r>
            <w:r>
              <w:rPr>
                <w:rFonts w:ascii="Times New Roman" w:cs="Times New Roman" w:eastAsia="Times New Roman" w:hAnsi="Times New Roman"/>
                <w:sz w:val="18"/>
                <w:szCs w:val="18"/>
                <w:color w:val="auto"/>
                <w:vertAlign w:val="superscript"/>
              </w:rPr>
              <w:t>*</w:t>
            </w:r>
          </w:p>
        </w:tc>
        <w:tc>
          <w:tcPr>
            <w:tcW w:w="5960" w:type="dxa"/>
            <w:vAlign w:val="bottom"/>
            <w:gridSpan w:val="3"/>
          </w:tcPr>
          <w:p>
            <w:pPr>
              <w:ind w:left="60"/>
              <w:spacing w:after="0" w:line="233"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Form of Purchase Contract Agreement (including form of Purchase Contract Certificate).</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60"/>
        </w:trPr>
        <w:tc>
          <w:tcPr>
            <w:tcW w:w="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4.7</w:t>
            </w:r>
            <w:r>
              <w:rPr>
                <w:rFonts w:ascii="Times New Roman" w:cs="Times New Roman" w:eastAsia="Times New Roman" w:hAnsi="Times New Roman"/>
                <w:sz w:val="18"/>
                <w:szCs w:val="18"/>
                <w:color w:val="auto"/>
                <w:vertAlign w:val="superscript"/>
              </w:rPr>
              <w:t>*</w:t>
            </w:r>
          </w:p>
        </w:tc>
        <w:tc>
          <w:tcPr>
            <w:tcW w:w="5960" w:type="dxa"/>
            <w:vAlign w:val="bottom"/>
            <w:gridSpan w:val="3"/>
          </w:tcPr>
          <w:p>
            <w:pPr>
              <w:ind w:left="60"/>
              <w:spacing w:after="0" w:line="259"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Form of Purchase Unit Agreement (including form of Purchase Unit Certificate).</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1" w:lineRule="exact"/>
        <w:rPr>
          <w:sz w:val="20"/>
          <w:szCs w:val="20"/>
          <w:color w:val="auto"/>
        </w:rPr>
      </w:pPr>
    </w:p>
    <w:p>
      <w:pPr>
        <w:sectPr>
          <w:pgSz w:w="11900" w:h="16838" w:orient="portrait"/>
          <w:cols w:equalWidth="0" w:num="1">
            <w:col w:w="9019"/>
          </w:cols>
          <w:pgMar w:left="1440" w:top="107" w:right="1440" w:bottom="1440" w:gutter="0" w:footer="0" w:header="0"/>
        </w:sectPr>
      </w:pPr>
    </w:p>
    <w:tbl>
      <w:tblPr>
        <w:tblLayout w:type="fixed"/>
        <w:tblInd w:w="1420" w:type="dxa"/>
        <w:tblCellMar>
          <w:top w:w="0" w:type="dxa"/>
          <w:left w:w="0" w:type="dxa"/>
          <w:bottom w:w="0" w:type="dxa"/>
          <w:right w:w="0" w:type="dxa"/>
        </w:tblCellMar>
      </w:tblPr>
      <w:tr>
        <w:trPr>
          <w:trHeight w:val="158"/>
        </w:trPr>
        <w:tc>
          <w:tcPr>
            <w:tcW w:w="3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4.8</w:t>
            </w:r>
          </w:p>
        </w:tc>
        <w:tc>
          <w:tcPr>
            <w:tcW w:w="5940" w:type="dxa"/>
            <w:vAlign w:val="bottom"/>
            <w:gridSpan w:val="9"/>
          </w:tcPr>
          <w:p>
            <w:pPr>
              <w:ind w:left="60"/>
              <w:spacing w:after="0" w:line="157"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94">
              <w:r>
                <w:rPr>
                  <w:rFonts w:ascii="Times New Roman" w:cs="Times New Roman" w:eastAsia="Times New Roman" w:hAnsi="Times New Roman"/>
                  <w:sz w:val="14"/>
                  <w:szCs w:val="14"/>
                  <w:color w:val="0000EE"/>
                </w:rPr>
                <w:t>Investor Rights Agreement, dated as of February 22, 2021, by and among Churchill Capital</w:t>
              </w:r>
            </w:hyperlink>
          </w:p>
        </w:tc>
      </w:tr>
      <w:tr>
        <w:trPr>
          <w:trHeight w:val="149"/>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0" w:type="dxa"/>
            <w:vAlign w:val="bottom"/>
            <w:tcBorders>
              <w:top w:val="single" w:sz="8" w:color="0000EE"/>
            </w:tcBorders>
            <w:gridSpan w:val="5"/>
          </w:tcPr>
          <w:p>
            <w:pPr>
              <w:spacing w:after="0" w:line="149"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Corp IV, Ayar Third Investment Company, Churchill Sponsor IV LLC and the other parties</w:t>
              </w:r>
            </w:hyperlink>
          </w:p>
        </w:tc>
        <w:tc>
          <w:tcPr>
            <w:tcW w:w="300" w:type="dxa"/>
            <w:vAlign w:val="bottom"/>
            <w:gridSpan w:val="3"/>
          </w:tcPr>
          <w:p>
            <w:pPr>
              <w:spacing w:after="0"/>
              <w:rPr>
                <w:sz w:val="12"/>
                <w:szCs w:val="12"/>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9"/>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700" w:type="dxa"/>
            <w:vAlign w:val="bottom"/>
            <w:tcBorders>
              <w:bottom w:val="single" w:sz="8" w:color="0000EE"/>
            </w:tcBorders>
            <w:gridSpan w:val="8"/>
          </w:tcPr>
          <w:p>
            <w:pPr>
              <w:spacing w:after="0" w:line="149"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named therein (incorporated by reference to Exhibit 10.1 to Churchill Capital Corp IV’s Current</w:t>
              </w:r>
            </w:hyperlink>
          </w:p>
        </w:tc>
      </w:tr>
      <w:tr>
        <w:trPr>
          <w:trHeight w:val="149"/>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700" w:type="dxa"/>
            <w:vAlign w:val="bottom"/>
            <w:gridSpan w:val="8"/>
          </w:tcPr>
          <w:p>
            <w:pPr>
              <w:spacing w:after="0" w:line="149"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Report on Form 8-K filed February 22, 2021).</w:t>
              </w:r>
            </w:hyperlink>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2"/>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4.9</w:t>
            </w:r>
          </w:p>
        </w:tc>
        <w:tc>
          <w:tcPr>
            <w:tcW w:w="5940" w:type="dxa"/>
            <w:vAlign w:val="bottom"/>
            <w:gridSpan w:val="9"/>
          </w:tcPr>
          <w:p>
            <w:pPr>
              <w:ind w:left="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95">
              <w:r>
                <w:rPr>
                  <w:rFonts w:ascii="Times New Roman" w:cs="Times New Roman" w:eastAsia="Times New Roman" w:hAnsi="Times New Roman"/>
                  <w:sz w:val="14"/>
                  <w:szCs w:val="14"/>
                  <w:color w:val="0000EE"/>
                </w:rPr>
                <w:t>Amendment No. 1 to the Investor Rights Agreement, dated November 8, 2022, between Lucid</w:t>
              </w:r>
            </w:hyperlink>
          </w:p>
        </w:tc>
      </w:tr>
      <w:tr>
        <w:trPr>
          <w:trHeight w:val="149"/>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60" w:type="dxa"/>
            <w:vAlign w:val="bottom"/>
            <w:tcBorders>
              <w:top w:val="single" w:sz="8" w:color="0000EE"/>
              <w:bottom w:val="single" w:sz="8" w:color="0000EE"/>
            </w:tcBorders>
            <w:gridSpan w:val="6"/>
          </w:tcPr>
          <w:p>
            <w:pPr>
              <w:spacing w:after="0" w:line="149" w:lineRule="exact"/>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Group, Inc., Ayar Third Investment Company and the other parties thereto (incorporated by</w:t>
              </w:r>
            </w:hyperlink>
          </w:p>
        </w:tc>
        <w:tc>
          <w:tcPr>
            <w:tcW w:w="120" w:type="dxa"/>
            <w:vAlign w:val="bottom"/>
            <w:tcBorders>
              <w:top w:val="single" w:sz="8" w:color="0000EE"/>
            </w:tcBorders>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0" w:type="dxa"/>
            <w:vAlign w:val="bottom"/>
            <w:tcBorders>
              <w:bottom w:val="single" w:sz="8" w:color="0000EE"/>
            </w:tcBorders>
            <w:gridSpan w:val="5"/>
          </w:tcPr>
          <w:p>
            <w:pPr>
              <w:spacing w:after="0" w:line="149" w:lineRule="exact"/>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reference to Exhibit 10.2 to the Company’s Current Report on Form 8-K filed November 8,</w:t>
              </w:r>
            </w:hyperlink>
          </w:p>
        </w:tc>
        <w:tc>
          <w:tcPr>
            <w:tcW w:w="300" w:type="dxa"/>
            <w:vAlign w:val="bottom"/>
            <w:gridSpan w:val="3"/>
          </w:tcPr>
          <w:p>
            <w:pPr>
              <w:spacing w:after="0"/>
              <w:rPr>
                <w:sz w:val="12"/>
                <w:szCs w:val="12"/>
                <w:color w:val="auto"/>
              </w:rPr>
            </w:pPr>
          </w:p>
        </w:tc>
      </w:tr>
      <w:tr>
        <w:trPr>
          <w:trHeight w:val="149"/>
        </w:trPr>
        <w:tc>
          <w:tcPr>
            <w:tcW w:w="340" w:type="dxa"/>
            <w:vAlign w:val="bottom"/>
          </w:tcPr>
          <w:p>
            <w:pPr>
              <w:spacing w:after="0"/>
              <w:rPr>
                <w:sz w:val="12"/>
                <w:szCs w:val="12"/>
                <w:color w:val="auto"/>
              </w:rPr>
            </w:pPr>
          </w:p>
        </w:tc>
        <w:tc>
          <w:tcPr>
            <w:tcW w:w="620" w:type="dxa"/>
            <w:vAlign w:val="bottom"/>
            <w:gridSpan w:val="2"/>
          </w:tcPr>
          <w:p>
            <w:pPr>
              <w:ind w:left="240"/>
              <w:spacing w:after="0" w:line="149" w:lineRule="exact"/>
              <w:rPr>
                <w:rFonts w:ascii="Times New Roman" w:cs="Times New Roman" w:eastAsia="Times New Roman" w:hAnsi="Times New Roman"/>
                <w:sz w:val="14"/>
                <w:szCs w:val="14"/>
                <w:color w:val="0000EE"/>
                <w:w w:val="99"/>
              </w:rPr>
            </w:pPr>
            <w:hyperlink r:id="rId95">
              <w:r>
                <w:rPr>
                  <w:rFonts w:ascii="Times New Roman" w:cs="Times New Roman" w:eastAsia="Times New Roman" w:hAnsi="Times New Roman"/>
                  <w:sz w:val="14"/>
                  <w:szCs w:val="14"/>
                  <w:color w:val="0000EE"/>
                  <w:w w:val="99"/>
                </w:rPr>
                <w:t>2022).</w:t>
              </w:r>
            </w:hyperlink>
          </w:p>
        </w:tc>
        <w:tc>
          <w:tcPr>
            <w:tcW w:w="23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2"/>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4.10</w:t>
            </w:r>
          </w:p>
        </w:tc>
        <w:tc>
          <w:tcPr>
            <w:tcW w:w="5940" w:type="dxa"/>
            <w:vAlign w:val="bottom"/>
            <w:gridSpan w:val="9"/>
          </w:tcPr>
          <w:p>
            <w:pPr>
              <w:ind w:left="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96">
              <w:r>
                <w:rPr>
                  <w:rFonts w:ascii="Times New Roman" w:cs="Times New Roman" w:eastAsia="Times New Roman" w:hAnsi="Times New Roman"/>
                  <w:sz w:val="14"/>
                  <w:szCs w:val="14"/>
                  <w:color w:val="0000EE"/>
                </w:rPr>
                <w:t>Amendment No. 2 to the Investor Rights Agreement, dated May 31, 2023, between Lucid</w:t>
              </w:r>
            </w:hyperlink>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0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49"/>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60" w:type="dxa"/>
            <w:vAlign w:val="bottom"/>
            <w:tcBorders>
              <w:bottom w:val="single" w:sz="8" w:color="0000EE"/>
            </w:tcBorders>
            <w:gridSpan w:val="6"/>
          </w:tcPr>
          <w:p>
            <w:pPr>
              <w:spacing w:after="0" w:line="149" w:lineRule="exact"/>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Group, Inc., Ayar Third Investment Company and the other parties thereto (incorporated by</w:t>
              </w:r>
            </w:hyperlink>
          </w:p>
        </w:tc>
        <w:tc>
          <w:tcPr>
            <w:tcW w:w="240" w:type="dxa"/>
            <w:vAlign w:val="bottom"/>
            <w:gridSpan w:val="2"/>
          </w:tcPr>
          <w:p>
            <w:pPr>
              <w:spacing w:after="0"/>
              <w:rPr>
                <w:sz w:val="12"/>
                <w:szCs w:val="12"/>
                <w:color w:val="auto"/>
              </w:rPr>
            </w:pPr>
          </w:p>
        </w:tc>
      </w:tr>
      <w:tr>
        <w:trPr>
          <w:trHeight w:val="149"/>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700" w:type="dxa"/>
            <w:vAlign w:val="bottom"/>
            <w:gridSpan w:val="8"/>
          </w:tcPr>
          <w:p>
            <w:pPr>
              <w:spacing w:after="0" w:line="149" w:lineRule="exact"/>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reference to Exhibit 10.2 to the Company’s Current Report on Form 8-K filed June 5, 2023).</w:t>
              </w:r>
            </w:hyperlink>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90" w:lineRule="exact"/>
        <w:rPr>
          <w:sz w:val="20"/>
          <w:szCs w:val="20"/>
          <w:color w:val="auto"/>
        </w:rPr>
      </w:pPr>
    </w:p>
    <w:p>
      <w:pPr>
        <w:sectPr>
          <w:pgSz w:w="11900" w:h="16838" w:orient="portrait"/>
          <w:cols w:equalWidth="0" w:num="2">
            <w:col w:w="7700" w:space="20"/>
            <w:col w:w="1299"/>
          </w:cols>
          <w:pgMar w:left="1440" w:top="107" w:right="1440" w:bottom="1440" w:gutter="0" w:footer="0" w:header="0"/>
          <w:type w:val="continuous"/>
        </w:sectPr>
      </w:pPr>
    </w:p>
    <w:tbl>
      <w:tblPr>
        <w:tblLayout w:type="fixed"/>
        <w:tblInd w:w="1360" w:type="dxa"/>
        <w:tblCellMar>
          <w:top w:w="0" w:type="dxa"/>
          <w:left w:w="0" w:type="dxa"/>
          <w:bottom w:w="0" w:type="dxa"/>
          <w:right w:w="0" w:type="dxa"/>
        </w:tblCellMar>
      </w:tblPr>
      <w:tr>
        <w:trPr>
          <w:trHeight w:val="174"/>
        </w:trPr>
        <w:tc>
          <w:tcPr>
            <w:tcW w:w="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4.11</w:t>
            </w:r>
          </w:p>
        </w:tc>
        <w:tc>
          <w:tcPr>
            <w:tcW w:w="5940" w:type="dxa"/>
            <w:vAlign w:val="bottom"/>
            <w:gridSpan w:val="11"/>
          </w:tcPr>
          <w:p>
            <w:pPr>
              <w:ind w:left="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97">
              <w:r>
                <w:rPr>
                  <w:rFonts w:ascii="Times New Roman" w:cs="Times New Roman" w:eastAsia="Times New Roman" w:hAnsi="Times New Roman"/>
                  <w:sz w:val="14"/>
                  <w:szCs w:val="14"/>
                  <w:color w:val="0000EE"/>
                </w:rPr>
                <w:t>Amendment No. 3 to the Investor Rights Agreement, dated March 24, 2024, between Lucid</w:t>
              </w:r>
            </w:hyperlink>
          </w:p>
        </w:tc>
      </w:tr>
      <w:tr>
        <w:trPr>
          <w:trHeight w:val="149"/>
        </w:trPr>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20" w:type="dxa"/>
            <w:vAlign w:val="bottom"/>
            <w:tcBorders>
              <w:top w:val="single" w:sz="8" w:color="0000EE"/>
              <w:bottom w:val="single" w:sz="8" w:color="0000EE"/>
            </w:tcBorders>
            <w:gridSpan w:val="6"/>
          </w:tcPr>
          <w:p>
            <w:pPr>
              <w:spacing w:after="0" w:line="149" w:lineRule="exact"/>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Group, Inc., Ayar Third Investment Company and the other parties thereto (incorporated by</w:t>
              </w:r>
            </w:hyperlink>
          </w:p>
        </w:tc>
        <w:tc>
          <w:tcPr>
            <w:tcW w:w="20" w:type="dxa"/>
            <w:vAlign w:val="bottom"/>
            <w:tcBorders>
              <w:top w:val="single" w:sz="8" w:color="0000EE"/>
            </w:tcBorders>
          </w:tcPr>
          <w:p>
            <w:pPr>
              <w:spacing w:after="0"/>
              <w:rPr>
                <w:sz w:val="12"/>
                <w:szCs w:val="12"/>
                <w:color w:val="auto"/>
              </w:rPr>
            </w:pPr>
          </w:p>
        </w:tc>
        <w:tc>
          <w:tcPr>
            <w:tcW w:w="260" w:type="dxa"/>
            <w:vAlign w:val="bottom"/>
            <w:gridSpan w:val="3"/>
          </w:tcPr>
          <w:p>
            <w:pPr>
              <w:spacing w:after="0"/>
              <w:rPr>
                <w:sz w:val="12"/>
                <w:szCs w:val="12"/>
                <w:color w:val="auto"/>
              </w:rPr>
            </w:pPr>
          </w:p>
        </w:tc>
      </w:tr>
      <w:tr>
        <w:trPr>
          <w:trHeight w:val="149"/>
        </w:trPr>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60" w:type="dxa"/>
            <w:vAlign w:val="bottom"/>
            <w:tcBorders>
              <w:bottom w:val="single" w:sz="8" w:color="0000EE"/>
            </w:tcBorders>
            <w:gridSpan w:val="9"/>
          </w:tcPr>
          <w:p>
            <w:pPr>
              <w:spacing w:after="0" w:line="149" w:lineRule="exact"/>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reference to Exhibit 10.1 to the Company’s Current Report on Form 8-K filed March 29, 2024).</w:t>
              </w:r>
            </w:hyperlink>
          </w:p>
        </w:tc>
        <w:tc>
          <w:tcPr>
            <w:tcW w:w="40" w:type="dxa"/>
            <w:vAlign w:val="bottom"/>
          </w:tcPr>
          <w:p>
            <w:pPr>
              <w:spacing w:after="0"/>
              <w:rPr>
                <w:sz w:val="12"/>
                <w:szCs w:val="12"/>
                <w:color w:val="auto"/>
              </w:rPr>
            </w:pPr>
          </w:p>
        </w:tc>
      </w:tr>
      <w:tr>
        <w:trPr>
          <w:trHeight w:val="192"/>
        </w:trPr>
        <w:tc>
          <w:tcPr>
            <w:tcW w:w="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4.12</w:t>
            </w:r>
          </w:p>
        </w:tc>
        <w:tc>
          <w:tcPr>
            <w:tcW w:w="5940" w:type="dxa"/>
            <w:vAlign w:val="bottom"/>
            <w:gridSpan w:val="11"/>
          </w:tcPr>
          <w:p>
            <w:pPr>
              <w:ind w:left="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98">
              <w:r>
                <w:rPr>
                  <w:rFonts w:ascii="Times New Roman" w:cs="Times New Roman" w:eastAsia="Times New Roman" w:hAnsi="Times New Roman"/>
                  <w:sz w:val="14"/>
                  <w:szCs w:val="14"/>
                  <w:color w:val="0000EE"/>
                </w:rPr>
                <w:t>Amendment No. 4 to the Investor Rights Agreement, dated August 16, 2024, between Lucid</w:t>
              </w:r>
            </w:hyperlink>
          </w:p>
        </w:tc>
      </w:tr>
      <w:tr>
        <w:trPr>
          <w:trHeight w:val="149"/>
        </w:trPr>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20" w:type="dxa"/>
            <w:vAlign w:val="bottom"/>
            <w:tcBorders>
              <w:top w:val="single" w:sz="8" w:color="0000EE"/>
              <w:bottom w:val="single" w:sz="8" w:color="0000EE"/>
            </w:tcBorders>
            <w:gridSpan w:val="6"/>
          </w:tcPr>
          <w:p>
            <w:pPr>
              <w:spacing w:after="0" w:line="149" w:lineRule="exact"/>
              <w:rPr>
                <w:rFonts w:ascii="Times New Roman" w:cs="Times New Roman" w:eastAsia="Times New Roman" w:hAnsi="Times New Roman"/>
                <w:sz w:val="14"/>
                <w:szCs w:val="14"/>
                <w:color w:val="0000EE"/>
              </w:rPr>
            </w:pPr>
            <w:hyperlink r:id="rId98">
              <w:r>
                <w:rPr>
                  <w:rFonts w:ascii="Times New Roman" w:cs="Times New Roman" w:eastAsia="Times New Roman" w:hAnsi="Times New Roman"/>
                  <w:sz w:val="14"/>
                  <w:szCs w:val="14"/>
                  <w:color w:val="0000EE"/>
                </w:rPr>
                <w:t>Group, Inc., Ayar Third Investment Company and the other parties thereto (incorporated by</w:t>
              </w:r>
            </w:hyperlink>
          </w:p>
        </w:tc>
        <w:tc>
          <w:tcPr>
            <w:tcW w:w="40" w:type="dxa"/>
            <w:vAlign w:val="bottom"/>
            <w:tcBorders>
              <w:top w:val="single" w:sz="8" w:color="0000EE"/>
            </w:tcBorders>
            <w:gridSpan w:val="2"/>
          </w:tcPr>
          <w:p>
            <w:pPr>
              <w:spacing w:after="0"/>
              <w:rPr>
                <w:sz w:val="12"/>
                <w:szCs w:val="12"/>
                <w:color w:val="auto"/>
              </w:rPr>
            </w:pPr>
          </w:p>
        </w:tc>
        <w:tc>
          <w:tcPr>
            <w:tcW w:w="240" w:type="dxa"/>
            <w:vAlign w:val="bottom"/>
            <w:gridSpan w:val="2"/>
          </w:tcPr>
          <w:p>
            <w:pPr>
              <w:spacing w:after="0"/>
              <w:rPr>
                <w:sz w:val="12"/>
                <w:szCs w:val="12"/>
                <w:color w:val="auto"/>
              </w:rPr>
            </w:pPr>
          </w:p>
        </w:tc>
      </w:tr>
      <w:tr>
        <w:trPr>
          <w:trHeight w:val="149"/>
        </w:trPr>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700" w:type="dxa"/>
            <w:vAlign w:val="bottom"/>
            <w:tcBorders>
              <w:bottom w:val="single" w:sz="8" w:color="0000EE"/>
            </w:tcBorders>
            <w:gridSpan w:val="10"/>
          </w:tcPr>
          <w:p>
            <w:pPr>
              <w:spacing w:after="0" w:line="149" w:lineRule="exact"/>
              <w:rPr>
                <w:rFonts w:ascii="Times New Roman" w:cs="Times New Roman" w:eastAsia="Times New Roman" w:hAnsi="Times New Roman"/>
                <w:sz w:val="14"/>
                <w:szCs w:val="14"/>
                <w:color w:val="0000EE"/>
              </w:rPr>
            </w:pPr>
            <w:hyperlink r:id="rId98">
              <w:r>
                <w:rPr>
                  <w:rFonts w:ascii="Times New Roman" w:cs="Times New Roman" w:eastAsia="Times New Roman" w:hAnsi="Times New Roman"/>
                  <w:sz w:val="14"/>
                  <w:szCs w:val="14"/>
                  <w:color w:val="0000EE"/>
                </w:rPr>
                <w:t>reference to Exhibit 10.1 to the Company’s Current Report on Form 8-K filed August 19, 2024).</w:t>
              </w:r>
            </w:hyperlink>
          </w:p>
        </w:tc>
      </w:tr>
      <w:tr>
        <w:trPr>
          <w:trHeight w:val="202"/>
        </w:trPr>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5.1</w:t>
            </w:r>
          </w:p>
        </w:tc>
        <w:tc>
          <w:tcPr>
            <w:tcW w:w="5940" w:type="dxa"/>
            <w:vAlign w:val="bottom"/>
            <w:gridSpan w:val="11"/>
          </w:tcPr>
          <w:p>
            <w:pPr>
              <w:ind w:left="60"/>
              <w:spacing w:after="0" w:line="202" w:lineRule="exact"/>
              <w:rPr>
                <w:sz w:val="20"/>
                <w:szCs w:val="20"/>
                <w:color w:val="auto"/>
              </w:rPr>
            </w:pPr>
            <w:r>
              <w:rPr>
                <w:rFonts w:ascii="Times New Roman" w:cs="Times New Roman" w:eastAsia="Times New Roman" w:hAnsi="Times New Roman"/>
                <w:sz w:val="23"/>
                <w:szCs w:val="23"/>
                <w:color w:val="000000"/>
                <w:vertAlign w:val="superscript"/>
              </w:rPr>
              <w:t>​ ​</w:t>
            </w:r>
            <w:r>
              <w:rPr>
                <w:rFonts w:ascii="Times New Roman" w:cs="Times New Roman" w:eastAsia="Times New Roman" w:hAnsi="Times New Roman"/>
                <w:sz w:val="12"/>
                <w:szCs w:val="12"/>
                <w:color w:val="0000EE"/>
              </w:rPr>
              <w:t xml:space="preserve"> Opinion of Skadden, Arps, Slate, Meagher &amp; Flom LLP.</w:t>
            </w:r>
          </w:p>
        </w:tc>
      </w:tr>
      <w:tr>
        <w:trPr>
          <w:trHeight w:val="20"/>
        </w:trPr>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r>
      <w:tr>
        <w:trPr>
          <w:trHeight w:val="192"/>
        </w:trPr>
        <w:tc>
          <w:tcPr>
            <w:tcW w:w="4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7"/>
              </w:rPr>
              <w:t>23.1</w:t>
            </w:r>
          </w:p>
        </w:tc>
        <w:tc>
          <w:tcPr>
            <w:tcW w:w="5940" w:type="dxa"/>
            <w:vAlign w:val="bottom"/>
            <w:gridSpan w:val="11"/>
          </w:tcPr>
          <w:p>
            <w:pPr>
              <w:ind w:left="60"/>
              <w:spacing w:after="0" w:line="191"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Consent of KPMG LLC, Independent Registered Public Accounting Firm.</w:t>
            </w:r>
          </w:p>
        </w:tc>
      </w:tr>
      <w:tr>
        <w:trPr>
          <w:trHeight w:val="20"/>
        </w:trPr>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r>
      <w:tr>
        <w:trPr>
          <w:trHeight w:val="192"/>
        </w:trPr>
        <w:tc>
          <w:tcPr>
            <w:tcW w:w="4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7"/>
              </w:rPr>
              <w:t>23.2</w:t>
            </w:r>
          </w:p>
        </w:tc>
        <w:tc>
          <w:tcPr>
            <w:tcW w:w="5940" w:type="dxa"/>
            <w:vAlign w:val="bottom"/>
            <w:gridSpan w:val="11"/>
          </w:tcPr>
          <w:p>
            <w:pPr>
              <w:ind w:left="60"/>
              <w:spacing w:after="0" w:line="191"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Consent of Grant Thornton LLP, Independent Registered Public Accounting Firm.</w:t>
            </w:r>
          </w:p>
        </w:tc>
      </w:tr>
      <w:tr>
        <w:trPr>
          <w:trHeight w:val="20"/>
        </w:trPr>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5"/>
          </w:tcPr>
          <w:p>
            <w:pPr>
              <w:spacing w:after="0" w:line="20" w:lineRule="exact"/>
              <w:rPr>
                <w:sz w:val="1"/>
                <w:szCs w:val="1"/>
                <w:color w:val="auto"/>
              </w:rPr>
            </w:pPr>
          </w:p>
        </w:tc>
      </w:tr>
      <w:tr>
        <w:trPr>
          <w:trHeight w:val="202"/>
        </w:trPr>
        <w:tc>
          <w:tcPr>
            <w:tcW w:w="4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7"/>
              </w:rPr>
              <w:t>23.3</w:t>
            </w:r>
          </w:p>
        </w:tc>
        <w:tc>
          <w:tcPr>
            <w:tcW w:w="5940" w:type="dxa"/>
            <w:vAlign w:val="bottom"/>
            <w:gridSpan w:val="11"/>
          </w:tcPr>
          <w:p>
            <w:pPr>
              <w:ind w:left="60"/>
              <w:spacing w:after="0" w:line="202" w:lineRule="exact"/>
              <w:rPr>
                <w:sz w:val="20"/>
                <w:szCs w:val="20"/>
                <w:color w:val="auto"/>
              </w:rPr>
            </w:pPr>
            <w:r>
              <w:rPr>
                <w:rFonts w:ascii="Times New Roman" w:cs="Times New Roman" w:eastAsia="Times New Roman" w:hAnsi="Times New Roman"/>
                <w:sz w:val="23"/>
                <w:szCs w:val="23"/>
                <w:color w:val="000000"/>
                <w:vertAlign w:val="superscript"/>
              </w:rPr>
              <w:t>​ ​</w:t>
            </w:r>
            <w:r>
              <w:rPr>
                <w:rFonts w:ascii="Times New Roman" w:cs="Times New Roman" w:eastAsia="Times New Roman" w:hAnsi="Times New Roman"/>
                <w:sz w:val="12"/>
                <w:szCs w:val="12"/>
                <w:color w:val="0000EE"/>
              </w:rPr>
              <w:t xml:space="preserve"> Consent of Skadden, Arps, Slate, Meagher &amp; Flom LLP (included in Exhibit 5.1).</w:t>
            </w:r>
          </w:p>
        </w:tc>
      </w:tr>
      <w:tr>
        <w:trPr>
          <w:trHeight w:val="20"/>
        </w:trPr>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r>
      <w:tr>
        <w:trPr>
          <w:trHeight w:val="202"/>
        </w:trPr>
        <w:tc>
          <w:tcPr>
            <w:tcW w:w="4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7"/>
              </w:rPr>
              <w:t>24.1</w:t>
            </w:r>
          </w:p>
        </w:tc>
        <w:tc>
          <w:tcPr>
            <w:tcW w:w="5940" w:type="dxa"/>
            <w:vAlign w:val="bottom"/>
            <w:gridSpan w:val="11"/>
          </w:tcPr>
          <w:p>
            <w:pPr>
              <w:ind w:left="60"/>
              <w:spacing w:after="0" w:line="202" w:lineRule="exact"/>
              <w:rPr>
                <w:sz w:val="20"/>
                <w:szCs w:val="20"/>
                <w:color w:val="auto"/>
              </w:rPr>
            </w:pPr>
            <w:r>
              <w:rPr>
                <w:rFonts w:ascii="Times New Roman" w:cs="Times New Roman" w:eastAsia="Times New Roman" w:hAnsi="Times New Roman"/>
                <w:sz w:val="23"/>
                <w:szCs w:val="23"/>
                <w:color w:val="000000"/>
                <w:vertAlign w:val="superscript"/>
              </w:rPr>
              <w:t>​ ​</w:t>
            </w:r>
            <w:r>
              <w:rPr>
                <w:rFonts w:ascii="Times New Roman" w:cs="Times New Roman" w:eastAsia="Times New Roman" w:hAnsi="Times New Roman"/>
                <w:sz w:val="12"/>
                <w:szCs w:val="12"/>
                <w:color w:val="0000EE"/>
              </w:rPr>
              <w:t xml:space="preserve"> Powers of Attorney (included on signature pages hereto).</w:t>
            </w:r>
          </w:p>
        </w:tc>
      </w:tr>
      <w:tr>
        <w:trPr>
          <w:trHeight w:val="20"/>
        </w:trPr>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r>
      <w:tr>
        <w:trPr>
          <w:trHeight w:val="202"/>
        </w:trPr>
        <w:tc>
          <w:tcPr>
            <w:tcW w:w="4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7"/>
              </w:rPr>
              <w:t>25.1</w:t>
            </w:r>
          </w:p>
        </w:tc>
        <w:tc>
          <w:tcPr>
            <w:tcW w:w="5940" w:type="dxa"/>
            <w:vAlign w:val="bottom"/>
            <w:gridSpan w:val="11"/>
          </w:tcPr>
          <w:p>
            <w:pPr>
              <w:ind w:left="60"/>
              <w:spacing w:after="0" w:line="202" w:lineRule="exact"/>
              <w:rPr>
                <w:sz w:val="20"/>
                <w:szCs w:val="20"/>
                <w:color w:val="auto"/>
              </w:rPr>
            </w:pPr>
            <w:r>
              <w:rPr>
                <w:rFonts w:ascii="Times New Roman" w:cs="Times New Roman" w:eastAsia="Times New Roman" w:hAnsi="Times New Roman"/>
                <w:sz w:val="23"/>
                <w:szCs w:val="23"/>
                <w:color w:val="000000"/>
                <w:vertAlign w:val="superscript"/>
              </w:rPr>
              <w:t>​ ​</w:t>
            </w:r>
            <w:r>
              <w:rPr>
                <w:rFonts w:ascii="Times New Roman" w:cs="Times New Roman" w:eastAsia="Times New Roman" w:hAnsi="Times New Roman"/>
                <w:sz w:val="12"/>
                <w:szCs w:val="12"/>
                <w:color w:val="0000EE"/>
              </w:rPr>
              <w:t xml:space="preserve"> Statement of Eligibility on Form T-1 of trustee under the Indenture.</w:t>
            </w:r>
          </w:p>
        </w:tc>
      </w:tr>
      <w:tr>
        <w:trPr>
          <w:trHeight w:val="20"/>
        </w:trPr>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 w:lineRule="exact"/>
        <w:rPr>
          <w:sz w:val="20"/>
          <w:szCs w:val="20"/>
          <w:color w:val="auto"/>
        </w:rPr>
      </w:pPr>
    </w:p>
    <w:p>
      <w:pPr>
        <w:ind w:left="1820" w:hanging="535"/>
        <w:spacing w:after="0"/>
        <w:tabs>
          <w:tab w:leader="none" w:pos="18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67310</wp:posOffset>
            </wp:positionV>
            <wp:extent cx="96837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188" w:lineRule="exact"/>
        <w:rPr>
          <w:sz w:val="20"/>
          <w:szCs w:val="20"/>
          <w:color w:val="auto"/>
        </w:rPr>
      </w:pPr>
    </w:p>
    <w:p>
      <w:pPr>
        <w:ind w:left="1560" w:right="100" w:hanging="275"/>
        <w:spacing w:after="0" w:line="286" w:lineRule="auto"/>
        <w:tabs>
          <w:tab w:leader="none" w:pos="15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to the Registration Statement or incorporated by reference from documents filed or to be filed with the SEC under the Securities Exchange Act of 1934, as amended.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875" w:lineRule="exact"/>
        <w:rPr>
          <w:sz w:val="20"/>
          <w:szCs w:val="20"/>
          <w:color w:val="auto"/>
        </w:rPr>
      </w:pPr>
    </w:p>
    <w:p>
      <w:pPr>
        <w:sectPr>
          <w:pgSz w:w="11900" w:h="16838" w:orient="portrait"/>
          <w:cols w:equalWidth="0" w:num="2">
            <w:col w:w="7700" w:space="20"/>
            <w:col w:w="1299"/>
          </w:cols>
          <w:pgMar w:left="1440" w:top="107" w:right="1440"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1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14" w:lineRule="exact"/>
        <w:rPr>
          <w:sz w:val="20"/>
          <w:szCs w:val="20"/>
          <w:color w:val="auto"/>
        </w:rPr>
      </w:pPr>
    </w:p>
    <w:p>
      <w:pPr>
        <w:ind w:left="1840" w:right="1419" w:hanging="273"/>
        <w:spacing w:after="0" w:line="286" w:lineRule="auto"/>
        <w:tabs>
          <w:tab w:leader="none" w:pos="1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61" w:lineRule="exact"/>
        <w:rPr>
          <w:rFonts w:ascii="Times New Roman" w:cs="Times New Roman" w:eastAsia="Times New Roman" w:hAnsi="Times New Roman"/>
          <w:sz w:val="14"/>
          <w:szCs w:val="14"/>
          <w:color w:val="auto"/>
        </w:rPr>
      </w:pPr>
    </w:p>
    <w:p>
      <w:pPr>
        <w:ind w:left="2140" w:hanging="290"/>
        <w:spacing w:after="0"/>
        <w:tabs>
          <w:tab w:leader="none" w:pos="214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14" w:lineRule="exact"/>
        <w:rPr>
          <w:rFonts w:ascii="Times New Roman" w:cs="Times New Roman" w:eastAsia="Times New Roman" w:hAnsi="Times New Roman"/>
          <w:sz w:val="14"/>
          <w:szCs w:val="14"/>
          <w:color w:val="auto"/>
        </w:rPr>
      </w:pPr>
    </w:p>
    <w:p>
      <w:pPr>
        <w:ind w:left="2140" w:right="1439" w:hanging="290"/>
        <w:spacing w:after="0" w:line="256" w:lineRule="auto"/>
        <w:tabs>
          <w:tab w:leader="none" w:pos="214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39" w:name="page40"/>
    <w:bookmarkEnd w:id="39"/>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140" w:right="1559" w:hanging="290"/>
        <w:spacing w:after="0" w:line="269" w:lineRule="auto"/>
        <w:tabs>
          <w:tab w:leader="none" w:pos="2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84" w:lineRule="exact"/>
        <w:rPr>
          <w:sz w:val="20"/>
          <w:szCs w:val="20"/>
          <w:color w:val="auto"/>
        </w:rPr>
      </w:pPr>
    </w:p>
    <w:p>
      <w:pPr>
        <w:ind w:left="1560" w:right="1379"/>
        <w:spacing w:after="0" w:line="249" w:lineRule="auto"/>
        <w:rPr>
          <w:sz w:val="20"/>
          <w:szCs w:val="20"/>
          <w:color w:val="auto"/>
        </w:rPr>
      </w:pPr>
      <w:r>
        <w:rPr>
          <w:rFonts w:ascii="Times New Roman" w:cs="Times New Roman" w:eastAsia="Times New Roman" w:hAnsi="Times New Roman"/>
          <w:sz w:val="14"/>
          <w:szCs w:val="14"/>
          <w:color w:val="auto"/>
        </w:rPr>
        <w:t>provided, however, that paragraphs (i), (ii) and (iii)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this registration statement;</w:t>
      </w:r>
    </w:p>
    <w:p>
      <w:pPr>
        <w:spacing w:after="0" w:line="86" w:lineRule="exact"/>
        <w:rPr>
          <w:sz w:val="20"/>
          <w:szCs w:val="20"/>
          <w:color w:val="auto"/>
        </w:rPr>
      </w:pPr>
    </w:p>
    <w:p>
      <w:pPr>
        <w:ind w:left="1840" w:right="1319" w:hanging="273"/>
        <w:spacing w:after="0" w:line="263" w:lineRule="auto"/>
        <w:tabs>
          <w:tab w:leader="none" w:pos="18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4"/>
          <w:szCs w:val="14"/>
          <w:color w:val="auto"/>
        </w:rPr>
      </w:pPr>
    </w:p>
    <w:p>
      <w:pPr>
        <w:ind w:left="1840" w:right="1479" w:hanging="273"/>
        <w:spacing w:after="0" w:line="286" w:lineRule="auto"/>
        <w:tabs>
          <w:tab w:leader="none" w:pos="18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61" w:lineRule="exact"/>
        <w:rPr>
          <w:rFonts w:ascii="Times New Roman" w:cs="Times New Roman" w:eastAsia="Times New Roman" w:hAnsi="Times New Roman"/>
          <w:sz w:val="14"/>
          <w:szCs w:val="14"/>
          <w:color w:val="auto"/>
        </w:rPr>
      </w:pPr>
    </w:p>
    <w:p>
      <w:pPr>
        <w:ind w:left="1840" w:hanging="273"/>
        <w:spacing w:after="0"/>
        <w:tabs>
          <w:tab w:leader="none" w:pos="18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124" w:lineRule="exact"/>
        <w:rPr>
          <w:rFonts w:ascii="Times New Roman" w:cs="Times New Roman" w:eastAsia="Times New Roman" w:hAnsi="Times New Roman"/>
          <w:sz w:val="14"/>
          <w:szCs w:val="14"/>
          <w:color w:val="auto"/>
        </w:rPr>
      </w:pPr>
    </w:p>
    <w:p>
      <w:pPr>
        <w:ind w:left="2140" w:right="1399" w:hanging="290"/>
        <w:spacing w:after="0" w:line="269" w:lineRule="auto"/>
        <w:tabs>
          <w:tab w:leader="none" w:pos="214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this registration statement as of the date the filed prospectus was deemed part of and included in this registration statement; and</w:t>
      </w:r>
    </w:p>
    <w:p>
      <w:pPr>
        <w:spacing w:after="0" w:line="72" w:lineRule="exact"/>
        <w:rPr>
          <w:rFonts w:ascii="Times New Roman" w:cs="Times New Roman" w:eastAsia="Times New Roman" w:hAnsi="Times New Roman"/>
          <w:sz w:val="14"/>
          <w:szCs w:val="14"/>
          <w:color w:val="auto"/>
        </w:rPr>
      </w:pPr>
    </w:p>
    <w:p>
      <w:pPr>
        <w:ind w:left="2140" w:right="1319" w:hanging="290"/>
        <w:spacing w:after="0" w:line="254" w:lineRule="auto"/>
        <w:tabs>
          <w:tab w:leader="none" w:pos="214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w:t>
      </w:r>
    </w:p>
    <w:p>
      <w:pPr>
        <w:spacing w:after="0" w:line="271" w:lineRule="exact"/>
        <w:rPr>
          <w:rFonts w:ascii="Times New Roman" w:cs="Times New Roman" w:eastAsia="Times New Roman" w:hAnsi="Times New Roman"/>
          <w:sz w:val="14"/>
          <w:szCs w:val="14"/>
          <w:color w:val="auto"/>
        </w:rPr>
      </w:pPr>
    </w:p>
    <w:p>
      <w:pPr>
        <w:ind w:left="1840" w:right="1339" w:hanging="273"/>
        <w:spacing w:after="0" w:line="258" w:lineRule="auto"/>
        <w:tabs>
          <w:tab w:leader="none" w:pos="18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1" w:lineRule="exact"/>
        <w:rPr>
          <w:rFonts w:ascii="Times New Roman" w:cs="Times New Roman" w:eastAsia="Times New Roman" w:hAnsi="Times New Roman"/>
          <w:sz w:val="14"/>
          <w:szCs w:val="14"/>
          <w:color w:val="auto"/>
        </w:rPr>
      </w:pPr>
    </w:p>
    <w:p>
      <w:pPr>
        <w:ind w:left="2140" w:right="1799" w:hanging="290"/>
        <w:spacing w:after="0" w:line="286" w:lineRule="auto"/>
        <w:tabs>
          <w:tab w:leader="none" w:pos="214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61" w:lineRule="exact"/>
        <w:rPr>
          <w:rFonts w:ascii="Times New Roman" w:cs="Times New Roman" w:eastAsia="Times New Roman" w:hAnsi="Times New Roman"/>
          <w:sz w:val="14"/>
          <w:szCs w:val="14"/>
          <w:color w:val="auto"/>
        </w:rPr>
      </w:pPr>
    </w:p>
    <w:p>
      <w:pPr>
        <w:ind w:left="2140" w:right="1979" w:hanging="290"/>
        <w:spacing w:after="0" w:line="286" w:lineRule="auto"/>
        <w:tabs>
          <w:tab w:leader="none" w:pos="214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71" w:lineRule="exact"/>
        <w:rPr>
          <w:rFonts w:ascii="Times New Roman" w:cs="Times New Roman" w:eastAsia="Times New Roman" w:hAnsi="Times New Roman"/>
          <w:sz w:val="14"/>
          <w:szCs w:val="14"/>
          <w:color w:val="auto"/>
        </w:rPr>
      </w:pPr>
    </w:p>
    <w:p>
      <w:pPr>
        <w:jc w:val="both"/>
        <w:ind w:left="2140" w:right="1419" w:hanging="290"/>
        <w:spacing w:after="0" w:line="269" w:lineRule="auto"/>
        <w:tabs>
          <w:tab w:leader="none" w:pos="214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0" w:name="page41"/>
    <w:bookmarkEnd w:id="40"/>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140" w:right="1439" w:hanging="290"/>
        <w:spacing w:after="0" w:line="286" w:lineRule="auto"/>
        <w:tabs>
          <w:tab w:leader="none" w:pos="2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72" w:lineRule="exact"/>
        <w:rPr>
          <w:sz w:val="20"/>
          <w:szCs w:val="20"/>
          <w:color w:val="auto"/>
        </w:rPr>
      </w:pPr>
    </w:p>
    <w:p>
      <w:pPr>
        <w:ind w:left="1280" w:right="1419" w:firstLine="282"/>
        <w:spacing w:after="0" w:line="263" w:lineRule="auto"/>
        <w:rPr>
          <w:sz w:val="20"/>
          <w:szCs w:val="20"/>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of 1933, each filing of the registrant’s annual report pursuant to Section 13(a) or</w:t>
      </w:r>
    </w:p>
    <w:p>
      <w:pPr>
        <w:ind w:left="1280" w:right="1459"/>
        <w:spacing w:after="0" w:line="255" w:lineRule="auto"/>
        <w:rPr>
          <w:sz w:val="20"/>
          <w:szCs w:val="20"/>
          <w:color w:val="auto"/>
        </w:rPr>
      </w:pPr>
      <w:r>
        <w:rPr>
          <w:rFonts w:ascii="Times New Roman" w:cs="Times New Roman" w:eastAsia="Times New Roman" w:hAnsi="Times New Roman"/>
          <w:sz w:val="14"/>
          <w:szCs w:val="14"/>
          <w:color w:val="auto"/>
        </w:rPr>
        <w:t>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4" w:lineRule="exact"/>
        <w:rPr>
          <w:sz w:val="20"/>
          <w:szCs w:val="20"/>
          <w:color w:val="auto"/>
        </w:rPr>
      </w:pPr>
    </w:p>
    <w:p>
      <w:pPr>
        <w:ind w:left="1280" w:right="1359" w:firstLine="282"/>
        <w:spacing w:after="0" w:line="256"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53" w:lineRule="exact"/>
        <w:rPr>
          <w:sz w:val="20"/>
          <w:szCs w:val="20"/>
          <w:color w:val="auto"/>
        </w:rPr>
      </w:pPr>
    </w:p>
    <w:p>
      <w:pPr>
        <w:jc w:val="both"/>
        <w:ind w:left="1280" w:right="1399" w:firstLine="282"/>
        <w:spacing w:after="0" w:line="269" w:lineRule="auto"/>
        <w:rPr>
          <w:sz w:val="20"/>
          <w:szCs w:val="20"/>
          <w:color w:val="auto"/>
        </w:rPr>
      </w:pPr>
      <w:r>
        <w:rPr>
          <w:rFonts w:ascii="Times New Roman" w:cs="Times New Roman" w:eastAsia="Times New Roman" w:hAnsi="Times New Roman"/>
          <w:sz w:val="14"/>
          <w:szCs w:val="14"/>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 (2)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1" w:name="page42"/>
    <w:bookmarkEnd w:id="41"/>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7" w:lineRule="exact"/>
        <w:rPr>
          <w:sz w:val="20"/>
          <w:szCs w:val="20"/>
          <w:color w:val="auto"/>
        </w:rPr>
      </w:pPr>
    </w:p>
    <w:p>
      <w:pPr>
        <w:ind w:left="1280" w:right="1339" w:firstLine="282"/>
        <w:spacing w:after="0" w:line="274"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Newark, State of California on October 16, 2024.</w:t>
      </w:r>
    </w:p>
    <w:p>
      <w:pPr>
        <w:spacing w:after="0" w:line="14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Lucid Group, Inc.</w:t>
      </w:r>
    </w:p>
    <w:p>
      <w:pPr>
        <w:spacing w:after="0" w:line="1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By: /s/ Peter Rawlinson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48260</wp:posOffset>
            </wp:positionV>
            <wp:extent cx="176212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1762125" cy="6985"/>
                    </a:xfrm>
                    <a:prstGeom prst="rect">
                      <a:avLst/>
                    </a:prstGeom>
                    <a:noFill/>
                  </pic:spPr>
                </pic:pic>
              </a:graphicData>
            </a:graphic>
          </wp:anchor>
        </w:drawing>
      </w:r>
    </w:p>
    <w:p>
      <w:pPr>
        <w:spacing w:after="0" w:line="9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4"/>
          <w:szCs w:val="14"/>
          <w:color w:val="auto"/>
        </w:rPr>
        <w:t>Name:  Peter Rawlinson</w:t>
      </w:r>
    </w:p>
    <w:p>
      <w:pPr>
        <w:spacing w:after="0" w:line="23" w:lineRule="exact"/>
        <w:rPr>
          <w:sz w:val="20"/>
          <w:szCs w:val="20"/>
          <w:color w:val="auto"/>
        </w:rPr>
      </w:pPr>
    </w:p>
    <w:p>
      <w:pPr>
        <w:ind w:left="4960"/>
        <w:spacing w:after="0"/>
        <w:tabs>
          <w:tab w:leader="none" w:pos="5400" w:val="left"/>
        </w:tabs>
        <w:rPr>
          <w:sz w:val="20"/>
          <w:szCs w:val="20"/>
          <w:color w:val="auto"/>
        </w:rPr>
      </w:pPr>
      <w:r>
        <w:rPr>
          <w:rFonts w:ascii="Times New Roman" w:cs="Times New Roman" w:eastAsia="Times New Roman" w:hAnsi="Times New Roman"/>
          <w:sz w:val="14"/>
          <w:szCs w:val="14"/>
          <w:color w:val="auto"/>
        </w:rPr>
        <w:t>Title:</w:t>
        <w:tab/>
        <w:t>Chief Executive Officer, Chief</w:t>
      </w:r>
    </w:p>
    <w:p>
      <w:pPr>
        <w:spacing w:after="0" w:line="1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color w:val="auto"/>
        </w:rPr>
        <w:t>Technology Officer and Director</w:t>
      </w:r>
    </w:p>
    <w:p>
      <w:pPr>
        <w:spacing w:after="0" w:line="111" w:lineRule="exact"/>
        <w:rPr>
          <w:sz w:val="20"/>
          <w:szCs w:val="20"/>
          <w:color w:val="auto"/>
        </w:rPr>
      </w:pPr>
    </w:p>
    <w:p>
      <w:pPr>
        <w:ind w:left="1280" w:right="1319" w:firstLine="282"/>
        <w:spacing w:after="0" w:line="265" w:lineRule="auto"/>
        <w:rPr>
          <w:sz w:val="20"/>
          <w:szCs w:val="20"/>
          <w:color w:val="auto"/>
        </w:rPr>
      </w:pPr>
      <w:r>
        <w:rPr>
          <w:rFonts w:ascii="Times New Roman" w:cs="Times New Roman" w:eastAsia="Times New Roman" w:hAnsi="Times New Roman"/>
          <w:sz w:val="14"/>
          <w:szCs w:val="14"/>
          <w:color w:val="auto"/>
        </w:rPr>
        <w:t>In accordance with the requirements of the Securities Act of 1933, as amended, this Registration Statement has been signed by the following persons in the capacities and on the dates stated. Each person whose signature appears below constitutes and appoints Peter Rawlinson and Gagan Dhingra and each of them severally,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the Registration Statement on Form S-3, and to any registration statement filed under SEC Rule 462, and to file the same, with all exhibits thereto, and all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01" w:lineRule="exact"/>
        <w:rPr>
          <w:sz w:val="20"/>
          <w:szCs w:val="20"/>
          <w:color w:val="auto"/>
        </w:rPr>
      </w:pPr>
    </w:p>
    <w:p>
      <w:pPr>
        <w:ind w:left="1280" w:right="1379" w:firstLine="282"/>
        <w:spacing w:after="0" w:line="28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on Form S-3 has been signed by the following persons in the capacities indicated on October 16, 2024.</w:t>
      </w:r>
    </w:p>
    <w:p>
      <w:pPr>
        <w:spacing w:after="0" w:line="88" w:lineRule="exact"/>
        <w:rPr>
          <w:sz w:val="20"/>
          <w:szCs w:val="20"/>
          <w:color w:val="auto"/>
        </w:rPr>
      </w:pPr>
    </w:p>
    <w:tbl>
      <w:tblPr>
        <w:tblLayout w:type="fixed"/>
        <w:tblInd w:w="1280" w:type="dxa"/>
        <w:tblCellMar>
          <w:top w:w="0" w:type="dxa"/>
          <w:left w:w="0" w:type="dxa"/>
          <w:bottom w:w="0" w:type="dxa"/>
          <w:right w:w="0" w:type="dxa"/>
        </w:tblCellMar>
      </w:tblPr>
      <w:tr>
        <w:trPr>
          <w:trHeight w:val="178"/>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7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20" w:type="dxa"/>
            <w:vAlign w:val="bottom"/>
          </w:tcPr>
          <w:p>
            <w:pPr>
              <w:spacing w:after="0"/>
              <w:rPr>
                <w:sz w:val="15"/>
                <w:szCs w:val="15"/>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Title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68"/>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760" w:type="dxa"/>
            <w:vAlign w:val="bottom"/>
          </w:tcPr>
          <w:p>
            <w:pPr>
              <w:jc w:val="center"/>
              <w:ind w:right="310"/>
              <w:spacing w:after="0"/>
              <w:rPr>
                <w:sz w:val="20"/>
                <w:szCs w:val="20"/>
                <w:color w:val="auto"/>
              </w:rPr>
            </w:pPr>
            <w:r>
              <w:rPr>
                <w:rFonts w:ascii="Times New Roman" w:cs="Times New Roman" w:eastAsia="Times New Roman" w:hAnsi="Times New Roman"/>
                <w:sz w:val="14"/>
                <w:szCs w:val="14"/>
                <w:color w:val="auto"/>
              </w:rPr>
              <w:t>/s/ Peter Rawlinson</w:t>
            </w:r>
          </w:p>
        </w:tc>
        <w:tc>
          <w:tcPr>
            <w:tcW w:w="334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 ​Chief Executive Officer, Chief Technology Officer​</w:t>
            </w:r>
          </w:p>
        </w:tc>
        <w:tc>
          <w:tcPr>
            <w:tcW w:w="0" w:type="dxa"/>
            <w:vAlign w:val="bottom"/>
          </w:tcPr>
          <w:p>
            <w:pPr>
              <w:spacing w:after="0"/>
              <w:rPr>
                <w:sz w:val="1"/>
                <w:szCs w:val="1"/>
                <w:color w:val="auto"/>
              </w:rPr>
            </w:pPr>
          </w:p>
        </w:tc>
      </w:tr>
      <w:tr>
        <w:trPr>
          <w:trHeight w:val="25"/>
        </w:trPr>
        <w:tc>
          <w:tcPr>
            <w:tcW w:w="3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and Director (Principal Executive Officer)</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380" w:type="dxa"/>
            <w:vAlign w:val="bottom"/>
          </w:tcPr>
          <w:p>
            <w:pPr>
              <w:spacing w:after="0"/>
              <w:rPr>
                <w:sz w:val="12"/>
                <w:szCs w:val="12"/>
                <w:color w:val="auto"/>
              </w:rPr>
            </w:pPr>
          </w:p>
        </w:tc>
        <w:tc>
          <w:tcPr>
            <w:tcW w:w="2760" w:type="dxa"/>
            <w:vAlign w:val="bottom"/>
            <w:vMerge w:val="restart"/>
          </w:tcPr>
          <w:p>
            <w:pPr>
              <w:jc w:val="center"/>
              <w:ind w:right="310"/>
              <w:spacing w:after="0"/>
              <w:rPr>
                <w:sz w:val="20"/>
                <w:szCs w:val="20"/>
                <w:color w:val="auto"/>
              </w:rPr>
            </w:pPr>
            <w:r>
              <w:rPr>
                <w:rFonts w:ascii="Times New Roman" w:cs="Times New Roman" w:eastAsia="Times New Roman" w:hAnsi="Times New Roman"/>
                <w:sz w:val="14"/>
                <w:szCs w:val="14"/>
                <w:color w:val="auto"/>
              </w:rPr>
              <w:t>Peter Rawlinson</w:t>
            </w:r>
          </w:p>
        </w:tc>
        <w:tc>
          <w:tcPr>
            <w:tcW w:w="160" w:type="dxa"/>
            <w:vAlign w:val="bottom"/>
          </w:tcPr>
          <w:p>
            <w:pPr>
              <w:spacing w:after="0"/>
              <w:rPr>
                <w:sz w:val="12"/>
                <w:szCs w:val="12"/>
                <w:color w:val="auto"/>
              </w:rPr>
            </w:pPr>
          </w:p>
        </w:tc>
        <w:tc>
          <w:tcPr>
            <w:tcW w:w="31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380" w:type="dxa"/>
            <w:vAlign w:val="bottom"/>
          </w:tcPr>
          <w:p>
            <w:pPr>
              <w:spacing w:after="0"/>
              <w:rPr>
                <w:sz w:val="4"/>
                <w:szCs w:val="4"/>
                <w:color w:val="auto"/>
              </w:rPr>
            </w:pPr>
          </w:p>
        </w:tc>
        <w:tc>
          <w:tcPr>
            <w:tcW w:w="27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7"/>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76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auto"/>
              </w:rPr>
              <w:t>/s/ Gagan Dhingra</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24"/>
                <w:szCs w:val="24"/>
                <w:color w:val="auto"/>
              </w:rPr>
            </w:pPr>
          </w:p>
        </w:tc>
        <w:tc>
          <w:tcPr>
            <w:tcW w:w="31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Interim Chief Financial Officer (Principal</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3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Accounting Officer and Principal Financial Officer)</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380" w:type="dxa"/>
            <w:vAlign w:val="bottom"/>
          </w:tcPr>
          <w:p>
            <w:pPr>
              <w:spacing w:after="0"/>
              <w:rPr>
                <w:sz w:val="12"/>
                <w:szCs w:val="12"/>
                <w:color w:val="auto"/>
              </w:rPr>
            </w:pPr>
          </w:p>
        </w:tc>
        <w:tc>
          <w:tcPr>
            <w:tcW w:w="2760" w:type="dxa"/>
            <w:vAlign w:val="bottom"/>
            <w:vMerge w:val="restart"/>
          </w:tcPr>
          <w:p>
            <w:pPr>
              <w:jc w:val="center"/>
              <w:ind w:right="310"/>
              <w:spacing w:after="0"/>
              <w:rPr>
                <w:sz w:val="20"/>
                <w:szCs w:val="20"/>
                <w:color w:val="auto"/>
              </w:rPr>
            </w:pPr>
            <w:r>
              <w:rPr>
                <w:rFonts w:ascii="Times New Roman" w:cs="Times New Roman" w:eastAsia="Times New Roman" w:hAnsi="Times New Roman"/>
                <w:sz w:val="14"/>
                <w:szCs w:val="14"/>
                <w:color w:val="auto"/>
              </w:rPr>
              <w:t>Gagan Dhingra</w:t>
            </w:r>
          </w:p>
        </w:tc>
        <w:tc>
          <w:tcPr>
            <w:tcW w:w="16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31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380" w:type="dxa"/>
            <w:vAlign w:val="bottom"/>
          </w:tcPr>
          <w:p>
            <w:pPr>
              <w:spacing w:after="0"/>
              <w:rPr>
                <w:sz w:val="4"/>
                <w:szCs w:val="4"/>
                <w:color w:val="auto"/>
              </w:rPr>
            </w:pPr>
          </w:p>
        </w:tc>
        <w:tc>
          <w:tcPr>
            <w:tcW w:w="27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760" w:type="dxa"/>
            <w:vAlign w:val="bottom"/>
          </w:tcPr>
          <w:p>
            <w:pPr>
              <w:jc w:val="center"/>
              <w:ind w:right="310"/>
              <w:spacing w:after="0"/>
              <w:rPr>
                <w:sz w:val="20"/>
                <w:szCs w:val="20"/>
                <w:color w:val="auto"/>
              </w:rPr>
            </w:pPr>
            <w:r>
              <w:rPr>
                <w:rFonts w:ascii="Times New Roman" w:cs="Times New Roman" w:eastAsia="Times New Roman" w:hAnsi="Times New Roman"/>
                <w:sz w:val="14"/>
                <w:szCs w:val="14"/>
                <w:color w:val="auto"/>
              </w:rPr>
              <w:t>/s/ Turqi Alnowaiser</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24"/>
                <w:szCs w:val="24"/>
                <w:color w:val="auto"/>
              </w:rPr>
            </w:pPr>
          </w:p>
        </w:tc>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1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2760" w:type="dxa"/>
            <w:vAlign w:val="bottom"/>
            <w:vMerge w:val="restart"/>
          </w:tcPr>
          <w:p>
            <w:pPr>
              <w:jc w:val="center"/>
              <w:ind w:right="310"/>
              <w:spacing w:after="0"/>
              <w:rPr>
                <w:sz w:val="20"/>
                <w:szCs w:val="20"/>
                <w:color w:val="auto"/>
              </w:rPr>
            </w:pPr>
            <w:r>
              <w:rPr>
                <w:rFonts w:ascii="Times New Roman" w:cs="Times New Roman" w:eastAsia="Times New Roman" w:hAnsi="Times New Roman"/>
                <w:sz w:val="14"/>
                <w:szCs w:val="14"/>
                <w:color w:val="auto"/>
              </w:rPr>
              <w:t>Turqi Alnowaiser</w:t>
            </w:r>
          </w:p>
        </w:tc>
        <w:tc>
          <w:tcPr>
            <w:tcW w:w="1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31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8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1"/>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760" w:type="dxa"/>
            <w:vAlign w:val="bottom"/>
          </w:tcPr>
          <w:p>
            <w:pPr>
              <w:jc w:val="center"/>
              <w:ind w:right="310"/>
              <w:spacing w:after="0"/>
              <w:rPr>
                <w:sz w:val="20"/>
                <w:szCs w:val="20"/>
                <w:color w:val="auto"/>
              </w:rPr>
            </w:pPr>
            <w:r>
              <w:rPr>
                <w:rFonts w:ascii="Times New Roman" w:cs="Times New Roman" w:eastAsia="Times New Roman" w:hAnsi="Times New Roman"/>
                <w:sz w:val="14"/>
                <w:szCs w:val="14"/>
                <w:color w:val="auto"/>
              </w:rPr>
              <w:t>/s/ Lisa M. Lambert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24"/>
                <w:szCs w:val="24"/>
                <w:color w:val="auto"/>
              </w:rPr>
            </w:pPr>
          </w:p>
        </w:tc>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1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2760" w:type="dxa"/>
            <w:vAlign w:val="bottom"/>
            <w:vMerge w:val="restart"/>
          </w:tcPr>
          <w:p>
            <w:pPr>
              <w:jc w:val="center"/>
              <w:ind w:right="310"/>
              <w:spacing w:after="0"/>
              <w:rPr>
                <w:sz w:val="20"/>
                <w:szCs w:val="20"/>
                <w:color w:val="auto"/>
              </w:rPr>
            </w:pPr>
            <w:r>
              <w:rPr>
                <w:rFonts w:ascii="Times New Roman" w:cs="Times New Roman" w:eastAsia="Times New Roman" w:hAnsi="Times New Roman"/>
                <w:sz w:val="14"/>
                <w:szCs w:val="14"/>
                <w:color w:val="auto"/>
              </w:rPr>
              <w:t>Lisa M. Lambert</w:t>
            </w:r>
          </w:p>
        </w:tc>
        <w:tc>
          <w:tcPr>
            <w:tcW w:w="1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31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8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1"/>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760" w:type="dxa"/>
            <w:vAlign w:val="bottom"/>
          </w:tcPr>
          <w:p>
            <w:pPr>
              <w:jc w:val="center"/>
              <w:ind w:right="310"/>
              <w:spacing w:after="0"/>
              <w:rPr>
                <w:sz w:val="20"/>
                <w:szCs w:val="20"/>
                <w:color w:val="auto"/>
              </w:rPr>
            </w:pPr>
            <w:r>
              <w:rPr>
                <w:rFonts w:ascii="Times New Roman" w:cs="Times New Roman" w:eastAsia="Times New Roman" w:hAnsi="Times New Roman"/>
                <w:sz w:val="14"/>
                <w:szCs w:val="14"/>
                <w:color w:val="auto"/>
              </w:rPr>
              <w:t>/s/ Andrew Liveris</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24"/>
                <w:szCs w:val="24"/>
                <w:color w:val="auto"/>
              </w:rPr>
            </w:pPr>
          </w:p>
        </w:tc>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1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2760" w:type="dxa"/>
            <w:vAlign w:val="bottom"/>
            <w:vMerge w:val="restart"/>
          </w:tcPr>
          <w:p>
            <w:pPr>
              <w:jc w:val="center"/>
              <w:ind w:right="310"/>
              <w:spacing w:after="0"/>
              <w:rPr>
                <w:sz w:val="20"/>
                <w:szCs w:val="20"/>
                <w:color w:val="auto"/>
              </w:rPr>
            </w:pPr>
            <w:r>
              <w:rPr>
                <w:rFonts w:ascii="Times New Roman" w:cs="Times New Roman" w:eastAsia="Times New Roman" w:hAnsi="Times New Roman"/>
                <w:sz w:val="14"/>
                <w:szCs w:val="14"/>
                <w:color w:val="auto"/>
              </w:rPr>
              <w:t>Andrew Liveris</w:t>
            </w:r>
          </w:p>
        </w:tc>
        <w:tc>
          <w:tcPr>
            <w:tcW w:w="1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31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8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1"/>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760" w:type="dxa"/>
            <w:vAlign w:val="bottom"/>
          </w:tcPr>
          <w:p>
            <w:pPr>
              <w:jc w:val="center"/>
              <w:ind w:right="310"/>
              <w:spacing w:after="0"/>
              <w:rPr>
                <w:sz w:val="20"/>
                <w:szCs w:val="20"/>
                <w:color w:val="auto"/>
              </w:rPr>
            </w:pPr>
            <w:r>
              <w:rPr>
                <w:rFonts w:ascii="Times New Roman" w:cs="Times New Roman" w:eastAsia="Times New Roman" w:hAnsi="Times New Roman"/>
                <w:sz w:val="14"/>
                <w:szCs w:val="14"/>
                <w:color w:val="auto"/>
              </w:rPr>
              <w:t>/s/ Sherif Marakby</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24"/>
                <w:szCs w:val="24"/>
                <w:color w:val="auto"/>
              </w:rPr>
            </w:pPr>
          </w:p>
        </w:tc>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1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2760" w:type="dxa"/>
            <w:vAlign w:val="bottom"/>
            <w:vMerge w:val="restart"/>
          </w:tcPr>
          <w:p>
            <w:pPr>
              <w:jc w:val="center"/>
              <w:ind w:right="310"/>
              <w:spacing w:after="0"/>
              <w:rPr>
                <w:sz w:val="20"/>
                <w:szCs w:val="20"/>
                <w:color w:val="auto"/>
              </w:rPr>
            </w:pPr>
            <w:r>
              <w:rPr>
                <w:rFonts w:ascii="Times New Roman" w:cs="Times New Roman" w:eastAsia="Times New Roman" w:hAnsi="Times New Roman"/>
                <w:sz w:val="14"/>
                <w:szCs w:val="14"/>
                <w:color w:val="auto"/>
              </w:rPr>
              <w:t>Sherif Marakby</w:t>
            </w:r>
          </w:p>
        </w:tc>
        <w:tc>
          <w:tcPr>
            <w:tcW w:w="1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31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8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1"/>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760" w:type="dxa"/>
            <w:vAlign w:val="bottom"/>
          </w:tcPr>
          <w:p>
            <w:pPr>
              <w:jc w:val="center"/>
              <w:ind w:right="310"/>
              <w:spacing w:after="0"/>
              <w:rPr>
                <w:sz w:val="20"/>
                <w:szCs w:val="20"/>
                <w:color w:val="auto"/>
              </w:rPr>
            </w:pPr>
            <w:r>
              <w:rPr>
                <w:rFonts w:ascii="Times New Roman" w:cs="Times New Roman" w:eastAsia="Times New Roman" w:hAnsi="Times New Roman"/>
                <w:sz w:val="14"/>
                <w:szCs w:val="14"/>
                <w:color w:val="auto"/>
              </w:rPr>
              <w:t>/s/ Nichelle Maynard-Elliott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107" w:right="1440" w:bottom="1440" w:gutter="0" w:footer="0" w:header="0"/>
        </w:sectPr>
      </w:pPr>
    </w:p>
    <w:p>
      <w:pPr>
        <w:ind w:left="5900"/>
        <w:spacing w:after="0" w:line="180" w:lineRule="auto"/>
        <w:rPr>
          <w:sz w:val="20"/>
          <w:szCs w:val="20"/>
          <w:color w:val="auto"/>
        </w:rPr>
      </w:pPr>
      <w:r>
        <w:rPr>
          <w:rFonts w:ascii="Times New Roman" w:cs="Times New Roman" w:eastAsia="Times New Roman" w:hAnsi="Times New Roman"/>
          <w:sz w:val="11"/>
          <w:szCs w:val="1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-45720</wp:posOffset>
            </wp:positionV>
            <wp:extent cx="199072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1990725" cy="698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p>
      <w:pPr>
        <w:ind w:left="2100"/>
        <w:spacing w:after="0" w:line="205" w:lineRule="auto"/>
        <w:rPr>
          <w:sz w:val="20"/>
          <w:szCs w:val="20"/>
          <w:color w:val="auto"/>
        </w:rPr>
      </w:pPr>
      <w:r>
        <w:rPr>
          <w:rFonts w:ascii="Times New Roman" w:cs="Times New Roman" w:eastAsia="Times New Roman" w:hAnsi="Times New Roman"/>
          <w:sz w:val="14"/>
          <w:szCs w:val="14"/>
          <w:color w:val="auto"/>
        </w:rPr>
        <w:t>Nichelle Maynard-Elliott</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3581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42" w:name="page43"/>
    <w:bookmarkEnd w:id="42"/>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28"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43"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43"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33020</wp:posOffset>
            </wp:positionV>
            <wp:extent cx="199072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1990725" cy="6985"/>
                    </a:xfrm>
                    <a:prstGeom prst="rect">
                      <a:avLst/>
                    </a:prstGeom>
                    <a:noFill/>
                  </pic:spPr>
                </pic:pic>
              </a:graphicData>
            </a:graphic>
          </wp:anchor>
        </w:drawing>
      </w:r>
    </w:p>
    <w:p>
      <w:pPr>
        <w:spacing w:after="0" w:line="21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/s/ Chabi Nouri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41910</wp:posOffset>
            </wp:positionV>
            <wp:extent cx="199072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1990725" cy="6985"/>
                    </a:xfrm>
                    <a:prstGeom prst="rect">
                      <a:avLst/>
                    </a:prstGeom>
                    <a:noFill/>
                  </pic:spPr>
                </pic:pic>
              </a:graphicData>
            </a:graphic>
          </wp:anchor>
        </w:drawing>
      </w:r>
    </w:p>
    <w:p>
      <w:pPr>
        <w:spacing w:after="0" w:line="7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Chabi Nouri</w:t>
      </w:r>
    </w:p>
    <w:p>
      <w:pPr>
        <w:spacing w:after="0" w:line="18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/s/ Ori Winitzer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41910</wp:posOffset>
            </wp:positionV>
            <wp:extent cx="199072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1990725" cy="6985"/>
                    </a:xfrm>
                    <a:prstGeom prst="rect">
                      <a:avLst/>
                    </a:prstGeom>
                    <a:noFill/>
                  </pic:spPr>
                </pic:pic>
              </a:graphicData>
            </a:graphic>
          </wp:anchor>
        </w:drawing>
      </w:r>
    </w:p>
    <w:p>
      <w:pPr>
        <w:spacing w:after="0" w:line="7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Ori Winitzer</w:t>
      </w:r>
    </w:p>
    <w:p>
      <w:pPr>
        <w:spacing w:after="0" w:line="18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/s/ Janet S.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41910</wp:posOffset>
            </wp:positionV>
            <wp:extent cx="199072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1990725" cy="6985"/>
                    </a:xfrm>
                    <a:prstGeom prst="rect">
                      <a:avLst/>
                    </a:prstGeom>
                    <a:noFill/>
                  </pic:spPr>
                </pic:pic>
              </a:graphicData>
            </a:graphic>
          </wp:anchor>
        </w:drawing>
      </w:r>
    </w:p>
    <w:p>
      <w:pPr>
        <w:spacing w:after="0" w:line="7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Janet S. Wong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178"/>
        </w:trPr>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Title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71"/>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8"/>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8"/>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196850</wp:posOffset>
            </wp:positionV>
            <wp:extent cx="53581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5358130" cy="38735"/>
                    </a:xfrm>
                    <a:prstGeom prst="rect">
                      <a:avLst/>
                    </a:prstGeom>
                    <a:noFill/>
                  </pic:spPr>
                </pic:pic>
              </a:graphicData>
            </a:graphic>
          </wp:anchor>
        </w:drawing>
      </w:r>
    </w:p>
    <w:p>
      <w:pPr>
        <w:sectPr>
          <w:pgSz w:w="11900" w:h="16838" w:orient="portrait"/>
          <w:cols w:equalWidth="0" w:num="3">
            <w:col w:w="1620" w:space="720"/>
            <w:col w:w="1320" w:space="720"/>
            <w:col w:w="4639"/>
          </w:cols>
          <w:pgMar w:left="1440" w:top="107"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133350</wp:posOffset>
            </wp:positionV>
            <wp:extent cx="716216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7162165" cy="698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147320</wp:posOffset>
            </wp:positionV>
            <wp:extent cx="716216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39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LUCID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1962150</wp:posOffset>
            </wp:positionH>
            <wp:positionV relativeFrom="paragraph">
              <wp:posOffset>123825</wp:posOffset>
            </wp:positionV>
            <wp:extent cx="179578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1795780" cy="6985"/>
                    </a:xfrm>
                    <a:prstGeom prst="rect">
                      <a:avLst/>
                    </a:prstGeom>
                    <a:noFill/>
                  </pic:spPr>
                </pic:pic>
              </a:graphicData>
            </a:graphic>
          </wp:anchor>
        </w:drawing>
      </w:r>
    </w:p>
    <w:p>
      <w:pPr>
        <w:spacing w:after="0" w:line="3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Dated as of</w:t>
      </w:r>
    </w:p>
    <w:p>
      <w:pPr>
        <w:spacing w:after="0" w:line="17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1962150</wp:posOffset>
            </wp:positionH>
            <wp:positionV relativeFrom="paragraph">
              <wp:posOffset>123825</wp:posOffset>
            </wp:positionV>
            <wp:extent cx="179578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1795780" cy="6985"/>
                    </a:xfrm>
                    <a:prstGeom prst="rect">
                      <a:avLst/>
                    </a:prstGeom>
                    <a:noFill/>
                  </pic:spPr>
                </pic:pic>
              </a:graphicData>
            </a:graphic>
          </wp:anchor>
        </w:drawing>
      </w:r>
    </w:p>
    <w:p>
      <w:pPr>
        <w:spacing w:after="0" w:line="3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1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U.S. BANK TRUST COMPANY, NATIONAL ASSOCIATION</w:t>
      </w:r>
    </w:p>
    <w:p>
      <w:pPr>
        <w:spacing w:after="0" w:line="18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123825</wp:posOffset>
            </wp:positionV>
            <wp:extent cx="716216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7162165" cy="698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137160</wp:posOffset>
            </wp:positionV>
            <wp:extent cx="716216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7162165" cy="698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486410</wp:posOffset>
            </wp:positionV>
            <wp:extent cx="716216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0140"/>
          </w:cols>
          <w:pgMar w:left="1440" w:top="305"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9"/>
        </w:trPr>
        <w:tc>
          <w:tcPr>
            <w:tcW w:w="1040" w:type="dxa"/>
            <w:vAlign w:val="bottom"/>
          </w:tcPr>
          <w:p>
            <w:pPr>
              <w:spacing w:after="0"/>
              <w:rPr>
                <w:sz w:val="14"/>
                <w:szCs w:val="14"/>
                <w:color w:val="auto"/>
              </w:rPr>
            </w:pPr>
          </w:p>
        </w:tc>
        <w:tc>
          <w:tcPr>
            <w:tcW w:w="6540" w:type="dxa"/>
            <w:vAlign w:val="bottom"/>
            <w:gridSpan w:val="3"/>
          </w:tcPr>
          <w:p>
            <w:pPr>
              <w:jc w:val="center"/>
              <w:ind w:left="2589"/>
              <w:spacing w:after="0"/>
              <w:rPr>
                <w:sz w:val="20"/>
                <w:szCs w:val="20"/>
                <w:color w:val="auto"/>
              </w:rPr>
            </w:pPr>
            <w:r>
              <w:rPr>
                <w:rFonts w:ascii="Times New Roman" w:cs="Times New Roman" w:eastAsia="Times New Roman" w:hAnsi="Times New Roman"/>
                <w:sz w:val="14"/>
                <w:szCs w:val="14"/>
                <w:b w:val="1"/>
                <w:bCs w:val="1"/>
                <w:color w:val="auto"/>
              </w:rPr>
              <w:t>Reconciliation and tie between</w:t>
            </w:r>
          </w:p>
        </w:tc>
      </w:tr>
      <w:tr>
        <w:trPr>
          <w:trHeight w:val="186"/>
        </w:trPr>
        <w:tc>
          <w:tcPr>
            <w:tcW w:w="1040" w:type="dxa"/>
            <w:vAlign w:val="bottom"/>
          </w:tcPr>
          <w:p>
            <w:pPr>
              <w:spacing w:after="0"/>
              <w:rPr>
                <w:sz w:val="16"/>
                <w:szCs w:val="16"/>
                <w:color w:val="auto"/>
              </w:rPr>
            </w:pPr>
          </w:p>
        </w:tc>
        <w:tc>
          <w:tcPr>
            <w:tcW w:w="6540" w:type="dxa"/>
            <w:vAlign w:val="bottom"/>
            <w:gridSpan w:val="3"/>
          </w:tcPr>
          <w:p>
            <w:pPr>
              <w:jc w:val="center"/>
              <w:ind w:left="2589"/>
              <w:spacing w:after="0"/>
              <w:rPr>
                <w:sz w:val="20"/>
                <w:szCs w:val="20"/>
                <w:color w:val="auto"/>
              </w:rPr>
            </w:pPr>
            <w:r>
              <w:rPr>
                <w:rFonts w:ascii="Times New Roman" w:cs="Times New Roman" w:eastAsia="Times New Roman" w:hAnsi="Times New Roman"/>
                <w:sz w:val="14"/>
                <w:szCs w:val="14"/>
                <w:b w:val="1"/>
                <w:bCs w:val="1"/>
                <w:color w:val="auto"/>
                <w:w w:val="99"/>
              </w:rPr>
              <w:t>Trust Indenture Act of 1939 and Indenture*</w:t>
            </w:r>
          </w:p>
        </w:tc>
      </w:tr>
      <w:tr>
        <w:trPr>
          <w:trHeight w:val="323"/>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Trust Indenture</w:t>
            </w:r>
          </w:p>
        </w:tc>
        <w:tc>
          <w:tcPr>
            <w:tcW w:w="4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54"/>
        </w:trPr>
        <w:tc>
          <w:tcPr>
            <w:tcW w:w="10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Act Section</w:t>
            </w:r>
          </w:p>
        </w:tc>
        <w:tc>
          <w:tcPr>
            <w:tcW w:w="4600" w:type="dxa"/>
            <w:vAlign w:val="bottom"/>
          </w:tcPr>
          <w:p>
            <w:pPr>
              <w:spacing w:after="0"/>
              <w:rPr>
                <w:sz w:val="13"/>
                <w:szCs w:val="13"/>
                <w:color w:val="auto"/>
              </w:rPr>
            </w:pPr>
          </w:p>
        </w:tc>
        <w:tc>
          <w:tcPr>
            <w:tcW w:w="19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Indenture Section</w:t>
            </w:r>
          </w:p>
        </w:tc>
      </w:tr>
      <w:tr>
        <w:trPr>
          <w:trHeight w:val="336"/>
        </w:trPr>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 310 (a)</w:t>
            </w:r>
          </w:p>
        </w:tc>
        <w:tc>
          <w:tcPr>
            <w:tcW w:w="4600" w:type="dxa"/>
            <w:vAlign w:val="bottom"/>
          </w:tcPr>
          <w:p>
            <w:pPr>
              <w:spacing w:after="0"/>
              <w:rPr>
                <w:sz w:val="24"/>
                <w:szCs w:val="24"/>
                <w:color w:val="auto"/>
              </w:rPr>
            </w:pP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11.04(a), 16.02</w:t>
            </w:r>
          </w:p>
        </w:tc>
        <w:tc>
          <w:tcPr>
            <w:tcW w:w="860" w:type="dxa"/>
            <w:vAlign w:val="bottom"/>
          </w:tcPr>
          <w:p>
            <w:pPr>
              <w:spacing w:after="0"/>
              <w:rPr>
                <w:sz w:val="24"/>
                <w:szCs w:val="24"/>
                <w:color w:val="auto"/>
              </w:rPr>
            </w:pP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(b)</w:t>
            </w:r>
          </w:p>
        </w:tc>
        <w:tc>
          <w:tcPr>
            <w:tcW w:w="6540" w:type="dxa"/>
            <w:vAlign w:val="bottom"/>
            <w:gridSpan w:val="3"/>
          </w:tcPr>
          <w:p>
            <w:pPr>
              <w:ind w:left="4600"/>
              <w:spacing w:after="0"/>
              <w:rPr>
                <w:sz w:val="20"/>
                <w:szCs w:val="20"/>
                <w:color w:val="auto"/>
              </w:rPr>
            </w:pPr>
            <w:r>
              <w:rPr>
                <w:rFonts w:ascii="Times New Roman" w:cs="Times New Roman" w:eastAsia="Times New Roman" w:hAnsi="Times New Roman"/>
                <w:sz w:val="14"/>
                <w:szCs w:val="14"/>
                <w:color w:val="auto"/>
                <w:w w:val="99"/>
              </w:rPr>
              <w:t>11.01(f), 11.04(b), 11.05(1), 16.02</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(b)(1)</w:t>
            </w:r>
          </w:p>
        </w:tc>
        <w:tc>
          <w:tcPr>
            <w:tcW w:w="6540" w:type="dxa"/>
            <w:vAlign w:val="bottom"/>
            <w:gridSpan w:val="3"/>
          </w:tcPr>
          <w:p>
            <w:pPr>
              <w:ind w:left="4600"/>
              <w:spacing w:after="0"/>
              <w:rPr>
                <w:sz w:val="20"/>
                <w:szCs w:val="20"/>
                <w:color w:val="auto"/>
              </w:rPr>
            </w:pPr>
            <w:r>
              <w:rPr>
                <w:rFonts w:ascii="Times New Roman" w:cs="Times New Roman" w:eastAsia="Times New Roman" w:hAnsi="Times New Roman"/>
                <w:sz w:val="14"/>
                <w:szCs w:val="14"/>
                <w:color w:val="auto"/>
              </w:rPr>
              <w:t>11.04(b), 16.02</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311</w:t>
            </w:r>
          </w:p>
        </w:tc>
        <w:tc>
          <w:tcPr>
            <w:tcW w:w="6540" w:type="dxa"/>
            <w:vAlign w:val="bottom"/>
            <w:gridSpan w:val="3"/>
          </w:tcPr>
          <w:p>
            <w:pPr>
              <w:ind w:left="4600"/>
              <w:spacing w:after="0"/>
              <w:rPr>
                <w:sz w:val="20"/>
                <w:szCs w:val="20"/>
                <w:color w:val="auto"/>
              </w:rPr>
            </w:pPr>
            <w:r>
              <w:rPr>
                <w:rFonts w:ascii="Times New Roman" w:cs="Times New Roman" w:eastAsia="Times New Roman" w:hAnsi="Times New Roman"/>
                <w:sz w:val="14"/>
                <w:szCs w:val="14"/>
                <w:color w:val="auto"/>
              </w:rPr>
              <w:t>11.01(f), 16.02</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312</w:t>
            </w:r>
          </w:p>
        </w:tc>
        <w:tc>
          <w:tcPr>
            <w:tcW w:w="6540" w:type="dxa"/>
            <w:vAlign w:val="bottom"/>
            <w:gridSpan w:val="3"/>
          </w:tcPr>
          <w:p>
            <w:pPr>
              <w:ind w:left="4600"/>
              <w:spacing w:after="0"/>
              <w:rPr>
                <w:sz w:val="20"/>
                <w:szCs w:val="20"/>
                <w:color w:val="auto"/>
              </w:rPr>
            </w:pPr>
            <w:r>
              <w:rPr>
                <w:rFonts w:ascii="Times New Roman" w:cs="Times New Roman" w:eastAsia="Times New Roman" w:hAnsi="Times New Roman"/>
                <w:sz w:val="14"/>
                <w:szCs w:val="14"/>
                <w:color w:val="auto"/>
              </w:rPr>
              <w:t>14.02(d), 16.02</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(b)</w:t>
            </w:r>
          </w:p>
        </w:tc>
        <w:tc>
          <w:tcPr>
            <w:tcW w:w="5680" w:type="dxa"/>
            <w:vAlign w:val="bottom"/>
            <w:gridSpan w:val="2"/>
          </w:tcPr>
          <w:p>
            <w:pPr>
              <w:ind w:left="4600"/>
              <w:spacing w:after="0"/>
              <w:rPr>
                <w:sz w:val="20"/>
                <w:szCs w:val="20"/>
                <w:color w:val="auto"/>
              </w:rPr>
            </w:pPr>
            <w:r>
              <w:rPr>
                <w:rFonts w:ascii="Times New Roman" w:cs="Times New Roman" w:eastAsia="Times New Roman" w:hAnsi="Times New Roman"/>
                <w:sz w:val="14"/>
                <w:szCs w:val="14"/>
                <w:color w:val="auto"/>
              </w:rPr>
              <w:t>11.10, 16.02</w:t>
            </w:r>
          </w:p>
        </w:tc>
        <w:tc>
          <w:tcPr>
            <w:tcW w:w="860" w:type="dxa"/>
            <w:vAlign w:val="bottom"/>
          </w:tcPr>
          <w:p>
            <w:pPr>
              <w:spacing w:after="0"/>
              <w:rPr>
                <w:sz w:val="14"/>
                <w:szCs w:val="14"/>
                <w:color w:val="auto"/>
              </w:rPr>
            </w:pP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(c)</w:t>
            </w:r>
          </w:p>
        </w:tc>
        <w:tc>
          <w:tcPr>
            <w:tcW w:w="5680" w:type="dxa"/>
            <w:vAlign w:val="bottom"/>
            <w:gridSpan w:val="2"/>
          </w:tcPr>
          <w:p>
            <w:pPr>
              <w:ind w:left="4600"/>
              <w:spacing w:after="0"/>
              <w:rPr>
                <w:sz w:val="20"/>
                <w:szCs w:val="20"/>
                <w:color w:val="auto"/>
              </w:rPr>
            </w:pPr>
            <w:r>
              <w:rPr>
                <w:rFonts w:ascii="Times New Roman" w:cs="Times New Roman" w:eastAsia="Times New Roman" w:hAnsi="Times New Roman"/>
                <w:sz w:val="14"/>
                <w:szCs w:val="14"/>
                <w:color w:val="auto"/>
              </w:rPr>
              <w:t>11.10, 16.02</w:t>
            </w:r>
          </w:p>
        </w:tc>
        <w:tc>
          <w:tcPr>
            <w:tcW w:w="860" w:type="dxa"/>
            <w:vAlign w:val="bottom"/>
          </w:tcPr>
          <w:p>
            <w:pPr>
              <w:spacing w:after="0"/>
              <w:rPr>
                <w:sz w:val="14"/>
                <w:szCs w:val="14"/>
                <w:color w:val="auto"/>
              </w:rPr>
            </w:pP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313 (a)</w:t>
            </w:r>
          </w:p>
        </w:tc>
        <w:tc>
          <w:tcPr>
            <w:tcW w:w="6540" w:type="dxa"/>
            <w:vAlign w:val="bottom"/>
            <w:gridSpan w:val="3"/>
          </w:tcPr>
          <w:p>
            <w:pPr>
              <w:ind w:left="4600"/>
              <w:spacing w:after="0"/>
              <w:rPr>
                <w:sz w:val="20"/>
                <w:szCs w:val="20"/>
                <w:color w:val="auto"/>
              </w:rPr>
            </w:pPr>
            <w:r>
              <w:rPr>
                <w:rFonts w:ascii="Times New Roman" w:cs="Times New Roman" w:eastAsia="Times New Roman" w:hAnsi="Times New Roman"/>
                <w:sz w:val="14"/>
                <w:szCs w:val="14"/>
                <w:color w:val="auto"/>
              </w:rPr>
              <w:t>10.01(a), 16.02</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314</w:t>
            </w:r>
          </w:p>
        </w:tc>
        <w:tc>
          <w:tcPr>
            <w:tcW w:w="5680" w:type="dxa"/>
            <w:vAlign w:val="bottom"/>
            <w:gridSpan w:val="2"/>
          </w:tcPr>
          <w:p>
            <w:pPr>
              <w:ind w:left="4600"/>
              <w:spacing w:after="0"/>
              <w:rPr>
                <w:sz w:val="20"/>
                <w:szCs w:val="20"/>
                <w:color w:val="auto"/>
              </w:rPr>
            </w:pPr>
            <w:r>
              <w:rPr>
                <w:rFonts w:ascii="Times New Roman" w:cs="Times New Roman" w:eastAsia="Times New Roman" w:hAnsi="Times New Roman"/>
                <w:sz w:val="14"/>
                <w:szCs w:val="14"/>
                <w:color w:val="auto"/>
              </w:rPr>
              <w:t>16.02</w:t>
            </w:r>
          </w:p>
        </w:tc>
        <w:tc>
          <w:tcPr>
            <w:tcW w:w="860" w:type="dxa"/>
            <w:vAlign w:val="bottom"/>
          </w:tcPr>
          <w:p>
            <w:pPr>
              <w:spacing w:after="0"/>
              <w:rPr>
                <w:sz w:val="14"/>
                <w:szCs w:val="14"/>
                <w:color w:val="auto"/>
              </w:rPr>
            </w:pP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315 (e)</w:t>
            </w:r>
          </w:p>
        </w:tc>
        <w:tc>
          <w:tcPr>
            <w:tcW w:w="5680" w:type="dxa"/>
            <w:vAlign w:val="bottom"/>
            <w:gridSpan w:val="2"/>
          </w:tcPr>
          <w:p>
            <w:pPr>
              <w:ind w:left="4600"/>
              <w:spacing w:after="0"/>
              <w:rPr>
                <w:sz w:val="20"/>
                <w:szCs w:val="20"/>
                <w:color w:val="auto"/>
              </w:rPr>
            </w:pPr>
            <w:r>
              <w:rPr>
                <w:rFonts w:ascii="Times New Roman" w:cs="Times New Roman" w:eastAsia="Times New Roman" w:hAnsi="Times New Roman"/>
                <w:sz w:val="14"/>
                <w:szCs w:val="14"/>
                <w:color w:val="auto"/>
              </w:rPr>
              <w:t>11.05, 16.02</w:t>
            </w:r>
          </w:p>
        </w:tc>
        <w:tc>
          <w:tcPr>
            <w:tcW w:w="860" w:type="dxa"/>
            <w:vAlign w:val="bottom"/>
          </w:tcPr>
          <w:p>
            <w:pPr>
              <w:spacing w:after="0"/>
              <w:rPr>
                <w:sz w:val="14"/>
                <w:szCs w:val="14"/>
                <w:color w:val="auto"/>
              </w:rPr>
            </w:pP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316</w:t>
            </w:r>
          </w:p>
        </w:tc>
        <w:tc>
          <w:tcPr>
            <w:tcW w:w="5680" w:type="dxa"/>
            <w:vAlign w:val="bottom"/>
            <w:gridSpan w:val="2"/>
          </w:tcPr>
          <w:p>
            <w:pPr>
              <w:ind w:left="4600"/>
              <w:spacing w:after="0"/>
              <w:rPr>
                <w:sz w:val="20"/>
                <w:szCs w:val="20"/>
                <w:color w:val="auto"/>
              </w:rPr>
            </w:pPr>
            <w:r>
              <w:rPr>
                <w:rFonts w:ascii="Times New Roman" w:cs="Times New Roman" w:eastAsia="Times New Roman" w:hAnsi="Times New Roman"/>
                <w:sz w:val="14"/>
                <w:szCs w:val="14"/>
                <w:color w:val="auto"/>
              </w:rPr>
              <w:t>16.02</w:t>
            </w:r>
          </w:p>
        </w:tc>
        <w:tc>
          <w:tcPr>
            <w:tcW w:w="860" w:type="dxa"/>
            <w:vAlign w:val="bottom"/>
          </w:tcPr>
          <w:p>
            <w:pPr>
              <w:spacing w:after="0"/>
              <w:rPr>
                <w:sz w:val="14"/>
                <w:szCs w:val="14"/>
                <w:color w:val="auto"/>
              </w:rPr>
            </w:pP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317</w:t>
            </w:r>
          </w:p>
        </w:tc>
        <w:tc>
          <w:tcPr>
            <w:tcW w:w="5680" w:type="dxa"/>
            <w:vAlign w:val="bottom"/>
            <w:gridSpan w:val="2"/>
          </w:tcPr>
          <w:p>
            <w:pPr>
              <w:ind w:left="4600"/>
              <w:spacing w:after="0"/>
              <w:rPr>
                <w:sz w:val="20"/>
                <w:szCs w:val="20"/>
                <w:color w:val="auto"/>
              </w:rPr>
            </w:pPr>
            <w:r>
              <w:rPr>
                <w:rFonts w:ascii="Times New Roman" w:cs="Times New Roman" w:eastAsia="Times New Roman" w:hAnsi="Times New Roman"/>
                <w:sz w:val="14"/>
                <w:szCs w:val="14"/>
                <w:color w:val="auto"/>
              </w:rPr>
              <w:t>16.02</w:t>
            </w:r>
          </w:p>
        </w:tc>
        <w:tc>
          <w:tcPr>
            <w:tcW w:w="860" w:type="dxa"/>
            <w:vAlign w:val="bottom"/>
          </w:tcPr>
          <w:p>
            <w:pPr>
              <w:spacing w:after="0"/>
              <w:rPr>
                <w:sz w:val="14"/>
                <w:szCs w:val="14"/>
                <w:color w:val="auto"/>
              </w:rPr>
            </w:pPr>
          </w:p>
        </w:tc>
      </w:tr>
      <w:tr>
        <w:trPr>
          <w:trHeight w:val="184"/>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 318</w:t>
            </w:r>
          </w:p>
        </w:tc>
        <w:tc>
          <w:tcPr>
            <w:tcW w:w="5680" w:type="dxa"/>
            <w:vAlign w:val="bottom"/>
            <w:gridSpan w:val="2"/>
          </w:tcPr>
          <w:p>
            <w:pPr>
              <w:ind w:left="4600"/>
              <w:spacing w:after="0"/>
              <w:rPr>
                <w:sz w:val="20"/>
                <w:szCs w:val="20"/>
                <w:color w:val="auto"/>
              </w:rPr>
            </w:pPr>
            <w:r>
              <w:rPr>
                <w:rFonts w:ascii="Times New Roman" w:cs="Times New Roman" w:eastAsia="Times New Roman" w:hAnsi="Times New Roman"/>
                <w:sz w:val="14"/>
                <w:szCs w:val="14"/>
                <w:color w:val="auto"/>
              </w:rPr>
              <w:t>16.02</w:t>
            </w:r>
          </w:p>
        </w:tc>
        <w:tc>
          <w:tcPr>
            <w:tcW w:w="860" w:type="dxa"/>
            <w:vAlign w:val="bottom"/>
          </w:tcPr>
          <w:p>
            <w:pPr>
              <w:spacing w:after="0"/>
              <w:rPr>
                <w:sz w:val="15"/>
                <w:szCs w:val="15"/>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reconciliation and tie shall not, for any purpose, be deemed to be a part of the Indenture.</w:t>
      </w:r>
    </w:p>
    <w:p>
      <w:pPr>
        <w:spacing w:after="0" w:line="3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0159"/>
          </w:cols>
          <w:pgMar w:left="300" w:top="737"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312"/>
        </w:trPr>
        <w:tc>
          <w:tcPr>
            <w:tcW w:w="1040" w:type="dxa"/>
            <w:vAlign w:val="bottom"/>
          </w:tcPr>
          <w:p>
            <w:pPr>
              <w:spacing w:after="0"/>
              <w:rPr>
                <w:sz w:val="24"/>
                <w:szCs w:val="24"/>
                <w:color w:val="auto"/>
              </w:rPr>
            </w:pPr>
          </w:p>
        </w:tc>
        <w:tc>
          <w:tcPr>
            <w:tcW w:w="7740" w:type="dxa"/>
            <w:vAlign w:val="bottom"/>
          </w:tcPr>
          <w:p>
            <w:pPr>
              <w:jc w:val="center"/>
              <w:ind w:left="1389"/>
              <w:spacing w:after="0"/>
              <w:rPr>
                <w:sz w:val="20"/>
                <w:szCs w:val="20"/>
                <w:color w:val="auto"/>
              </w:rPr>
            </w:pPr>
            <w:r>
              <w:rPr>
                <w:rFonts w:ascii="Times New Roman" w:cs="Times New Roman" w:eastAsia="Times New Roman" w:hAnsi="Times New Roman"/>
                <w:sz w:val="14"/>
                <w:szCs w:val="14"/>
                <w:b w:val="1"/>
                <w:bCs w:val="1"/>
                <w:color w:val="auto"/>
                <w:w w:val="98"/>
              </w:rPr>
              <w:t>TABLE OF CONTENTS</w:t>
            </w:r>
            <w:r>
              <w:rPr>
                <w:rFonts w:ascii="Times New Roman" w:cs="Times New Roman" w:eastAsia="Times New Roman" w:hAnsi="Times New Roman"/>
                <w:sz w:val="23"/>
                <w:szCs w:val="23"/>
                <w:b w:val="1"/>
                <w:bCs w:val="1"/>
                <w:color w:val="auto"/>
                <w:w w:val="98"/>
                <w:vertAlign w:val="superscript"/>
              </w:rPr>
              <w:t>*</w:t>
            </w:r>
          </w:p>
        </w:tc>
        <w:tc>
          <w:tcPr>
            <w:tcW w:w="2500" w:type="dxa"/>
            <w:vAlign w:val="bottom"/>
          </w:tcPr>
          <w:p>
            <w:pPr>
              <w:spacing w:after="0"/>
              <w:rPr>
                <w:sz w:val="24"/>
                <w:szCs w:val="24"/>
                <w:color w:val="auto"/>
              </w:rPr>
            </w:pPr>
          </w:p>
        </w:tc>
      </w:tr>
      <w:tr>
        <w:trPr>
          <w:trHeight w:val="241"/>
        </w:trPr>
        <w:tc>
          <w:tcPr>
            <w:tcW w:w="104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339"/>
        </w:trPr>
        <w:tc>
          <w:tcPr>
            <w:tcW w:w="1040" w:type="dxa"/>
            <w:vAlign w:val="bottom"/>
          </w:tcPr>
          <w:p>
            <w:pPr>
              <w:spacing w:after="0"/>
              <w:rPr>
                <w:sz w:val="24"/>
                <w:szCs w:val="24"/>
                <w:color w:val="auto"/>
              </w:rPr>
            </w:pPr>
          </w:p>
        </w:tc>
        <w:tc>
          <w:tcPr>
            <w:tcW w:w="774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rPr>
              <w:t>ARTICLE I</w:t>
            </w:r>
          </w:p>
        </w:tc>
        <w:tc>
          <w:tcPr>
            <w:tcW w:w="2500" w:type="dxa"/>
            <w:vAlign w:val="bottom"/>
          </w:tcPr>
          <w:p>
            <w:pPr>
              <w:spacing w:after="0"/>
              <w:rPr>
                <w:sz w:val="24"/>
                <w:szCs w:val="24"/>
                <w:color w:val="auto"/>
              </w:rPr>
            </w:pPr>
          </w:p>
        </w:tc>
      </w:tr>
      <w:tr>
        <w:trPr>
          <w:trHeight w:val="339"/>
        </w:trPr>
        <w:tc>
          <w:tcPr>
            <w:tcW w:w="1040" w:type="dxa"/>
            <w:vAlign w:val="bottom"/>
          </w:tcPr>
          <w:p>
            <w:pPr>
              <w:spacing w:after="0"/>
              <w:rPr>
                <w:sz w:val="24"/>
                <w:szCs w:val="24"/>
                <w:color w:val="auto"/>
              </w:rPr>
            </w:pPr>
          </w:p>
        </w:tc>
        <w:tc>
          <w:tcPr>
            <w:tcW w:w="774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rPr>
              <w:t>DEFINITIONS</w:t>
            </w:r>
          </w:p>
        </w:tc>
        <w:tc>
          <w:tcPr>
            <w:tcW w:w="2500" w:type="dxa"/>
            <w:vAlign w:val="bottom"/>
          </w:tcPr>
          <w:p>
            <w:pPr>
              <w:spacing w:after="0"/>
              <w:rPr>
                <w:sz w:val="24"/>
                <w:szCs w:val="24"/>
                <w:color w:val="auto"/>
              </w:rPr>
            </w:pPr>
          </w:p>
        </w:tc>
      </w:tr>
      <w:tr>
        <w:trPr>
          <w:trHeight w:val="33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1.01</w:t>
            </w:r>
          </w:p>
        </w:tc>
        <w:tc>
          <w:tcPr>
            <w:tcW w:w="7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Definitions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39"/>
        </w:trPr>
        <w:tc>
          <w:tcPr>
            <w:tcW w:w="1040" w:type="dxa"/>
            <w:vAlign w:val="bottom"/>
          </w:tcPr>
          <w:p>
            <w:pPr>
              <w:spacing w:after="0"/>
              <w:rPr>
                <w:sz w:val="24"/>
                <w:szCs w:val="24"/>
                <w:color w:val="auto"/>
              </w:rPr>
            </w:pPr>
          </w:p>
        </w:tc>
        <w:tc>
          <w:tcPr>
            <w:tcW w:w="774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rPr>
              <w:t>ARTICLE II</w:t>
            </w:r>
          </w:p>
        </w:tc>
        <w:tc>
          <w:tcPr>
            <w:tcW w:w="2500" w:type="dxa"/>
            <w:vAlign w:val="bottom"/>
          </w:tcPr>
          <w:p>
            <w:pPr>
              <w:spacing w:after="0"/>
              <w:rPr>
                <w:sz w:val="24"/>
                <w:szCs w:val="24"/>
                <w:color w:val="auto"/>
              </w:rPr>
            </w:pPr>
          </w:p>
        </w:tc>
      </w:tr>
      <w:tr>
        <w:trPr>
          <w:trHeight w:val="339"/>
        </w:trPr>
        <w:tc>
          <w:tcPr>
            <w:tcW w:w="1040" w:type="dxa"/>
            <w:vAlign w:val="bottom"/>
          </w:tcPr>
          <w:p>
            <w:pPr>
              <w:spacing w:after="0"/>
              <w:rPr>
                <w:sz w:val="24"/>
                <w:szCs w:val="24"/>
                <w:color w:val="auto"/>
              </w:rPr>
            </w:pPr>
          </w:p>
        </w:tc>
        <w:tc>
          <w:tcPr>
            <w:tcW w:w="774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rPr>
              <w:t>FORMS OF SECURITIES</w:t>
            </w:r>
          </w:p>
        </w:tc>
        <w:tc>
          <w:tcPr>
            <w:tcW w:w="2500" w:type="dxa"/>
            <w:vAlign w:val="bottom"/>
          </w:tcPr>
          <w:p>
            <w:pPr>
              <w:spacing w:after="0"/>
              <w:rPr>
                <w:sz w:val="24"/>
                <w:szCs w:val="24"/>
                <w:color w:val="auto"/>
              </w:rPr>
            </w:pPr>
          </w:p>
        </w:tc>
      </w:tr>
      <w:tr>
        <w:trPr>
          <w:trHeight w:val="32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2.01</w:t>
            </w:r>
          </w:p>
        </w:tc>
        <w:tc>
          <w:tcPr>
            <w:tcW w:w="7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Terms of the Securities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2.02</w:t>
            </w:r>
          </w:p>
        </w:tc>
        <w:tc>
          <w:tcPr>
            <w:tcW w:w="7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Form of Trustee’s Certificate of Authentication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4"/>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2.03</w:t>
            </w:r>
          </w:p>
        </w:tc>
        <w:tc>
          <w:tcPr>
            <w:tcW w:w="7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Form of Trustee’s Certificate of Authentication by an Authenticating Agent</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339"/>
        </w:trPr>
        <w:tc>
          <w:tcPr>
            <w:tcW w:w="1040" w:type="dxa"/>
            <w:vAlign w:val="bottom"/>
          </w:tcPr>
          <w:p>
            <w:pPr>
              <w:spacing w:after="0"/>
              <w:rPr>
                <w:sz w:val="24"/>
                <w:szCs w:val="24"/>
                <w:color w:val="auto"/>
              </w:rPr>
            </w:pPr>
          </w:p>
        </w:tc>
        <w:tc>
          <w:tcPr>
            <w:tcW w:w="774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w w:val="99"/>
              </w:rPr>
              <w:t>ARTICLE III</w:t>
            </w:r>
          </w:p>
        </w:tc>
        <w:tc>
          <w:tcPr>
            <w:tcW w:w="2500" w:type="dxa"/>
            <w:vAlign w:val="bottom"/>
          </w:tcPr>
          <w:p>
            <w:pPr>
              <w:spacing w:after="0"/>
              <w:rPr>
                <w:sz w:val="24"/>
                <w:szCs w:val="24"/>
                <w:color w:val="auto"/>
              </w:rPr>
            </w:pPr>
          </w:p>
        </w:tc>
      </w:tr>
      <w:tr>
        <w:trPr>
          <w:trHeight w:val="339"/>
        </w:trPr>
        <w:tc>
          <w:tcPr>
            <w:tcW w:w="1040" w:type="dxa"/>
            <w:vAlign w:val="bottom"/>
          </w:tcPr>
          <w:p>
            <w:pPr>
              <w:spacing w:after="0"/>
              <w:rPr>
                <w:sz w:val="24"/>
                <w:szCs w:val="24"/>
                <w:color w:val="auto"/>
              </w:rPr>
            </w:pPr>
          </w:p>
        </w:tc>
        <w:tc>
          <w:tcPr>
            <w:tcW w:w="774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rPr>
              <w:t>THE DEBT SECURITIES</w:t>
            </w:r>
          </w:p>
        </w:tc>
        <w:tc>
          <w:tcPr>
            <w:tcW w:w="2500" w:type="dxa"/>
            <w:vAlign w:val="bottom"/>
          </w:tcPr>
          <w:p>
            <w:pPr>
              <w:spacing w:after="0"/>
              <w:rPr>
                <w:sz w:val="24"/>
                <w:szCs w:val="24"/>
                <w:color w:val="auto"/>
              </w:rPr>
            </w:pPr>
          </w:p>
        </w:tc>
      </w:tr>
      <w:tr>
        <w:trPr>
          <w:trHeight w:val="32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3.01</w:t>
            </w:r>
          </w:p>
        </w:tc>
        <w:tc>
          <w:tcPr>
            <w:tcW w:w="7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Amount Unlimited; Issuable in Series</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3.02</w:t>
            </w:r>
          </w:p>
        </w:tc>
        <w:tc>
          <w:tcPr>
            <w:tcW w:w="7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Denominations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3.03</w:t>
            </w:r>
          </w:p>
        </w:tc>
        <w:tc>
          <w:tcPr>
            <w:tcW w:w="7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Execution, Authentication, Delivery and Dating</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3.04</w:t>
            </w:r>
          </w:p>
        </w:tc>
        <w:tc>
          <w:tcPr>
            <w:tcW w:w="7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Temporary Securities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3.05</w:t>
            </w:r>
          </w:p>
        </w:tc>
        <w:tc>
          <w:tcPr>
            <w:tcW w:w="7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Registrar</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3.06</w:t>
            </w:r>
          </w:p>
        </w:tc>
        <w:tc>
          <w:tcPr>
            <w:tcW w:w="7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Transfer and Exchange</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3.07</w:t>
            </w:r>
          </w:p>
        </w:tc>
        <w:tc>
          <w:tcPr>
            <w:tcW w:w="7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Mutilated, Destroyed, Lost and Stolen Securities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3.08</w:t>
            </w:r>
          </w:p>
        </w:tc>
        <w:tc>
          <w:tcPr>
            <w:tcW w:w="7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Payment of Interest; Interest Rights Preserved</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3.09</w:t>
            </w:r>
          </w:p>
        </w:tc>
        <w:tc>
          <w:tcPr>
            <w:tcW w:w="7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Cancellation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3.10</w:t>
            </w:r>
          </w:p>
        </w:tc>
        <w:tc>
          <w:tcPr>
            <w:tcW w:w="7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Computation of Interest</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3.11</w:t>
            </w:r>
          </w:p>
        </w:tc>
        <w:tc>
          <w:tcPr>
            <w:tcW w:w="7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Currency of Payments in Respect of Securities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3.12</w:t>
            </w:r>
          </w:p>
        </w:tc>
        <w:tc>
          <w:tcPr>
            <w:tcW w:w="7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Judgments</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4"/>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3.13</w:t>
            </w:r>
          </w:p>
        </w:tc>
        <w:tc>
          <w:tcPr>
            <w:tcW w:w="7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CUSIP Numbers</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339"/>
        </w:trPr>
        <w:tc>
          <w:tcPr>
            <w:tcW w:w="1040" w:type="dxa"/>
            <w:vAlign w:val="bottom"/>
          </w:tcPr>
          <w:p>
            <w:pPr>
              <w:spacing w:after="0"/>
              <w:rPr>
                <w:sz w:val="24"/>
                <w:szCs w:val="24"/>
                <w:color w:val="auto"/>
              </w:rPr>
            </w:pPr>
          </w:p>
        </w:tc>
        <w:tc>
          <w:tcPr>
            <w:tcW w:w="774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w w:val="98"/>
              </w:rPr>
              <w:t>ARTICLE IV</w:t>
            </w:r>
          </w:p>
        </w:tc>
        <w:tc>
          <w:tcPr>
            <w:tcW w:w="2500" w:type="dxa"/>
            <w:vAlign w:val="bottom"/>
          </w:tcPr>
          <w:p>
            <w:pPr>
              <w:spacing w:after="0"/>
              <w:rPr>
                <w:sz w:val="24"/>
                <w:szCs w:val="24"/>
                <w:color w:val="auto"/>
              </w:rPr>
            </w:pPr>
          </w:p>
        </w:tc>
      </w:tr>
      <w:tr>
        <w:trPr>
          <w:trHeight w:val="339"/>
        </w:trPr>
        <w:tc>
          <w:tcPr>
            <w:tcW w:w="1040" w:type="dxa"/>
            <w:vAlign w:val="bottom"/>
          </w:tcPr>
          <w:p>
            <w:pPr>
              <w:spacing w:after="0"/>
              <w:rPr>
                <w:sz w:val="24"/>
                <w:szCs w:val="24"/>
                <w:color w:val="auto"/>
              </w:rPr>
            </w:pPr>
          </w:p>
        </w:tc>
        <w:tc>
          <w:tcPr>
            <w:tcW w:w="774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rPr>
              <w:t>REDEMPTION OF SECURITIES</w:t>
            </w:r>
          </w:p>
        </w:tc>
        <w:tc>
          <w:tcPr>
            <w:tcW w:w="2500" w:type="dxa"/>
            <w:vAlign w:val="bottom"/>
          </w:tcPr>
          <w:p>
            <w:pPr>
              <w:spacing w:after="0"/>
              <w:rPr>
                <w:sz w:val="24"/>
                <w:szCs w:val="24"/>
                <w:color w:val="auto"/>
              </w:rPr>
            </w:pPr>
          </w:p>
        </w:tc>
      </w:tr>
      <w:tr>
        <w:trPr>
          <w:trHeight w:val="32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4.01</w:t>
            </w:r>
          </w:p>
        </w:tc>
        <w:tc>
          <w:tcPr>
            <w:tcW w:w="7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Applicability of Right of Redemption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4"/>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4.02</w:t>
            </w:r>
          </w:p>
        </w:tc>
        <w:tc>
          <w:tcPr>
            <w:tcW w:w="7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Selection of Securities to be Redeemed</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178879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1788795" cy="698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The Table of Contents is not a part of the Indenture.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216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41" w:right="3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4.03</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Notice of Redemption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4.04</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Deposit of Redemption Price</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4.05</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Securities Payable on Redemption Date</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4"/>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4.06</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Securities Redeemed in Part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339"/>
        </w:trPr>
        <w:tc>
          <w:tcPr>
            <w:tcW w:w="1040" w:type="dxa"/>
            <w:vAlign w:val="bottom"/>
          </w:tcPr>
          <w:p>
            <w:pPr>
              <w:spacing w:after="0"/>
              <w:rPr>
                <w:sz w:val="24"/>
                <w:szCs w:val="24"/>
                <w:color w:val="auto"/>
              </w:rPr>
            </w:pPr>
          </w:p>
        </w:tc>
        <w:tc>
          <w:tcPr>
            <w:tcW w:w="8180" w:type="dxa"/>
            <w:vAlign w:val="bottom"/>
          </w:tcPr>
          <w:p>
            <w:pPr>
              <w:jc w:val="center"/>
              <w:ind w:left="949"/>
              <w:spacing w:after="0"/>
              <w:rPr>
                <w:sz w:val="20"/>
                <w:szCs w:val="20"/>
                <w:color w:val="auto"/>
              </w:rPr>
            </w:pPr>
            <w:r>
              <w:rPr>
                <w:rFonts w:ascii="Times New Roman" w:cs="Times New Roman" w:eastAsia="Times New Roman" w:hAnsi="Times New Roman"/>
                <w:sz w:val="14"/>
                <w:szCs w:val="14"/>
                <w:color w:val="auto"/>
                <w:w w:val="98"/>
              </w:rPr>
              <w:t>ARTICLE V</w:t>
            </w:r>
          </w:p>
        </w:tc>
        <w:tc>
          <w:tcPr>
            <w:tcW w:w="2060" w:type="dxa"/>
            <w:vAlign w:val="bottom"/>
          </w:tcPr>
          <w:p>
            <w:pPr>
              <w:spacing w:after="0"/>
              <w:rPr>
                <w:sz w:val="24"/>
                <w:szCs w:val="24"/>
                <w:color w:val="auto"/>
              </w:rPr>
            </w:pPr>
          </w:p>
        </w:tc>
      </w:tr>
      <w:tr>
        <w:trPr>
          <w:trHeight w:val="339"/>
        </w:trPr>
        <w:tc>
          <w:tcPr>
            <w:tcW w:w="1040" w:type="dxa"/>
            <w:vAlign w:val="bottom"/>
          </w:tcPr>
          <w:p>
            <w:pPr>
              <w:spacing w:after="0"/>
              <w:rPr>
                <w:sz w:val="24"/>
                <w:szCs w:val="24"/>
                <w:color w:val="auto"/>
              </w:rPr>
            </w:pPr>
          </w:p>
        </w:tc>
        <w:tc>
          <w:tcPr>
            <w:tcW w:w="8180" w:type="dxa"/>
            <w:vAlign w:val="bottom"/>
          </w:tcPr>
          <w:p>
            <w:pPr>
              <w:jc w:val="center"/>
              <w:ind w:left="949"/>
              <w:spacing w:after="0"/>
              <w:rPr>
                <w:sz w:val="20"/>
                <w:szCs w:val="20"/>
                <w:color w:val="auto"/>
              </w:rPr>
            </w:pPr>
            <w:r>
              <w:rPr>
                <w:rFonts w:ascii="Times New Roman" w:cs="Times New Roman" w:eastAsia="Times New Roman" w:hAnsi="Times New Roman"/>
                <w:sz w:val="14"/>
                <w:szCs w:val="14"/>
                <w:color w:val="auto"/>
              </w:rPr>
              <w:t>SINKING FUNDS</w:t>
            </w:r>
          </w:p>
        </w:tc>
        <w:tc>
          <w:tcPr>
            <w:tcW w:w="2060" w:type="dxa"/>
            <w:vAlign w:val="bottom"/>
          </w:tcPr>
          <w:p>
            <w:pPr>
              <w:spacing w:after="0"/>
              <w:rPr>
                <w:sz w:val="24"/>
                <w:szCs w:val="24"/>
                <w:color w:val="auto"/>
              </w:rPr>
            </w:pPr>
          </w:p>
        </w:tc>
      </w:tr>
      <w:tr>
        <w:trPr>
          <w:trHeight w:val="32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5.01</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Applicability of Sinking Fund</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5.02</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Mandatory Sinking Fund Obligation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5.03</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Optional Redemption at Sinking Fund Redemption Price</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4"/>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5.04</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Application of Sinking Fund Payment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339"/>
        </w:trPr>
        <w:tc>
          <w:tcPr>
            <w:tcW w:w="1040" w:type="dxa"/>
            <w:vAlign w:val="bottom"/>
          </w:tcPr>
          <w:p>
            <w:pPr>
              <w:spacing w:after="0"/>
              <w:rPr>
                <w:sz w:val="24"/>
                <w:szCs w:val="24"/>
                <w:color w:val="auto"/>
              </w:rPr>
            </w:pPr>
          </w:p>
        </w:tc>
        <w:tc>
          <w:tcPr>
            <w:tcW w:w="8180" w:type="dxa"/>
            <w:vAlign w:val="bottom"/>
          </w:tcPr>
          <w:p>
            <w:pPr>
              <w:jc w:val="center"/>
              <w:ind w:left="949"/>
              <w:spacing w:after="0"/>
              <w:rPr>
                <w:sz w:val="20"/>
                <w:szCs w:val="20"/>
                <w:color w:val="auto"/>
              </w:rPr>
            </w:pPr>
            <w:r>
              <w:rPr>
                <w:rFonts w:ascii="Times New Roman" w:cs="Times New Roman" w:eastAsia="Times New Roman" w:hAnsi="Times New Roman"/>
                <w:sz w:val="14"/>
                <w:szCs w:val="14"/>
                <w:color w:val="auto"/>
                <w:w w:val="98"/>
              </w:rPr>
              <w:t>ARTICLE VI</w:t>
            </w:r>
          </w:p>
        </w:tc>
        <w:tc>
          <w:tcPr>
            <w:tcW w:w="2060" w:type="dxa"/>
            <w:vAlign w:val="bottom"/>
          </w:tcPr>
          <w:p>
            <w:pPr>
              <w:spacing w:after="0"/>
              <w:rPr>
                <w:sz w:val="24"/>
                <w:szCs w:val="24"/>
                <w:color w:val="auto"/>
              </w:rPr>
            </w:pPr>
          </w:p>
        </w:tc>
      </w:tr>
      <w:tr>
        <w:trPr>
          <w:trHeight w:val="339"/>
        </w:trPr>
        <w:tc>
          <w:tcPr>
            <w:tcW w:w="1040" w:type="dxa"/>
            <w:vAlign w:val="bottom"/>
          </w:tcPr>
          <w:p>
            <w:pPr>
              <w:spacing w:after="0"/>
              <w:rPr>
                <w:sz w:val="24"/>
                <w:szCs w:val="24"/>
                <w:color w:val="auto"/>
              </w:rPr>
            </w:pPr>
          </w:p>
        </w:tc>
        <w:tc>
          <w:tcPr>
            <w:tcW w:w="8180" w:type="dxa"/>
            <w:vAlign w:val="bottom"/>
          </w:tcPr>
          <w:p>
            <w:pPr>
              <w:jc w:val="center"/>
              <w:ind w:left="949"/>
              <w:spacing w:after="0"/>
              <w:rPr>
                <w:sz w:val="20"/>
                <w:szCs w:val="20"/>
                <w:color w:val="auto"/>
              </w:rPr>
            </w:pPr>
            <w:r>
              <w:rPr>
                <w:rFonts w:ascii="Times New Roman" w:cs="Times New Roman" w:eastAsia="Times New Roman" w:hAnsi="Times New Roman"/>
                <w:sz w:val="14"/>
                <w:szCs w:val="14"/>
                <w:color w:val="auto"/>
                <w:w w:val="99"/>
              </w:rPr>
              <w:t>PARTICULAR COVENANTS OF THE COMPANY</w:t>
            </w:r>
          </w:p>
        </w:tc>
        <w:tc>
          <w:tcPr>
            <w:tcW w:w="2060" w:type="dxa"/>
            <w:vAlign w:val="bottom"/>
          </w:tcPr>
          <w:p>
            <w:pPr>
              <w:spacing w:after="0"/>
              <w:rPr>
                <w:sz w:val="24"/>
                <w:szCs w:val="24"/>
                <w:color w:val="auto"/>
              </w:rPr>
            </w:pPr>
          </w:p>
        </w:tc>
      </w:tr>
      <w:tr>
        <w:trPr>
          <w:trHeight w:val="32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6.01</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Payments of Securities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6.02</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Paying Agent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6.03</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 Hold Payment in Trust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6.04</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Merger, Consolidation and Sale of Assets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6.05</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Compliance Certificate</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6.06</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Conditional Waiver by Holders of Securities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4"/>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6.07</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Statement by Officers as to Default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339"/>
        </w:trPr>
        <w:tc>
          <w:tcPr>
            <w:tcW w:w="1040" w:type="dxa"/>
            <w:vAlign w:val="bottom"/>
          </w:tcPr>
          <w:p>
            <w:pPr>
              <w:spacing w:after="0"/>
              <w:rPr>
                <w:sz w:val="24"/>
                <w:szCs w:val="24"/>
                <w:color w:val="auto"/>
              </w:rPr>
            </w:pPr>
          </w:p>
        </w:tc>
        <w:tc>
          <w:tcPr>
            <w:tcW w:w="8180" w:type="dxa"/>
            <w:vAlign w:val="bottom"/>
          </w:tcPr>
          <w:p>
            <w:pPr>
              <w:jc w:val="center"/>
              <w:ind w:left="969"/>
              <w:spacing w:after="0"/>
              <w:rPr>
                <w:sz w:val="20"/>
                <w:szCs w:val="20"/>
                <w:color w:val="auto"/>
              </w:rPr>
            </w:pPr>
            <w:r>
              <w:rPr>
                <w:rFonts w:ascii="Times New Roman" w:cs="Times New Roman" w:eastAsia="Times New Roman" w:hAnsi="Times New Roman"/>
                <w:sz w:val="14"/>
                <w:szCs w:val="14"/>
                <w:color w:val="auto"/>
                <w:w w:val="99"/>
              </w:rPr>
              <w:t>ARTICLE VII</w:t>
            </w:r>
          </w:p>
        </w:tc>
        <w:tc>
          <w:tcPr>
            <w:tcW w:w="2060" w:type="dxa"/>
            <w:vAlign w:val="bottom"/>
          </w:tcPr>
          <w:p>
            <w:pPr>
              <w:spacing w:after="0"/>
              <w:rPr>
                <w:sz w:val="24"/>
                <w:szCs w:val="24"/>
                <w:color w:val="auto"/>
              </w:rPr>
            </w:pPr>
          </w:p>
        </w:tc>
      </w:tr>
      <w:tr>
        <w:trPr>
          <w:trHeight w:val="339"/>
        </w:trPr>
        <w:tc>
          <w:tcPr>
            <w:tcW w:w="1040" w:type="dxa"/>
            <w:vAlign w:val="bottom"/>
          </w:tcPr>
          <w:p>
            <w:pPr>
              <w:spacing w:after="0"/>
              <w:rPr>
                <w:sz w:val="24"/>
                <w:szCs w:val="24"/>
                <w:color w:val="auto"/>
              </w:rPr>
            </w:pPr>
          </w:p>
        </w:tc>
        <w:tc>
          <w:tcPr>
            <w:tcW w:w="8180" w:type="dxa"/>
            <w:vAlign w:val="bottom"/>
          </w:tcPr>
          <w:p>
            <w:pPr>
              <w:jc w:val="center"/>
              <w:ind w:left="969"/>
              <w:spacing w:after="0"/>
              <w:rPr>
                <w:sz w:val="20"/>
                <w:szCs w:val="20"/>
                <w:color w:val="auto"/>
              </w:rPr>
            </w:pPr>
            <w:r>
              <w:rPr>
                <w:rFonts w:ascii="Times New Roman" w:cs="Times New Roman" w:eastAsia="Times New Roman" w:hAnsi="Times New Roman"/>
                <w:sz w:val="14"/>
                <w:szCs w:val="14"/>
                <w:color w:val="auto"/>
              </w:rPr>
              <w:t>REMEDIES OF TRUSTEE AND SECURITYHOLDERS</w:t>
            </w:r>
          </w:p>
        </w:tc>
        <w:tc>
          <w:tcPr>
            <w:tcW w:w="2060" w:type="dxa"/>
            <w:vAlign w:val="bottom"/>
          </w:tcPr>
          <w:p>
            <w:pPr>
              <w:spacing w:after="0"/>
              <w:rPr>
                <w:sz w:val="24"/>
                <w:szCs w:val="24"/>
                <w:color w:val="auto"/>
              </w:rPr>
            </w:pPr>
          </w:p>
        </w:tc>
      </w:tr>
      <w:tr>
        <w:trPr>
          <w:trHeight w:val="32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7.01</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Events of Default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7.02</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Acceleration; Rescission and Annulment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7.03</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Remedies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7.04</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Trustee as Attorney-in-Fact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7.05</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Priorities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7.06</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Control by Securityholders; Waiver of Past Defaults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7.07</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Limitation on Suits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7.08</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Undertaking for Costs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4"/>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7.09</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Remedies Cumulative</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339"/>
        </w:trPr>
        <w:tc>
          <w:tcPr>
            <w:tcW w:w="1040" w:type="dxa"/>
            <w:vAlign w:val="bottom"/>
          </w:tcPr>
          <w:p>
            <w:pPr>
              <w:spacing w:after="0"/>
              <w:rPr>
                <w:sz w:val="24"/>
                <w:szCs w:val="24"/>
                <w:color w:val="auto"/>
              </w:rPr>
            </w:pPr>
          </w:p>
        </w:tc>
        <w:tc>
          <w:tcPr>
            <w:tcW w:w="8180" w:type="dxa"/>
            <w:vAlign w:val="bottom"/>
          </w:tcPr>
          <w:p>
            <w:pPr>
              <w:jc w:val="center"/>
              <w:ind w:left="969"/>
              <w:spacing w:after="0"/>
              <w:rPr>
                <w:sz w:val="20"/>
                <w:szCs w:val="20"/>
                <w:color w:val="auto"/>
              </w:rPr>
            </w:pPr>
            <w:r>
              <w:rPr>
                <w:rFonts w:ascii="Times New Roman" w:cs="Times New Roman" w:eastAsia="Times New Roman" w:hAnsi="Times New Roman"/>
                <w:sz w:val="14"/>
                <w:szCs w:val="14"/>
                <w:color w:val="auto"/>
                <w:w w:val="99"/>
              </w:rPr>
              <w:t>ARTICLE VIII</w:t>
            </w:r>
          </w:p>
        </w:tc>
        <w:tc>
          <w:tcPr>
            <w:tcW w:w="2060" w:type="dxa"/>
            <w:vAlign w:val="bottom"/>
          </w:tcPr>
          <w:p>
            <w:pPr>
              <w:spacing w:after="0"/>
              <w:rPr>
                <w:sz w:val="24"/>
                <w:szCs w:val="24"/>
                <w:color w:val="auto"/>
              </w:rPr>
            </w:pPr>
          </w:p>
        </w:tc>
      </w:tr>
      <w:tr>
        <w:trPr>
          <w:trHeight w:val="339"/>
        </w:trPr>
        <w:tc>
          <w:tcPr>
            <w:tcW w:w="1040" w:type="dxa"/>
            <w:vAlign w:val="bottom"/>
          </w:tcPr>
          <w:p>
            <w:pPr>
              <w:spacing w:after="0"/>
              <w:rPr>
                <w:sz w:val="24"/>
                <w:szCs w:val="24"/>
                <w:color w:val="auto"/>
              </w:rPr>
            </w:pPr>
          </w:p>
        </w:tc>
        <w:tc>
          <w:tcPr>
            <w:tcW w:w="8180" w:type="dxa"/>
            <w:vAlign w:val="bottom"/>
          </w:tcPr>
          <w:p>
            <w:pPr>
              <w:jc w:val="center"/>
              <w:ind w:left="949"/>
              <w:spacing w:after="0"/>
              <w:rPr>
                <w:sz w:val="20"/>
                <w:szCs w:val="20"/>
                <w:color w:val="auto"/>
              </w:rPr>
            </w:pPr>
            <w:r>
              <w:rPr>
                <w:rFonts w:ascii="Times New Roman" w:cs="Times New Roman" w:eastAsia="Times New Roman" w:hAnsi="Times New Roman"/>
                <w:sz w:val="14"/>
                <w:szCs w:val="14"/>
                <w:color w:val="auto"/>
              </w:rPr>
              <w:t>CONCERNING THE SECURITYHOLDERS</w:t>
            </w:r>
          </w:p>
        </w:tc>
        <w:tc>
          <w:tcPr>
            <w:tcW w:w="2060" w:type="dxa"/>
            <w:vAlign w:val="bottom"/>
          </w:tcPr>
          <w:p>
            <w:pPr>
              <w:spacing w:after="0"/>
              <w:rPr>
                <w:sz w:val="24"/>
                <w:szCs w:val="24"/>
                <w:color w:val="auto"/>
              </w:rPr>
            </w:pPr>
          </w:p>
        </w:tc>
      </w:tr>
      <w:tr>
        <w:trPr>
          <w:trHeight w:val="325"/>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8.01</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Evidence of Action of Securityholders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8.02</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Proof of Execution or Holding of Securities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8.03</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Persons Deemed Owners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4"/>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Section 8.04</w:t>
            </w:r>
          </w:p>
        </w:tc>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Effect of Consents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4"/>
        </w:trPr>
        <w:tc>
          <w:tcPr>
            <w:tcW w:w="1080" w:type="dxa"/>
            <w:vAlign w:val="bottom"/>
          </w:tcPr>
          <w:p>
            <w:pPr>
              <w:spacing w:after="0"/>
              <w:rPr>
                <w:sz w:val="15"/>
                <w:szCs w:val="15"/>
                <w:color w:val="auto"/>
              </w:rPr>
            </w:pPr>
          </w:p>
        </w:tc>
        <w:tc>
          <w:tcPr>
            <w:tcW w:w="820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8"/>
              </w:rPr>
              <w:t>ARTICLE IX</w:t>
            </w:r>
          </w:p>
        </w:tc>
        <w:tc>
          <w:tcPr>
            <w:tcW w:w="2000" w:type="dxa"/>
            <w:vAlign w:val="bottom"/>
          </w:tcPr>
          <w:p>
            <w:pPr>
              <w:spacing w:after="0"/>
              <w:rPr>
                <w:sz w:val="15"/>
                <w:szCs w:val="15"/>
                <w:color w:val="auto"/>
              </w:rPr>
            </w:pPr>
          </w:p>
        </w:tc>
      </w:tr>
      <w:tr>
        <w:trPr>
          <w:trHeight w:val="339"/>
        </w:trPr>
        <w:tc>
          <w:tcPr>
            <w:tcW w:w="1080" w:type="dxa"/>
            <w:vAlign w:val="bottom"/>
          </w:tcPr>
          <w:p>
            <w:pPr>
              <w:spacing w:after="0"/>
              <w:rPr>
                <w:sz w:val="24"/>
                <w:szCs w:val="24"/>
                <w:color w:val="auto"/>
              </w:rPr>
            </w:pPr>
          </w:p>
        </w:tc>
        <w:tc>
          <w:tcPr>
            <w:tcW w:w="820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rPr>
              <w:t>SECURITYHOLDERS’ MEETINGS</w:t>
            </w:r>
          </w:p>
        </w:tc>
        <w:tc>
          <w:tcPr>
            <w:tcW w:w="2000" w:type="dxa"/>
            <w:vAlign w:val="bottom"/>
          </w:tcPr>
          <w:p>
            <w:pPr>
              <w:spacing w:after="0"/>
              <w:rPr>
                <w:sz w:val="24"/>
                <w:szCs w:val="24"/>
                <w:color w:val="auto"/>
              </w:rPr>
            </w:pPr>
          </w:p>
        </w:tc>
      </w:tr>
      <w:tr>
        <w:trPr>
          <w:trHeight w:val="325"/>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9.01</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Purposes of Meetings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9.02</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Call of Meetings by Trustee</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9.03</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Call of Meetings by Company or Securityholders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9.04</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Qualifications for Voting</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9.05</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Regulation of Meetings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9.06</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Voting</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4"/>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9.07</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 Delay of Rights by Meeting</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339"/>
        </w:trPr>
        <w:tc>
          <w:tcPr>
            <w:tcW w:w="1080" w:type="dxa"/>
            <w:vAlign w:val="bottom"/>
          </w:tcPr>
          <w:p>
            <w:pPr>
              <w:spacing w:after="0"/>
              <w:rPr>
                <w:sz w:val="24"/>
                <w:szCs w:val="24"/>
                <w:color w:val="auto"/>
              </w:rPr>
            </w:pPr>
          </w:p>
        </w:tc>
        <w:tc>
          <w:tcPr>
            <w:tcW w:w="820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8"/>
              </w:rPr>
              <w:t>ARTICLE X</w:t>
            </w:r>
          </w:p>
        </w:tc>
        <w:tc>
          <w:tcPr>
            <w:tcW w:w="2000" w:type="dxa"/>
            <w:vAlign w:val="bottom"/>
          </w:tcPr>
          <w:p>
            <w:pPr>
              <w:spacing w:after="0"/>
              <w:rPr>
                <w:sz w:val="24"/>
                <w:szCs w:val="24"/>
                <w:color w:val="auto"/>
              </w:rPr>
            </w:pPr>
          </w:p>
        </w:tc>
      </w:tr>
      <w:tr>
        <w:trPr>
          <w:trHeight w:val="325"/>
        </w:trPr>
        <w:tc>
          <w:tcPr>
            <w:tcW w:w="1080" w:type="dxa"/>
            <w:vAlign w:val="bottom"/>
          </w:tcPr>
          <w:p>
            <w:pPr>
              <w:spacing w:after="0"/>
              <w:rPr>
                <w:sz w:val="24"/>
                <w:szCs w:val="24"/>
                <w:color w:val="auto"/>
              </w:rPr>
            </w:pPr>
          </w:p>
        </w:tc>
        <w:tc>
          <w:tcPr>
            <w:tcW w:w="820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REPORTS BY THE COMPANY AND THE TRUSTEE AND</w:t>
            </w:r>
          </w:p>
        </w:tc>
        <w:tc>
          <w:tcPr>
            <w:tcW w:w="2000" w:type="dxa"/>
            <w:vAlign w:val="bottom"/>
          </w:tcPr>
          <w:p>
            <w:pPr>
              <w:spacing w:after="0"/>
              <w:rPr>
                <w:sz w:val="24"/>
                <w:szCs w:val="24"/>
                <w:color w:val="auto"/>
              </w:rPr>
            </w:pPr>
          </w:p>
        </w:tc>
      </w:tr>
      <w:tr>
        <w:trPr>
          <w:trHeight w:val="184"/>
        </w:trPr>
        <w:tc>
          <w:tcPr>
            <w:tcW w:w="1080" w:type="dxa"/>
            <w:vAlign w:val="bottom"/>
          </w:tcPr>
          <w:p>
            <w:pPr>
              <w:spacing w:after="0"/>
              <w:rPr>
                <w:sz w:val="15"/>
                <w:szCs w:val="15"/>
                <w:color w:val="auto"/>
              </w:rPr>
            </w:pPr>
          </w:p>
        </w:tc>
        <w:tc>
          <w:tcPr>
            <w:tcW w:w="820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SECURITYHOLDERS’ LISTS</w:t>
            </w:r>
          </w:p>
        </w:tc>
        <w:tc>
          <w:tcPr>
            <w:tcW w:w="2000" w:type="dxa"/>
            <w:vAlign w:val="bottom"/>
          </w:tcPr>
          <w:p>
            <w:pPr>
              <w:spacing w:after="0"/>
              <w:rPr>
                <w:sz w:val="15"/>
                <w:szCs w:val="15"/>
                <w:color w:val="auto"/>
              </w:rPr>
            </w:pPr>
          </w:p>
        </w:tc>
      </w:tr>
      <w:tr>
        <w:trPr>
          <w:trHeight w:val="325"/>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10.01</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Reports by Trustee</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10.02</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Reports by the Company</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84"/>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10.03</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Securityholders’ Lists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339"/>
        </w:trPr>
        <w:tc>
          <w:tcPr>
            <w:tcW w:w="1080" w:type="dxa"/>
            <w:vAlign w:val="bottom"/>
          </w:tcPr>
          <w:p>
            <w:pPr>
              <w:spacing w:after="0"/>
              <w:rPr>
                <w:sz w:val="24"/>
                <w:szCs w:val="24"/>
                <w:color w:val="auto"/>
              </w:rPr>
            </w:pPr>
          </w:p>
        </w:tc>
        <w:tc>
          <w:tcPr>
            <w:tcW w:w="820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w w:val="98"/>
              </w:rPr>
              <w:t>ARTICLE XI</w:t>
            </w:r>
          </w:p>
        </w:tc>
        <w:tc>
          <w:tcPr>
            <w:tcW w:w="2000" w:type="dxa"/>
            <w:vAlign w:val="bottom"/>
          </w:tcPr>
          <w:p>
            <w:pPr>
              <w:spacing w:after="0"/>
              <w:rPr>
                <w:sz w:val="24"/>
                <w:szCs w:val="24"/>
                <w:color w:val="auto"/>
              </w:rPr>
            </w:pPr>
          </w:p>
        </w:tc>
      </w:tr>
      <w:tr>
        <w:trPr>
          <w:trHeight w:val="339"/>
        </w:trPr>
        <w:tc>
          <w:tcPr>
            <w:tcW w:w="1080" w:type="dxa"/>
            <w:vAlign w:val="bottom"/>
          </w:tcPr>
          <w:p>
            <w:pPr>
              <w:spacing w:after="0"/>
              <w:rPr>
                <w:sz w:val="24"/>
                <w:szCs w:val="24"/>
                <w:color w:val="auto"/>
              </w:rPr>
            </w:pPr>
          </w:p>
        </w:tc>
        <w:tc>
          <w:tcPr>
            <w:tcW w:w="820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CONCERNING THE TRUSTEE</w:t>
            </w:r>
          </w:p>
        </w:tc>
        <w:tc>
          <w:tcPr>
            <w:tcW w:w="2000" w:type="dxa"/>
            <w:vAlign w:val="bottom"/>
          </w:tcPr>
          <w:p>
            <w:pPr>
              <w:spacing w:after="0"/>
              <w:rPr>
                <w:sz w:val="24"/>
                <w:szCs w:val="24"/>
                <w:color w:val="auto"/>
              </w:rPr>
            </w:pPr>
          </w:p>
        </w:tc>
      </w:tr>
      <w:tr>
        <w:trPr>
          <w:trHeight w:val="325"/>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11.01</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Rights of Trustees; Compensation and Indemnity</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11.02</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Duties of Trustee</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11.03</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Notice of Defaults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11.04</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Eligibility; Disqualification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11.05</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Resignation and Notice; Removal</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11.06</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Successor Trustee by Appointment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11.07</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Successor Trustee by Merger</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11.08</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Right to Rely on Officer’s Certificate</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11.09</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Appointment of Authenticating Agent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4"/>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11.10</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Communications by Securityholders with Other Securityholders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339"/>
        </w:trPr>
        <w:tc>
          <w:tcPr>
            <w:tcW w:w="1080" w:type="dxa"/>
            <w:vAlign w:val="bottom"/>
          </w:tcPr>
          <w:p>
            <w:pPr>
              <w:spacing w:after="0"/>
              <w:rPr>
                <w:sz w:val="24"/>
                <w:szCs w:val="24"/>
                <w:color w:val="auto"/>
              </w:rPr>
            </w:pPr>
          </w:p>
        </w:tc>
        <w:tc>
          <w:tcPr>
            <w:tcW w:w="8200" w:type="dxa"/>
            <w:vAlign w:val="bottom"/>
          </w:tcPr>
          <w:p>
            <w:pPr>
              <w:jc w:val="center"/>
              <w:ind w:left="869"/>
              <w:spacing w:after="0"/>
              <w:rPr>
                <w:sz w:val="20"/>
                <w:szCs w:val="20"/>
                <w:color w:val="auto"/>
              </w:rPr>
            </w:pPr>
            <w:r>
              <w:rPr>
                <w:rFonts w:ascii="Times New Roman" w:cs="Times New Roman" w:eastAsia="Times New Roman" w:hAnsi="Times New Roman"/>
                <w:sz w:val="14"/>
                <w:szCs w:val="14"/>
                <w:color w:val="auto"/>
                <w:w w:val="99"/>
              </w:rPr>
              <w:t>ARTICLE XII</w:t>
            </w:r>
          </w:p>
        </w:tc>
        <w:tc>
          <w:tcPr>
            <w:tcW w:w="2000" w:type="dxa"/>
            <w:vAlign w:val="bottom"/>
          </w:tcPr>
          <w:p>
            <w:pPr>
              <w:spacing w:after="0"/>
              <w:rPr>
                <w:sz w:val="24"/>
                <w:szCs w:val="24"/>
                <w:color w:val="auto"/>
              </w:rPr>
            </w:pPr>
          </w:p>
        </w:tc>
      </w:tr>
      <w:tr>
        <w:trPr>
          <w:trHeight w:val="339"/>
        </w:trPr>
        <w:tc>
          <w:tcPr>
            <w:tcW w:w="1080" w:type="dxa"/>
            <w:vAlign w:val="bottom"/>
          </w:tcPr>
          <w:p>
            <w:pPr>
              <w:spacing w:after="0"/>
              <w:rPr>
                <w:sz w:val="24"/>
                <w:szCs w:val="24"/>
                <w:color w:val="auto"/>
              </w:rPr>
            </w:pPr>
          </w:p>
        </w:tc>
        <w:tc>
          <w:tcPr>
            <w:tcW w:w="820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SATISFACTION AND DISCHARGE; DEFEASANCE</w:t>
            </w:r>
          </w:p>
        </w:tc>
        <w:tc>
          <w:tcPr>
            <w:tcW w:w="2000" w:type="dxa"/>
            <w:vAlign w:val="bottom"/>
          </w:tcPr>
          <w:p>
            <w:pPr>
              <w:spacing w:after="0"/>
              <w:rPr>
                <w:sz w:val="24"/>
                <w:szCs w:val="24"/>
                <w:color w:val="auto"/>
              </w:rPr>
            </w:pPr>
          </w:p>
        </w:tc>
      </w:tr>
      <w:tr>
        <w:trPr>
          <w:trHeight w:val="325"/>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12.01</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Applicability of Article</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12.02</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Satisfaction and Discharge of Indenture</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12.03</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Defeasance and Covenant Defeasance upon Deposit of Moneys or U.S. Government Obligations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12.04</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Repayment to Company</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12.05</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Indemnity for U.S. Government Obligations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4"/>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12.06</w:t>
            </w:r>
          </w:p>
        </w:tc>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Deposits to Be Held in Escrow</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12.07</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Application of Trust Money</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4"/>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12.08</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Deposits of Non-U.S. Currencies</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339"/>
        </w:trPr>
        <w:tc>
          <w:tcPr>
            <w:tcW w:w="1080" w:type="dxa"/>
            <w:vAlign w:val="bottom"/>
          </w:tcPr>
          <w:p>
            <w:pPr>
              <w:spacing w:after="0"/>
              <w:rPr>
                <w:sz w:val="24"/>
                <w:szCs w:val="24"/>
                <w:color w:val="auto"/>
              </w:rPr>
            </w:pPr>
          </w:p>
        </w:tc>
        <w:tc>
          <w:tcPr>
            <w:tcW w:w="788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9"/>
              </w:rPr>
              <w:t>ARTICLE XIII</w:t>
            </w:r>
          </w:p>
        </w:tc>
        <w:tc>
          <w:tcPr>
            <w:tcW w:w="2320" w:type="dxa"/>
            <w:vAlign w:val="bottom"/>
          </w:tcPr>
          <w:p>
            <w:pPr>
              <w:spacing w:after="0"/>
              <w:rPr>
                <w:sz w:val="24"/>
                <w:szCs w:val="24"/>
                <w:color w:val="auto"/>
              </w:rPr>
            </w:pPr>
          </w:p>
        </w:tc>
      </w:tr>
      <w:tr>
        <w:trPr>
          <w:trHeight w:val="339"/>
        </w:trPr>
        <w:tc>
          <w:tcPr>
            <w:tcW w:w="1080" w:type="dxa"/>
            <w:vAlign w:val="bottom"/>
          </w:tcPr>
          <w:p>
            <w:pPr>
              <w:spacing w:after="0"/>
              <w:rPr>
                <w:sz w:val="24"/>
                <w:szCs w:val="24"/>
                <w:color w:val="auto"/>
              </w:rPr>
            </w:pPr>
          </w:p>
        </w:tc>
        <w:tc>
          <w:tcPr>
            <w:tcW w:w="788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rPr>
              <w:t>IMMUNITY OF CERTAIN PERSONS</w:t>
            </w:r>
          </w:p>
        </w:tc>
        <w:tc>
          <w:tcPr>
            <w:tcW w:w="2320" w:type="dxa"/>
            <w:vAlign w:val="bottom"/>
          </w:tcPr>
          <w:p>
            <w:pPr>
              <w:spacing w:after="0"/>
              <w:rPr>
                <w:sz w:val="24"/>
                <w:szCs w:val="24"/>
                <w:color w:val="auto"/>
              </w:rPr>
            </w:pPr>
          </w:p>
        </w:tc>
      </w:tr>
      <w:tr>
        <w:trPr>
          <w:trHeight w:val="33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13.01</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 Personal Liability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339"/>
        </w:trPr>
        <w:tc>
          <w:tcPr>
            <w:tcW w:w="1080" w:type="dxa"/>
            <w:vAlign w:val="bottom"/>
          </w:tcPr>
          <w:p>
            <w:pPr>
              <w:spacing w:after="0"/>
              <w:rPr>
                <w:sz w:val="24"/>
                <w:szCs w:val="24"/>
                <w:color w:val="auto"/>
              </w:rPr>
            </w:pPr>
          </w:p>
        </w:tc>
        <w:tc>
          <w:tcPr>
            <w:tcW w:w="788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rPr>
              <w:t>ARTICLE XIV</w:t>
            </w:r>
          </w:p>
        </w:tc>
        <w:tc>
          <w:tcPr>
            <w:tcW w:w="2320" w:type="dxa"/>
            <w:vAlign w:val="bottom"/>
          </w:tcPr>
          <w:p>
            <w:pPr>
              <w:spacing w:after="0"/>
              <w:rPr>
                <w:sz w:val="24"/>
                <w:szCs w:val="24"/>
                <w:color w:val="auto"/>
              </w:rPr>
            </w:pPr>
          </w:p>
        </w:tc>
      </w:tr>
      <w:tr>
        <w:trPr>
          <w:trHeight w:val="339"/>
        </w:trPr>
        <w:tc>
          <w:tcPr>
            <w:tcW w:w="1080" w:type="dxa"/>
            <w:vAlign w:val="bottom"/>
          </w:tcPr>
          <w:p>
            <w:pPr>
              <w:spacing w:after="0"/>
              <w:rPr>
                <w:sz w:val="24"/>
                <w:szCs w:val="24"/>
                <w:color w:val="auto"/>
              </w:rPr>
            </w:pPr>
          </w:p>
        </w:tc>
        <w:tc>
          <w:tcPr>
            <w:tcW w:w="788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w w:val="99"/>
              </w:rPr>
              <w:t>SUPPLEMENTAL INDENTURES</w:t>
            </w:r>
          </w:p>
        </w:tc>
        <w:tc>
          <w:tcPr>
            <w:tcW w:w="2320" w:type="dxa"/>
            <w:vAlign w:val="bottom"/>
          </w:tcPr>
          <w:p>
            <w:pPr>
              <w:spacing w:after="0"/>
              <w:rPr>
                <w:sz w:val="24"/>
                <w:szCs w:val="24"/>
                <w:color w:val="auto"/>
              </w:rPr>
            </w:pPr>
          </w:p>
        </w:tc>
      </w:tr>
      <w:tr>
        <w:trPr>
          <w:trHeight w:val="325"/>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14.01</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Without Consent of Securityholders</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14.02</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With Consent of Securityholders; Limitations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14.03</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Trustee Protected</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14.04</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Effect of Execution of Supplemental Indenture</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14.05</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Notation on or Exchange of Securities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84"/>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14.06</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Conformity with TIA</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339"/>
        </w:trPr>
        <w:tc>
          <w:tcPr>
            <w:tcW w:w="1080" w:type="dxa"/>
            <w:vAlign w:val="bottom"/>
          </w:tcPr>
          <w:p>
            <w:pPr>
              <w:spacing w:after="0"/>
              <w:rPr>
                <w:sz w:val="24"/>
                <w:szCs w:val="24"/>
                <w:color w:val="auto"/>
              </w:rPr>
            </w:pPr>
          </w:p>
        </w:tc>
        <w:tc>
          <w:tcPr>
            <w:tcW w:w="788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8"/>
              </w:rPr>
              <w:t>ARTICLE XV</w:t>
            </w:r>
          </w:p>
        </w:tc>
        <w:tc>
          <w:tcPr>
            <w:tcW w:w="2320" w:type="dxa"/>
            <w:vAlign w:val="bottom"/>
          </w:tcPr>
          <w:p>
            <w:pPr>
              <w:spacing w:after="0"/>
              <w:rPr>
                <w:sz w:val="24"/>
                <w:szCs w:val="24"/>
                <w:color w:val="auto"/>
              </w:rPr>
            </w:pPr>
          </w:p>
        </w:tc>
      </w:tr>
      <w:tr>
        <w:trPr>
          <w:trHeight w:val="339"/>
        </w:trPr>
        <w:tc>
          <w:tcPr>
            <w:tcW w:w="1080" w:type="dxa"/>
            <w:vAlign w:val="bottom"/>
          </w:tcPr>
          <w:p>
            <w:pPr>
              <w:spacing w:after="0"/>
              <w:rPr>
                <w:sz w:val="24"/>
                <w:szCs w:val="24"/>
                <w:color w:val="auto"/>
              </w:rPr>
            </w:pPr>
          </w:p>
        </w:tc>
        <w:tc>
          <w:tcPr>
            <w:tcW w:w="788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rPr>
              <w:t>SUBORDINATION OF SECURITIES</w:t>
            </w:r>
          </w:p>
        </w:tc>
        <w:tc>
          <w:tcPr>
            <w:tcW w:w="2320" w:type="dxa"/>
            <w:vAlign w:val="bottom"/>
          </w:tcPr>
          <w:p>
            <w:pPr>
              <w:spacing w:after="0"/>
              <w:rPr>
                <w:sz w:val="24"/>
                <w:szCs w:val="24"/>
                <w:color w:val="auto"/>
              </w:rPr>
            </w:pPr>
          </w:p>
        </w:tc>
      </w:tr>
      <w:tr>
        <w:trPr>
          <w:trHeight w:val="325"/>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15.01</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Agreement to Subordinate</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15.02</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Distribution on Dissolution, Liquidation and Reorganization; Subrogation of Securities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15.03</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 Payment on Securities in Event of Default on Senior Indebtedness</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15.04</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Payments on Securities Permitted</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15.05</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Authorization of Securityholders to Trustee to Effect Subordination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15.06</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Notices to Trustee</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15.07</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Trustee as Holder of Senior Indebtedness</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15.08</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Modifications of Terms of Senior Indebtedness</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15.09</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Reliance on Judicial Order or Certificate of Liquidating Agent</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15.10</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Satisfaction and Discharge; Defeasance and Covenant Defeasance</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4"/>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15.11</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Trustee Not Fiduciary for Holders of Senior Indebtedness</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339"/>
        </w:trPr>
        <w:tc>
          <w:tcPr>
            <w:tcW w:w="1080" w:type="dxa"/>
            <w:vAlign w:val="bottom"/>
          </w:tcPr>
          <w:p>
            <w:pPr>
              <w:spacing w:after="0"/>
              <w:rPr>
                <w:sz w:val="24"/>
                <w:szCs w:val="24"/>
                <w:color w:val="auto"/>
              </w:rPr>
            </w:pPr>
          </w:p>
        </w:tc>
        <w:tc>
          <w:tcPr>
            <w:tcW w:w="788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rPr>
              <w:t>ARTICLE XVI</w:t>
            </w:r>
          </w:p>
        </w:tc>
        <w:tc>
          <w:tcPr>
            <w:tcW w:w="2320" w:type="dxa"/>
            <w:vAlign w:val="bottom"/>
          </w:tcPr>
          <w:p>
            <w:pPr>
              <w:spacing w:after="0"/>
              <w:rPr>
                <w:sz w:val="24"/>
                <w:szCs w:val="24"/>
                <w:color w:val="auto"/>
              </w:rPr>
            </w:pPr>
          </w:p>
        </w:tc>
      </w:tr>
      <w:tr>
        <w:trPr>
          <w:trHeight w:val="339"/>
        </w:trPr>
        <w:tc>
          <w:tcPr>
            <w:tcW w:w="1080" w:type="dxa"/>
            <w:vAlign w:val="bottom"/>
          </w:tcPr>
          <w:p>
            <w:pPr>
              <w:spacing w:after="0"/>
              <w:rPr>
                <w:sz w:val="24"/>
                <w:szCs w:val="24"/>
                <w:color w:val="auto"/>
              </w:rPr>
            </w:pPr>
          </w:p>
        </w:tc>
        <w:tc>
          <w:tcPr>
            <w:tcW w:w="788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rPr>
              <w:t>MISCELLANEOUS PROVISIONS</w:t>
            </w:r>
          </w:p>
        </w:tc>
        <w:tc>
          <w:tcPr>
            <w:tcW w:w="2320" w:type="dxa"/>
            <w:vAlign w:val="bottom"/>
          </w:tcPr>
          <w:p>
            <w:pPr>
              <w:spacing w:after="0"/>
              <w:rPr>
                <w:sz w:val="24"/>
                <w:szCs w:val="24"/>
                <w:color w:val="auto"/>
              </w:rPr>
            </w:pPr>
          </w:p>
        </w:tc>
      </w:tr>
      <w:tr>
        <w:trPr>
          <w:trHeight w:val="325"/>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16.01</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Certificates and Opinions as to Conditions Precedent</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16.02</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Trust Indenture Act Controls</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16.03</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Notices to the Company and Trustee</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16.04</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Notices to Securityholders; Waiver</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16.05</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Legal Holiday</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84"/>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16.06</w:t>
            </w:r>
          </w:p>
        </w:tc>
        <w:tc>
          <w:tcPr>
            <w:tcW w:w="7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Effects of Headings and Table of Contents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16.07</w:t>
            </w:r>
          </w:p>
        </w:tc>
        <w:tc>
          <w:tcPr>
            <w:tcW w:w="6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Successors and Assigns</w:t>
            </w:r>
          </w:p>
        </w:tc>
        <w:tc>
          <w:tcPr>
            <w:tcW w:w="3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16.08</w:t>
            </w:r>
          </w:p>
        </w:tc>
        <w:tc>
          <w:tcPr>
            <w:tcW w:w="6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Separability Clause</w:t>
            </w:r>
          </w:p>
        </w:tc>
        <w:tc>
          <w:tcPr>
            <w:tcW w:w="3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16.09</w:t>
            </w:r>
          </w:p>
        </w:tc>
        <w:tc>
          <w:tcPr>
            <w:tcW w:w="6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Benefits of Indenture</w:t>
            </w:r>
          </w:p>
        </w:tc>
        <w:tc>
          <w:tcPr>
            <w:tcW w:w="3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16.10</w:t>
            </w:r>
          </w:p>
        </w:tc>
        <w:tc>
          <w:tcPr>
            <w:tcW w:w="6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Counterparts Originals</w:t>
            </w:r>
          </w:p>
        </w:tc>
        <w:tc>
          <w:tcPr>
            <w:tcW w:w="3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6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16.11</w:t>
            </w:r>
          </w:p>
        </w:tc>
        <w:tc>
          <w:tcPr>
            <w:tcW w:w="6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Governing Law; Waiver of Trial by Jury</w:t>
            </w:r>
          </w:p>
        </w:tc>
        <w:tc>
          <w:tcPr>
            <w:tcW w:w="3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4"/>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16.12</w:t>
            </w:r>
          </w:p>
        </w:tc>
        <w:tc>
          <w:tcPr>
            <w:tcW w:w="6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Electronic Signatures</w:t>
            </w:r>
          </w:p>
        </w:tc>
        <w:tc>
          <w:tcPr>
            <w:tcW w:w="3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bl>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50" w:name="page51"/>
    <w:bookmarkEnd w:id="50"/>
    <w:p>
      <w:pPr>
        <w:jc w:val="center"/>
        <w:ind w:left="440"/>
        <w:spacing w:after="0"/>
        <w:rPr>
          <w:sz w:val="20"/>
          <w:szCs w:val="20"/>
          <w:color w:val="auto"/>
        </w:rPr>
      </w:pPr>
      <w:r>
        <w:rPr>
          <w:rFonts w:ascii="Times New Roman" w:cs="Times New Roman" w:eastAsia="Times New Roman" w:hAnsi="Times New Roman"/>
          <w:sz w:val="13"/>
          <w:szCs w:val="13"/>
          <w:color w:val="auto"/>
        </w:rPr>
        <w:t>INDENTURE dated as of                           ,          , between Lucid Group, Inc., a Delaware corporation (the “Company”), and U.S. Bank Trust Company, National Association, as trustee (the “Trustee”).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WITNESSETH:</w:t>
      </w:r>
    </w:p>
    <w:p>
      <w:pPr>
        <w:spacing w:after="0" w:line="180" w:lineRule="exact"/>
        <w:rPr>
          <w:sz w:val="20"/>
          <w:szCs w:val="20"/>
          <w:color w:val="auto"/>
        </w:rPr>
      </w:pPr>
    </w:p>
    <w:p>
      <w:pPr>
        <w:ind w:right="620" w:firstLine="508"/>
        <w:spacing w:after="0" w:line="286" w:lineRule="auto"/>
        <w:rPr>
          <w:sz w:val="20"/>
          <w:szCs w:val="20"/>
          <w:color w:val="auto"/>
        </w:rPr>
      </w:pPr>
      <w:r>
        <w:rPr>
          <w:rFonts w:ascii="Times New Roman" w:cs="Times New Roman" w:eastAsia="Times New Roman" w:hAnsi="Times New Roman"/>
          <w:sz w:val="14"/>
          <w:szCs w:val="14"/>
          <w:color w:val="auto"/>
        </w:rPr>
        <w:t>WHEREAS, the Company has duly authorized the execution and delivery of this Indenture to provide for the issuance of unsecured debentures, notes, bonds or other evidences of indebtedness (the “Securities”) in an unlimited aggregate principal amount to be issued from time to time in one or more series as provided in this Indenture; and</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WHEREAS, all things necessary to make this Indenture a valid and legally binding agreement of the Company, in accordance with its terms, have been done.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NOW, THEREFORE, THIS INDENTURE WITNESSETH:</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That, in consideration of the premises and the purchase of the Securities by the Holders thereof for the equal and proportionate benefit of all of the present and future Holders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each party agrees and covenants as follows: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DEFINITIONS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all purposes of this Indenture, except as otherwise expressly provided or unless the context otherwise requires: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the terms defined in this Article have the meanings assigned to them in this Article and include the plural as well as the singular;</w:t>
      </w:r>
    </w:p>
    <w:p>
      <w:pPr>
        <w:spacing w:after="0" w:line="178" w:lineRule="exact"/>
        <w:rPr>
          <w:sz w:val="20"/>
          <w:szCs w:val="20"/>
          <w:color w:val="auto"/>
        </w:rPr>
      </w:pPr>
    </w:p>
    <w:p>
      <w:pPr>
        <w:ind w:right="100" w:firstLine="508"/>
        <w:spacing w:after="0" w:line="286" w:lineRule="auto"/>
        <w:rPr>
          <w:sz w:val="20"/>
          <w:szCs w:val="20"/>
          <w:color w:val="auto"/>
        </w:rPr>
      </w:pPr>
      <w:r>
        <w:rPr>
          <w:rFonts w:ascii="Times New Roman" w:cs="Times New Roman" w:eastAsia="Times New Roman" w:hAnsi="Times New Roman"/>
          <w:sz w:val="14"/>
          <w:szCs w:val="14"/>
          <w:color w:val="auto"/>
        </w:rPr>
        <w:t>(b)          unless otherwise defined in this Indenture or the context otherwise requires, all terms used herein without definition which are defined in the Trust Indenture Act, either directly or by reference therein, have the meanings assigned to them therein;</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          the words “herein,” “hereof” and “hereunder” and other words of similar import refer to this Indenture as a whole and not to any particular Article, Section or other subdivision; and</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          references to “Article” or “Section” or other subdivision herein are references to an Article, Section or other subdivision of this Indenture, unless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16216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20"/>
          </w:cols>
          <w:pgMar w:left="300" w:top="739" w:right="379" w:bottom="1440" w:gutter="0" w:footer="0" w:header="0"/>
        </w:sectPr>
      </w:pPr>
    </w:p>
    <w:bookmarkStart w:id="51" w:name="page52"/>
    <w:bookmarkEnd w:id="51"/>
    <w:p>
      <w:pPr>
        <w:ind w:left="520"/>
        <w:spacing w:after="0"/>
        <w:rPr>
          <w:sz w:val="20"/>
          <w:szCs w:val="20"/>
          <w:color w:val="auto"/>
        </w:rPr>
      </w:pPr>
      <w:r>
        <w:rPr>
          <w:rFonts w:ascii="Times New Roman" w:cs="Times New Roman" w:eastAsia="Times New Roman" w:hAnsi="Times New Roman"/>
          <w:sz w:val="14"/>
          <w:szCs w:val="14"/>
          <w:color w:val="auto"/>
        </w:rPr>
        <w:t>Section 1.01   </w:t>
      </w:r>
      <w:r>
        <w:rPr>
          <w:rFonts w:ascii="Times New Roman" w:cs="Times New Roman" w:eastAsia="Times New Roman" w:hAnsi="Times New Roman"/>
          <w:sz w:val="14"/>
          <w:szCs w:val="14"/>
          <w:u w:val="single" w:color="auto"/>
          <w:color w:val="auto"/>
        </w:rPr>
        <w:t>  Definitions.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Unless the context otherwise requires, the terms defined in this Section 1.01 shall for all purposes of this Indenture have the meanings hereinafter set forth: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Affiliate:</w:t>
      </w:r>
    </w:p>
    <w:p>
      <w:pPr>
        <w:spacing w:after="0" w:line="180" w:lineRule="exact"/>
        <w:rPr>
          <w:sz w:val="20"/>
          <w:szCs w:val="20"/>
          <w:color w:val="auto"/>
        </w:rPr>
      </w:pPr>
    </w:p>
    <w:p>
      <w:pPr>
        <w:ind w:right="40" w:firstLine="508"/>
        <w:spacing w:after="0" w:line="269" w:lineRule="auto"/>
        <w:rPr>
          <w:sz w:val="20"/>
          <w:szCs w:val="20"/>
          <w:color w:val="auto"/>
        </w:rPr>
      </w:pPr>
      <w:r>
        <w:rPr>
          <w:rFonts w:ascii="Times New Roman" w:cs="Times New Roman" w:eastAsia="Times New Roman" w:hAnsi="Times New Roman"/>
          <w:sz w:val="14"/>
          <w:szCs w:val="14"/>
          <w:color w:val="auto"/>
        </w:rPr>
        <w:t>The term “Affiliate,” with respect to any specified Person shall mean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Authenticating Agent: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“Authenticating Agent” shall have the meaning assigned to it in Section 11.09.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of Directors: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“Board of Directors” shall mean either the board of directors of the Company or the executive or any other committee of that board duly authorized to act in respect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Resolution:</w:t>
      </w:r>
    </w:p>
    <w:p>
      <w:pPr>
        <w:spacing w:after="0" w:line="180" w:lineRule="exact"/>
        <w:rPr>
          <w:sz w:val="20"/>
          <w:szCs w:val="20"/>
          <w:color w:val="auto"/>
        </w:rPr>
      </w:pPr>
    </w:p>
    <w:p>
      <w:pPr>
        <w:ind w:right="20" w:firstLine="508"/>
        <w:spacing w:after="0" w:line="269" w:lineRule="auto"/>
        <w:rPr>
          <w:sz w:val="20"/>
          <w:szCs w:val="20"/>
          <w:color w:val="auto"/>
        </w:rPr>
      </w:pPr>
      <w:r>
        <w:rPr>
          <w:rFonts w:ascii="Times New Roman" w:cs="Times New Roman" w:eastAsia="Times New Roman" w:hAnsi="Times New Roman"/>
          <w:sz w:val="14"/>
          <w:szCs w:val="14"/>
          <w:color w:val="auto"/>
        </w:rPr>
        <w:t>The term “Board Resolution” shall mean a copy of a resolution or resolutions certified by the Secretary or an Assistant Secretary of the Company to have been duly adopted by the Board of Directors (or by a committee of the Board of Directors to the extent that any such other committee has been authorized by the Board of Directors to establish or approve the matters contemplated) and to be in full force and effect on the date of such certification and delivered to the Trustee.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Day:</w:t>
      </w:r>
    </w:p>
    <w:p>
      <w:pPr>
        <w:spacing w:after="0" w:line="180" w:lineRule="exact"/>
        <w:rPr>
          <w:sz w:val="20"/>
          <w:szCs w:val="20"/>
          <w:color w:val="auto"/>
        </w:rPr>
      </w:pPr>
    </w:p>
    <w:p>
      <w:pPr>
        <w:ind w:firstLine="508"/>
        <w:spacing w:after="0" w:line="286" w:lineRule="auto"/>
        <w:rPr>
          <w:sz w:val="20"/>
          <w:szCs w:val="20"/>
          <w:color w:val="auto"/>
        </w:rPr>
      </w:pPr>
      <w:r>
        <w:rPr>
          <w:rFonts w:ascii="Times New Roman" w:cs="Times New Roman" w:eastAsia="Times New Roman" w:hAnsi="Times New Roman"/>
          <w:sz w:val="14"/>
          <w:szCs w:val="14"/>
          <w:color w:val="auto"/>
        </w:rPr>
        <w:t>The term “Business Day,” when used with respect to any Place of Payment or any other particular location referred to in this Indenture or in the Securities, shall mean each Monday, Tuesday, Wednesday, Thursday and Friday which is not a day on which banking institutions in that Place of Payment or such location are authorized or obligated by law or executive order to close.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Stock:</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“Capital Stock” shall mean:</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          in the case of a corporation, corporate stock;</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(b)          in the case of an association or business entity, any and all shares, interests, participations, rights or other equivalents (however designated) of corporate stock;</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(c)          in the case of a partnership or limited liability company, partnership interests (whether general or limited) or membership interests; and</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52" w:name="page53"/>
    <w:bookmarkEnd w:id="52"/>
    <w:p>
      <w:pPr>
        <w:ind w:right="280" w:firstLine="1271"/>
        <w:spacing w:after="0" w:line="286" w:lineRule="auto"/>
        <w:rPr>
          <w:sz w:val="20"/>
          <w:szCs w:val="20"/>
          <w:color w:val="auto"/>
        </w:rPr>
      </w:pPr>
      <w:r>
        <w:rPr>
          <w:rFonts w:ascii="Times New Roman" w:cs="Times New Roman" w:eastAsia="Times New Roman" w:hAnsi="Times New Roman"/>
          <w:sz w:val="14"/>
          <w:szCs w:val="14"/>
          <w:color w:val="auto"/>
        </w:rPr>
        <w:t>(d)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“Code” shall mean the Internal Revenue Code of 1986,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w:t>
      </w:r>
    </w:p>
    <w:p>
      <w:pPr>
        <w:spacing w:after="0" w:line="180" w:lineRule="exact"/>
        <w:rPr>
          <w:sz w:val="20"/>
          <w:szCs w:val="20"/>
          <w:color w:val="auto"/>
        </w:rPr>
      </w:pPr>
    </w:p>
    <w:p>
      <w:pPr>
        <w:ind w:right="260" w:firstLine="508"/>
        <w:spacing w:after="0" w:line="286" w:lineRule="auto"/>
        <w:rPr>
          <w:sz w:val="20"/>
          <w:szCs w:val="20"/>
          <w:color w:val="auto"/>
        </w:rPr>
      </w:pPr>
      <w:r>
        <w:rPr>
          <w:rFonts w:ascii="Times New Roman" w:cs="Times New Roman" w:eastAsia="Times New Roman" w:hAnsi="Times New Roman"/>
          <w:sz w:val="14"/>
          <w:szCs w:val="14"/>
          <w:color w:val="auto"/>
        </w:rPr>
        <w:t>The term “Company” shall mean the Person named as the “Company” in the first paragraph of this Indenture until a successor Person shall have become such pursuant to the applicable provisions of this Indenture, and thereafter “Company” shall mean such successor Person.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Order:</w:t>
      </w:r>
    </w:p>
    <w:p>
      <w:pPr>
        <w:spacing w:after="0" w:line="180" w:lineRule="exact"/>
        <w:rPr>
          <w:sz w:val="20"/>
          <w:szCs w:val="20"/>
          <w:color w:val="auto"/>
        </w:rPr>
      </w:pPr>
    </w:p>
    <w:p>
      <w:pPr>
        <w:ind w:right="40" w:firstLine="508"/>
        <w:spacing w:after="0" w:line="286" w:lineRule="auto"/>
        <w:rPr>
          <w:sz w:val="20"/>
          <w:szCs w:val="20"/>
          <w:color w:val="auto"/>
        </w:rPr>
      </w:pPr>
      <w:r>
        <w:rPr>
          <w:rFonts w:ascii="Times New Roman" w:cs="Times New Roman" w:eastAsia="Times New Roman" w:hAnsi="Times New Roman"/>
          <w:sz w:val="14"/>
          <w:szCs w:val="14"/>
          <w:color w:val="auto"/>
        </w:rPr>
        <w:t>The term “Company Order” shall mean a written order signed in the name of the Company by the Company’s Chief Executive Officer, Chief Financial Officer, Chief Accounting Officer or Treasurer.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Trust Office:</w:t>
      </w:r>
    </w:p>
    <w:p>
      <w:pPr>
        <w:spacing w:after="0" w:line="180"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The term “Corporate Trust Office,” or other similar term, shall mean the designated office of the Trustee at which at any particular time this Indenture shall be administered, which office at the date hereof is located at 633 West 5th Street, 24th Floor, Los Angeles, CA 90071,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Currency: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“Currency” shall mean U.S. Dollars or Foreign Currency.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Default: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“Default” shall have the meaning assigned to it in Section 11.03.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Defaulted Interest: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“Defaulted Interest” shall have the same meaning assigned to it in Section 3.08(b).</w:t>
      </w:r>
    </w:p>
    <w:p>
      <w:pPr>
        <w:spacing w:after="0" w:line="3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180"/>
          </w:cols>
          <w:pgMar w:left="300" w:top="739" w:right="4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Depositary:</w:t>
      </w:r>
    </w:p>
    <w:p>
      <w:pPr>
        <w:spacing w:after="0" w:line="180" w:lineRule="exact"/>
        <w:rPr>
          <w:sz w:val="20"/>
          <w:szCs w:val="20"/>
          <w:color w:val="auto"/>
        </w:rPr>
      </w:pPr>
    </w:p>
    <w:p>
      <w:pPr>
        <w:ind w:firstLine="508"/>
        <w:spacing w:after="0" w:line="263" w:lineRule="auto"/>
        <w:rPr>
          <w:sz w:val="20"/>
          <w:szCs w:val="20"/>
          <w:color w:val="auto"/>
        </w:rPr>
      </w:pPr>
      <w:r>
        <w:rPr>
          <w:rFonts w:ascii="Times New Roman" w:cs="Times New Roman" w:eastAsia="Times New Roman" w:hAnsi="Times New Roman"/>
          <w:sz w:val="14"/>
          <w:szCs w:val="14"/>
          <w:color w:val="auto"/>
        </w:rPr>
        <w:t>The term “Depositary” shall mean, with respect to the Securities of any series issuable in whole or in part in the form of one or more Global Securities, each Person designated as Depositary by the Company pursuant to Section 3.01 until one or more successor Depositaries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Designated Currency: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“Designated Currency” shall have the same meaning assigned to it in Section 3.12.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Discharged: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“Discharged” shall have the meaning assigned to it in Section 12.03.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DTC:</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“DTC” shall mean The Depository Trust Company, Inc. and its successors.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Event of Default: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“Event of Default” shall have the meaning specified in Section 7.01.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Exchange Act:</w:t>
      </w:r>
    </w:p>
    <w:p>
      <w:pPr>
        <w:spacing w:after="0" w:line="180" w:lineRule="exact"/>
        <w:rPr>
          <w:sz w:val="20"/>
          <w:szCs w:val="20"/>
          <w:color w:val="auto"/>
        </w:rPr>
      </w:pPr>
    </w:p>
    <w:p>
      <w:pPr>
        <w:ind w:firstLine="508"/>
        <w:spacing w:after="0" w:line="286" w:lineRule="auto"/>
        <w:rPr>
          <w:sz w:val="20"/>
          <w:szCs w:val="20"/>
          <w:color w:val="auto"/>
        </w:rPr>
      </w:pPr>
      <w:r>
        <w:rPr>
          <w:rFonts w:ascii="Times New Roman" w:cs="Times New Roman" w:eastAsia="Times New Roman" w:hAnsi="Times New Roman"/>
          <w:sz w:val="14"/>
          <w:szCs w:val="14"/>
          <w:color w:val="auto"/>
        </w:rPr>
        <w:t>The term “Exchange Act” shall mean the United States Securities Exchange Act of 1934, and the rules and regulations promulgated by the SEC thereunder and any statute successor thereto, in each case as amended from time to time.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Exchange Rate: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“Exchange Rate” shall have the meaning assigned to it in Section 7.01.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Floating Rate Security:</w:t>
      </w:r>
    </w:p>
    <w:p>
      <w:pPr>
        <w:spacing w:after="0" w:line="180" w:lineRule="exact"/>
        <w:rPr>
          <w:sz w:val="20"/>
          <w:szCs w:val="20"/>
          <w:color w:val="auto"/>
        </w:rPr>
      </w:pPr>
    </w:p>
    <w:p>
      <w:pPr>
        <w:ind w:right="200" w:firstLine="508"/>
        <w:spacing w:after="0" w:line="286" w:lineRule="auto"/>
        <w:rPr>
          <w:sz w:val="20"/>
          <w:szCs w:val="20"/>
          <w:color w:val="auto"/>
        </w:rPr>
      </w:pPr>
      <w:r>
        <w:rPr>
          <w:rFonts w:ascii="Times New Roman" w:cs="Times New Roman" w:eastAsia="Times New Roman" w:hAnsi="Times New Roman"/>
          <w:sz w:val="14"/>
          <w:szCs w:val="14"/>
          <w:color w:val="auto"/>
        </w:rPr>
        <w:t>The term “Floating Rate Security” shall mean a Security that provides for the payment of interest at a variable rate determined periodically by reference to an interest rate index specified pursuant to Section 3.01.</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w:t>
      </w:r>
    </w:p>
    <w:p>
      <w:pPr>
        <w:spacing w:after="0" w:line="180" w:lineRule="exact"/>
        <w:rPr>
          <w:sz w:val="20"/>
          <w:szCs w:val="20"/>
          <w:color w:val="auto"/>
        </w:rPr>
      </w:pPr>
    </w:p>
    <w:p>
      <w:pPr>
        <w:ind w:right="320" w:firstLine="508"/>
        <w:spacing w:after="0" w:line="286" w:lineRule="auto"/>
        <w:rPr>
          <w:sz w:val="20"/>
          <w:szCs w:val="20"/>
          <w:color w:val="auto"/>
        </w:rPr>
      </w:pPr>
      <w:r>
        <w:rPr>
          <w:rFonts w:ascii="Times New Roman" w:cs="Times New Roman" w:eastAsia="Times New Roman" w:hAnsi="Times New Roman"/>
          <w:sz w:val="14"/>
          <w:szCs w:val="14"/>
          <w:color w:val="auto"/>
        </w:rPr>
        <w:t>The term “Foreign Currency” shall mean a currency issued by the government of any country other than the United States or a composite currency, the value of which is determined by reference to the values of the currencies of any group of countries.</w:t>
      </w: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00"/>
          </w:cols>
          <w:pgMar w:left="300" w:top="737"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GAAP:</w:t>
      </w:r>
    </w:p>
    <w:p>
      <w:pPr>
        <w:spacing w:after="0" w:line="180" w:lineRule="exact"/>
        <w:rPr>
          <w:sz w:val="20"/>
          <w:szCs w:val="20"/>
          <w:color w:val="auto"/>
        </w:rPr>
      </w:pPr>
    </w:p>
    <w:p>
      <w:pPr>
        <w:ind w:firstLine="508"/>
        <w:spacing w:after="0" w:line="256" w:lineRule="auto"/>
        <w:rPr>
          <w:sz w:val="20"/>
          <w:szCs w:val="20"/>
          <w:color w:val="auto"/>
        </w:rPr>
      </w:pPr>
      <w:r>
        <w:rPr>
          <w:rFonts w:ascii="Times New Roman" w:cs="Times New Roman" w:eastAsia="Times New Roman" w:hAnsi="Times New Roman"/>
          <w:sz w:val="14"/>
          <w:szCs w:val="14"/>
          <w:color w:val="auto"/>
        </w:rPr>
        <w:t>The term “GAAP,” with respect to any computations required or permitted hereunder, shall mean generally accepted accounting principles in effect in the United States as in effect from time to time; provided, however if the Company is required by the SEC to adopt (or is permitted to adopt and so adopts) a different accounting framework, including but not limited to the International Financial Reporting Standards, “GAAP” shall mean such new accounting framework as in effect from time to time, including, without limitation, in each case, those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If at any time any change in GAAP would affect the computation of any financial ratio or requirement set forth in this Agreement, and either the Company or the Holders of a majority of outstanding notes shall so request, the Company and the Holders of a majority of outstanding notes shall negotiate in good faith to amend such ratio or requirement to preserve the original intent thereof in light of such change in GAAP (subject to the approval of the Holders of a majority of outstanding notes); provided that, until so amended, (i) such ratio or requirement shall continue to be computed in accordance with GAAP prior to such change therein and (ii) the Company shall provide to the holders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Global Security:</w:t>
      </w:r>
    </w:p>
    <w:p>
      <w:pPr>
        <w:spacing w:after="0" w:line="180" w:lineRule="exact"/>
        <w:rPr>
          <w:sz w:val="20"/>
          <w:szCs w:val="20"/>
          <w:color w:val="auto"/>
        </w:rPr>
      </w:pPr>
    </w:p>
    <w:p>
      <w:pPr>
        <w:ind w:right="560" w:firstLine="508"/>
        <w:spacing w:after="0" w:line="286" w:lineRule="auto"/>
        <w:rPr>
          <w:sz w:val="20"/>
          <w:szCs w:val="20"/>
          <w:color w:val="auto"/>
        </w:rPr>
      </w:pPr>
      <w:r>
        <w:rPr>
          <w:rFonts w:ascii="Times New Roman" w:cs="Times New Roman" w:eastAsia="Times New Roman" w:hAnsi="Times New Roman"/>
          <w:sz w:val="14"/>
          <w:szCs w:val="14"/>
          <w:color w:val="auto"/>
        </w:rPr>
        <w:t>The term “Global Security” shall mean any Security that evidences all or part of a series of Securities, issued in fully-registered certificated form to the Depositary for such series in accordance with Section 3.03 and bearing the legend prescribed in Section 3.03(g).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 Holder of Securities: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terms “Holder” and “Holder of Securities” are defined under “Securityholder; Holder of Securities; 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Indebtedness:</w:t>
      </w:r>
    </w:p>
    <w:p>
      <w:pPr>
        <w:spacing w:after="0" w:line="180" w:lineRule="exact"/>
        <w:rPr>
          <w:sz w:val="20"/>
          <w:szCs w:val="20"/>
          <w:color w:val="auto"/>
        </w:rPr>
      </w:pPr>
    </w:p>
    <w:p>
      <w:pPr>
        <w:ind w:right="180" w:firstLine="508"/>
        <w:spacing w:after="0" w:line="286" w:lineRule="auto"/>
        <w:rPr>
          <w:sz w:val="20"/>
          <w:szCs w:val="20"/>
          <w:color w:val="auto"/>
        </w:rPr>
      </w:pPr>
      <w:r>
        <w:rPr>
          <w:rFonts w:ascii="Times New Roman" w:cs="Times New Roman" w:eastAsia="Times New Roman" w:hAnsi="Times New Roman"/>
          <w:sz w:val="14"/>
          <w:szCs w:val="14"/>
          <w:color w:val="auto"/>
        </w:rPr>
        <w:t>The term “Indebtedness” shall mean any and all obligations of a Person for money borrowed which, in accordance with GAAP, would be reflected on the balance sheet of such Person as a liability on the date as of which Indebtedness is to be determined.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80" w:lineRule="exact"/>
        <w:rPr>
          <w:sz w:val="20"/>
          <w:szCs w:val="20"/>
          <w:color w:val="auto"/>
        </w:rPr>
      </w:pPr>
    </w:p>
    <w:p>
      <w:pPr>
        <w:ind w:firstLine="508"/>
        <w:spacing w:after="0" w:line="256" w:lineRule="auto"/>
        <w:rPr>
          <w:sz w:val="20"/>
          <w:szCs w:val="20"/>
          <w:color w:val="auto"/>
        </w:rPr>
      </w:pPr>
      <w:r>
        <w:rPr>
          <w:rFonts w:ascii="Times New Roman" w:cs="Times New Roman" w:eastAsia="Times New Roman" w:hAnsi="Times New Roman"/>
          <w:sz w:val="14"/>
          <w:szCs w:val="14"/>
          <w:color w:val="auto"/>
        </w:rPr>
        <w:t>The term “Indenture” or “this Indenture” shall mean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 provided, however,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provided, further,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Individual Securities: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“Individual Securities” shall have the meaning specified in Section 3.01(p).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w:t>
      </w:r>
    </w:p>
    <w:p>
      <w:pPr>
        <w:spacing w:after="0" w:line="180" w:lineRule="exact"/>
        <w:rPr>
          <w:sz w:val="20"/>
          <w:szCs w:val="20"/>
          <w:color w:val="auto"/>
        </w:rPr>
      </w:pPr>
    </w:p>
    <w:p>
      <w:pPr>
        <w:ind w:right="60" w:firstLine="508"/>
        <w:spacing w:after="0" w:line="286" w:lineRule="auto"/>
        <w:rPr>
          <w:sz w:val="20"/>
          <w:szCs w:val="20"/>
          <w:color w:val="auto"/>
        </w:rPr>
      </w:pPr>
      <w:r>
        <w:rPr>
          <w:rFonts w:ascii="Times New Roman" w:cs="Times New Roman" w:eastAsia="Times New Roman" w:hAnsi="Times New Roman"/>
          <w:sz w:val="14"/>
          <w:szCs w:val="14"/>
          <w:color w:val="auto"/>
        </w:rPr>
        <w:t>The term “interest” shall mean, unless the context otherwise requires, interest payable on any Securities, and with respect to an Original Issue Discount Security that by its terms bears interest only after Maturity, interest payable after Maturity.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Payment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“Interest Payment Date” shall mean, with respect to any Security, the Stated Maturity of an installment of interest on such Security.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Mandatory Sinking Fund Payment: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“Mandatory Sinking Fund Payment” shall have the meaning assigned to it in Section 5.01(b).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Maturity:</w:t>
      </w:r>
    </w:p>
    <w:p>
      <w:pPr>
        <w:spacing w:after="0" w:line="180" w:lineRule="exact"/>
        <w:rPr>
          <w:sz w:val="20"/>
          <w:szCs w:val="20"/>
          <w:color w:val="auto"/>
        </w:rPr>
      </w:pPr>
    </w:p>
    <w:p>
      <w:pPr>
        <w:ind w:firstLine="508"/>
        <w:spacing w:after="0" w:line="286" w:lineRule="auto"/>
        <w:rPr>
          <w:sz w:val="20"/>
          <w:szCs w:val="20"/>
          <w:color w:val="auto"/>
        </w:rPr>
      </w:pPr>
      <w:r>
        <w:rPr>
          <w:rFonts w:ascii="Times New Roman" w:cs="Times New Roman" w:eastAsia="Times New Roman" w:hAnsi="Times New Roman"/>
          <w:sz w:val="14"/>
          <w:szCs w:val="14"/>
          <w:color w:val="auto"/>
        </w:rPr>
        <w:t>The term “Maturity,” with respect to any Security, shall mean the date on which the principal of such Security shall become due and payable as therein and herein provided, whether by declaration, call for redemption or otherwise.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Members: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“Members” shall have the meaning assigned to it in Section 3.03(i).</w:t>
      </w:r>
    </w:p>
    <w:p>
      <w:pPr>
        <w:spacing w:after="0" w:line="34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0900"/>
          </w:cols>
          <w:pgMar w:left="300" w:top="737" w:right="6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color w:val="auto"/>
        </w:rPr>
        <w:t>Officer:</w:t>
      </w:r>
    </w:p>
    <w:p>
      <w:pPr>
        <w:spacing w:after="0" w:line="180" w:lineRule="exact"/>
        <w:rPr>
          <w:sz w:val="20"/>
          <w:szCs w:val="20"/>
          <w:color w:val="auto"/>
        </w:rPr>
      </w:pPr>
    </w:p>
    <w:p>
      <w:pPr>
        <w:ind w:right="80" w:firstLine="508"/>
        <w:spacing w:after="0" w:line="286" w:lineRule="auto"/>
        <w:rPr>
          <w:sz w:val="20"/>
          <w:szCs w:val="20"/>
          <w:color w:val="auto"/>
        </w:rPr>
      </w:pPr>
      <w:r>
        <w:rPr>
          <w:rFonts w:ascii="Times New Roman" w:cs="Times New Roman" w:eastAsia="Times New Roman" w:hAnsi="Times New Roman"/>
          <w:sz w:val="14"/>
          <w:szCs w:val="14"/>
          <w:color w:val="auto"/>
        </w:rPr>
        <w:t>The term “Officer” shall mean any of the Chairman of the Board, the Chief Executive Officer, the Chief Financial Officer, the President, any Vice-President, the Treasurer, the Secretary, any Assistant Treasurer or any Assistant Secretary of the Company.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Officer’s Cert</w:t>
      </w:r>
      <w:r>
        <w:rPr>
          <w:rFonts w:ascii="Times New Roman" w:cs="Times New Roman" w:eastAsia="Times New Roman" w:hAnsi="Times New Roman"/>
          <w:sz w:val="14"/>
          <w:szCs w:val="14"/>
          <w:color w:val="auto"/>
        </w:rPr>
        <w:t>i</w:t>
      </w:r>
      <w:r>
        <w:rPr>
          <w:rFonts w:ascii="Times New Roman" w:cs="Times New Roman" w:eastAsia="Times New Roman" w:hAnsi="Times New Roman"/>
          <w:sz w:val="14"/>
          <w:szCs w:val="14"/>
          <w:b w:val="1"/>
          <w:bCs w:val="1"/>
          <w:color w:val="auto"/>
        </w:rPr>
        <w:t>ficate:</w:t>
      </w:r>
    </w:p>
    <w:p>
      <w:pPr>
        <w:spacing w:after="0" w:line="180" w:lineRule="exact"/>
        <w:rPr>
          <w:sz w:val="20"/>
          <w:szCs w:val="20"/>
          <w:color w:val="auto"/>
        </w:rPr>
      </w:pPr>
    </w:p>
    <w:p>
      <w:pPr>
        <w:ind w:right="100" w:firstLine="508"/>
        <w:spacing w:after="0" w:line="286" w:lineRule="auto"/>
        <w:rPr>
          <w:sz w:val="20"/>
          <w:szCs w:val="20"/>
          <w:color w:val="auto"/>
        </w:rPr>
      </w:pPr>
      <w:r>
        <w:rPr>
          <w:rFonts w:ascii="Times New Roman" w:cs="Times New Roman" w:eastAsia="Times New Roman" w:hAnsi="Times New Roman"/>
          <w:sz w:val="14"/>
          <w:szCs w:val="14"/>
          <w:color w:val="auto"/>
        </w:rPr>
        <w:t>The term “Officer’s Certificate” shall mean a certificate signed by any Officer and delivered to the Trustee. Each such certificate shall include the statements provided for in Section 16.01 if and to the extent required by the provisions of such Section.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of Counsel:</w:t>
      </w:r>
    </w:p>
    <w:p>
      <w:pPr>
        <w:spacing w:after="0" w:line="180" w:lineRule="exact"/>
        <w:rPr>
          <w:sz w:val="20"/>
          <w:szCs w:val="20"/>
          <w:color w:val="auto"/>
        </w:rPr>
      </w:pPr>
    </w:p>
    <w:p>
      <w:pPr>
        <w:ind w:right="120" w:firstLine="508"/>
        <w:spacing w:after="0" w:line="286" w:lineRule="auto"/>
        <w:rPr>
          <w:sz w:val="20"/>
          <w:szCs w:val="20"/>
          <w:color w:val="auto"/>
        </w:rPr>
      </w:pPr>
      <w:r>
        <w:rPr>
          <w:rFonts w:ascii="Times New Roman" w:cs="Times New Roman" w:eastAsia="Times New Roman" w:hAnsi="Times New Roman"/>
          <w:sz w:val="14"/>
          <w:szCs w:val="14"/>
          <w:color w:val="auto"/>
        </w:rPr>
        <w:t>The term “Opinion of Counsel” shall mean an opinion in writing signed by one or more legal counsel who is reasonably acceptable to the Trustee, who may be an employee of or of counsel to the Company, and meets the requirements provided for in Section 16.01.</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Optional Sinking Fund Payment: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“Optional Sinking Fund Payment” shall have the meaning assigned to it in Section 5.01(b).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Original Issue Discount Security:</w:t>
      </w:r>
    </w:p>
    <w:p>
      <w:pPr>
        <w:spacing w:after="0" w:line="180" w:lineRule="exact"/>
        <w:rPr>
          <w:sz w:val="20"/>
          <w:szCs w:val="20"/>
          <w:color w:val="auto"/>
        </w:rPr>
      </w:pPr>
    </w:p>
    <w:p>
      <w:pPr>
        <w:ind w:right="360" w:firstLine="508"/>
        <w:spacing w:after="0" w:line="286" w:lineRule="auto"/>
        <w:rPr>
          <w:sz w:val="20"/>
          <w:szCs w:val="20"/>
          <w:color w:val="auto"/>
        </w:rPr>
      </w:pPr>
      <w:r>
        <w:rPr>
          <w:rFonts w:ascii="Times New Roman" w:cs="Times New Roman" w:eastAsia="Times New Roman" w:hAnsi="Times New Roman"/>
          <w:sz w:val="14"/>
          <w:szCs w:val="14"/>
          <w:color w:val="auto"/>
        </w:rPr>
        <w:t>The term “Original Issue Discount Security” shall mean any Security that is issued with “original issue discount” within the meaning of Section 1273(a) of the Code and the regulations thereunder, or any successor provision, and any other Security designated by the Company as issued with original issue discount for United States federal income tax purposes.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Outstanding:</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“Outstanding,” when used with respect to Securities means, as of the date of determination, all Securities theretofore authenticated and delivered under this Indenture, except:</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          Securities theretofore canceled by the Trustee or delivered to the Trustee for cancellation;</w:t>
      </w:r>
    </w:p>
    <w:p>
      <w:pPr>
        <w:spacing w:after="0" w:line="178" w:lineRule="exact"/>
        <w:rPr>
          <w:sz w:val="20"/>
          <w:szCs w:val="20"/>
          <w:color w:val="auto"/>
        </w:rPr>
      </w:pPr>
    </w:p>
    <w:p>
      <w:pPr>
        <w:ind w:firstLine="1271"/>
        <w:spacing w:after="0" w:line="263" w:lineRule="auto"/>
        <w:rPr>
          <w:sz w:val="20"/>
          <w:szCs w:val="20"/>
          <w:color w:val="auto"/>
        </w:rPr>
      </w:pPr>
      <w:r>
        <w:rPr>
          <w:rFonts w:ascii="Times New Roman" w:cs="Times New Roman" w:eastAsia="Times New Roman" w:hAnsi="Times New Roman"/>
          <w:sz w:val="14"/>
          <w:szCs w:val="14"/>
          <w:color w:val="auto"/>
        </w:rPr>
        <w:t>(b)          Securities or portions thereof for which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or Securities as to which the Company’s obligations have been Discharged; provided, however, that if such Securities or portions thereof are to be redeemed, notice of such redemption has been duly given pursuant to this Indenture or provision therefor satisfactory to the Trustee has been made; and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sectPr>
      </w:pPr>
    </w:p>
    <w:bookmarkStart w:id="57" w:name="page58"/>
    <w:bookmarkEnd w:id="57"/>
    <w:p>
      <w:pPr>
        <w:ind w:right="60" w:firstLine="1271"/>
        <w:spacing w:after="0" w:line="269" w:lineRule="auto"/>
        <w:rPr>
          <w:sz w:val="20"/>
          <w:szCs w:val="20"/>
          <w:color w:val="auto"/>
        </w:rPr>
      </w:pPr>
      <w:r>
        <w:rPr>
          <w:rFonts w:ascii="Times New Roman" w:cs="Times New Roman" w:eastAsia="Times New Roman" w:hAnsi="Times New Roman"/>
          <w:sz w:val="14"/>
          <w:szCs w:val="14"/>
          <w:color w:val="auto"/>
        </w:rPr>
        <w:t>(c)          Securities that have been paid pursuant to Section 3.07(b) or in exchange for or in lieu of which other Securities have been authenticated and delivered pursuant to this Indenture, other than any such Securities in respect of which there shall have been presented to a Responsible Officer of the Trustee proof satisfactory to it that such Securities are held by a protected purchaser in whose hands such Securities are valid obligations of the Company;</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in determining whether the Holders of the requisite principal amount of Securities of a series Outstanding have performed any action hereunder, Securities owned by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or any other obligor upon the Securities of such series or any Affiliate of the Company or of such other obligor shall be disregarded and deemed not to be Outstanding, except that, in determining whether the Trustee shall be protected in relying upon any such action, only Securities of such series that a Responsible Officer of the Trustee actually knows to be so owned shall be so disregarded. Securities so owned that have been pledged in good faith may be regarded as Outstanding if the pledgee establishes to the satisfaction of the Trustee the pledgee’s right to act with respect to such Securities and that the pledgee is not the Company or any other obligor upon such Securities or any Affiliate of the Company or of such other obligor. In case of a dispute as to such right, the decision of the Trustee upon the advice of counsel shall be full protection to the Trustee. Upon request of the Trustee, the Company shall furnish to the Trustee promptly an Officer’s Certificate listing and identifying all such Securities, if any, known by the Company to be owned or held by or for the account of any of the above described Persons; and, subject to the provisions of Section 11.01, the Trustee shall be entitled to accept such Officer’s Certificate as conclusive evidence of the facts therein set forth and of the fact that all such Securities not listed therein are Outstanding for the purpose of any such determination. In determining whether the Holders of the requisite principal amount of Outstanding Securities of a series have performed any action hereunder, the principal amount of an Original Issue Discount Security that shall be deemed to be Outstanding for such purpose shall be the amount of the principal thereof that would be due and payable as of the date of such determination upon a declaration of acceleration of the Maturity thereof pursuant to Section 7.02 and the principal amount of a Security denominated in a Foreign Currency that shall be deemed to be Outstanding for such purpose shall be the amount calculated pursuant to Section 3.11(b).</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Paying Agent: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“Paying Agent” shall have the meaning assigned to it in Section 6.02(a).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Person:</w:t>
      </w:r>
    </w:p>
    <w:p>
      <w:pPr>
        <w:spacing w:after="0" w:line="180" w:lineRule="exact"/>
        <w:rPr>
          <w:sz w:val="20"/>
          <w:szCs w:val="20"/>
          <w:color w:val="auto"/>
        </w:rPr>
      </w:pPr>
    </w:p>
    <w:p>
      <w:pPr>
        <w:ind w:right="300" w:firstLine="508"/>
        <w:spacing w:after="0" w:line="286" w:lineRule="auto"/>
        <w:rPr>
          <w:sz w:val="20"/>
          <w:szCs w:val="20"/>
          <w:color w:val="auto"/>
        </w:rPr>
      </w:pPr>
      <w:r>
        <w:rPr>
          <w:rFonts w:ascii="Times New Roman" w:cs="Times New Roman" w:eastAsia="Times New Roman" w:hAnsi="Times New Roman"/>
          <w:sz w:val="14"/>
          <w:szCs w:val="14"/>
          <w:color w:val="auto"/>
        </w:rPr>
        <w:t>The term “Person” shall mean any individual, a corporation, a limited liability company, a partnership, an association, a joint stock company, a trust, an unincorporated organization or a government or an agency or political subdivision thereof or other entity.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Place of Payment:</w:t>
      </w:r>
    </w:p>
    <w:p>
      <w:pPr>
        <w:spacing w:after="0" w:line="180" w:lineRule="exact"/>
        <w:rPr>
          <w:sz w:val="20"/>
          <w:szCs w:val="20"/>
          <w:color w:val="auto"/>
        </w:rPr>
      </w:pPr>
    </w:p>
    <w:p>
      <w:pPr>
        <w:ind w:right="80" w:firstLine="508"/>
        <w:spacing w:after="0" w:line="286" w:lineRule="auto"/>
        <w:rPr>
          <w:sz w:val="20"/>
          <w:szCs w:val="20"/>
          <w:color w:val="auto"/>
        </w:rPr>
      </w:pPr>
      <w:r>
        <w:rPr>
          <w:rFonts w:ascii="Times New Roman" w:cs="Times New Roman" w:eastAsia="Times New Roman" w:hAnsi="Times New Roman"/>
          <w:sz w:val="14"/>
          <w:szCs w:val="14"/>
          <w:color w:val="auto"/>
        </w:rPr>
        <w:t>The term “Place of Payment” shall mean, when used with respect to the Securities of any series, the place or places where the principal of and premium, if any, and interest on the Securities of that series are payable as specified pursuant to Section 3.01.</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40"/>
          </w:cols>
          <w:pgMar w:left="300" w:top="739"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color w:val="auto"/>
        </w:rPr>
        <w:t>Predecessor Security:</w:t>
      </w:r>
    </w:p>
    <w:p>
      <w:pPr>
        <w:spacing w:after="0" w:line="180" w:lineRule="exact"/>
        <w:rPr>
          <w:sz w:val="20"/>
          <w:szCs w:val="20"/>
          <w:color w:val="auto"/>
        </w:rPr>
      </w:pPr>
    </w:p>
    <w:p>
      <w:pPr>
        <w:ind w:right="80" w:firstLine="508"/>
        <w:spacing w:after="0" w:line="269" w:lineRule="auto"/>
        <w:rPr>
          <w:sz w:val="20"/>
          <w:szCs w:val="20"/>
          <w:color w:val="auto"/>
        </w:rPr>
      </w:pPr>
      <w:r>
        <w:rPr>
          <w:rFonts w:ascii="Times New Roman" w:cs="Times New Roman" w:eastAsia="Times New Roman" w:hAnsi="Times New Roman"/>
          <w:sz w:val="14"/>
          <w:szCs w:val="14"/>
          <w:color w:val="auto"/>
        </w:rPr>
        <w:t>The term “Predecessor Security” shall mean, with respect to any Security, every previous Security evidencing all or a portion of the same Indebtedness as that evidenced by such particular Security, and, for the purposes of this definition, any Security authenticated and delivered under Section 3.07 in lieu of a lost, destroyed or stolen Security shall be deemed to evidence the same Indebtedness as the lost, destroyed or stolen Security.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Record Date:</w:t>
      </w:r>
    </w:p>
    <w:p>
      <w:pPr>
        <w:spacing w:after="0" w:line="180" w:lineRule="exact"/>
        <w:rPr>
          <w:sz w:val="20"/>
          <w:szCs w:val="20"/>
          <w:color w:val="auto"/>
        </w:rPr>
      </w:pPr>
    </w:p>
    <w:p>
      <w:pPr>
        <w:ind w:right="60" w:firstLine="508"/>
        <w:spacing w:after="0" w:line="286" w:lineRule="auto"/>
        <w:rPr>
          <w:sz w:val="20"/>
          <w:szCs w:val="20"/>
          <w:color w:val="auto"/>
        </w:rPr>
      </w:pPr>
      <w:r>
        <w:rPr>
          <w:rFonts w:ascii="Times New Roman" w:cs="Times New Roman" w:eastAsia="Times New Roman" w:hAnsi="Times New Roman"/>
          <w:sz w:val="14"/>
          <w:szCs w:val="14"/>
          <w:color w:val="auto"/>
        </w:rPr>
        <w:t>The term “Record Date” shall mean, with respect to any interest payable on any Security on any Interest Payment Date, any date specified in such Security or pursuant to Section 3.01 with respect to such Security as the record date for the payment of interest.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Redemption Date:</w:t>
      </w:r>
    </w:p>
    <w:p>
      <w:pPr>
        <w:spacing w:after="0" w:line="180"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The term “Redemption Date” shall mean, when used with respect to any Security to be redeemed, in whole or in part, the date fixed for such redemption by or pursuant to this Indenture and the terms of such Security, which, in the case of a Floating Rate Security, unless otherwise specified pursuant to Section 3.01, shall be an Interest Payment Date only.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Redemption Price:</w:t>
      </w:r>
    </w:p>
    <w:p>
      <w:pPr>
        <w:spacing w:after="0" w:line="180" w:lineRule="exact"/>
        <w:rPr>
          <w:sz w:val="20"/>
          <w:szCs w:val="20"/>
          <w:color w:val="auto"/>
        </w:rPr>
      </w:pPr>
    </w:p>
    <w:p>
      <w:pPr>
        <w:ind w:right="240" w:firstLine="508"/>
        <w:spacing w:after="0" w:line="286" w:lineRule="auto"/>
        <w:rPr>
          <w:sz w:val="20"/>
          <w:szCs w:val="20"/>
          <w:color w:val="auto"/>
        </w:rPr>
      </w:pPr>
      <w:r>
        <w:rPr>
          <w:rFonts w:ascii="Times New Roman" w:cs="Times New Roman" w:eastAsia="Times New Roman" w:hAnsi="Times New Roman"/>
          <w:sz w:val="14"/>
          <w:szCs w:val="14"/>
          <w:color w:val="auto"/>
        </w:rPr>
        <w:t>The term “Redemption Price,” when used with respect to any Security to be redeemed, in whole or in part, shall mean the price at which it is to be redeemed pursuant to the terms of the applicable Security and this Indenture.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Register:</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“Register” shall have the meaning assigned to it in Section 3.05(a).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Registrar:</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“Registrar” shall have the meaning assigned to it in Section 3.05(a).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Responsible Officers:</w:t>
      </w:r>
    </w:p>
    <w:p>
      <w:pPr>
        <w:spacing w:after="0" w:line="180" w:lineRule="exact"/>
        <w:rPr>
          <w:sz w:val="20"/>
          <w:szCs w:val="20"/>
          <w:color w:val="auto"/>
        </w:rPr>
      </w:pPr>
    </w:p>
    <w:p>
      <w:pPr>
        <w:jc w:val="both"/>
        <w:ind w:right="20" w:firstLine="508"/>
        <w:spacing w:after="0" w:line="263" w:lineRule="auto"/>
        <w:rPr>
          <w:sz w:val="20"/>
          <w:szCs w:val="20"/>
          <w:color w:val="auto"/>
        </w:rPr>
      </w:pPr>
      <w:r>
        <w:rPr>
          <w:rFonts w:ascii="Times New Roman" w:cs="Times New Roman" w:eastAsia="Times New Roman" w:hAnsi="Times New Roman"/>
          <w:sz w:val="14"/>
          <w:szCs w:val="14"/>
          <w:color w:val="auto"/>
        </w:rPr>
        <w:t>The term “Responsible Officers” of the Trustee hereunder shall mean any vice president, any assistant vice president, any trust officer, any assistant trust officer, secretary, associate or any other officer associated with the corporate trust department of the Trustee customarily performing functions similar to those performed by any of the above designated officers, and also means, with respect to a particular corporate trust matter relating to this Indenture, any other officer of the Trustee to whom such matter is referred because of such person’s knowledge of and familiarity with the particular subject and who, in each case, shall have direct responsibility for the administration of this Indenture.</w:t>
      </w: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180"/>
          </w:cols>
          <w:pgMar w:left="300" w:top="737" w:right="4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color w:val="auto"/>
        </w:rPr>
        <w:t>SEC:</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“SEC” shall mean the United States Securities and Exchange Commission, as constituted from time to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Security:</w:t>
      </w:r>
    </w:p>
    <w:p>
      <w:pPr>
        <w:spacing w:after="0" w:line="180" w:lineRule="exact"/>
        <w:rPr>
          <w:sz w:val="20"/>
          <w:szCs w:val="20"/>
          <w:color w:val="auto"/>
        </w:rPr>
      </w:pPr>
    </w:p>
    <w:p>
      <w:pPr>
        <w:ind w:right="480" w:firstLine="508"/>
        <w:spacing w:after="0" w:line="286" w:lineRule="auto"/>
        <w:rPr>
          <w:sz w:val="20"/>
          <w:szCs w:val="20"/>
          <w:color w:val="auto"/>
        </w:rPr>
      </w:pPr>
      <w:r>
        <w:rPr>
          <w:rFonts w:ascii="Times New Roman" w:cs="Times New Roman" w:eastAsia="Times New Roman" w:hAnsi="Times New Roman"/>
          <w:sz w:val="14"/>
          <w:szCs w:val="14"/>
          <w:color w:val="auto"/>
        </w:rPr>
        <w:t>The term “Security” or “Securities” shall have the meaning stated in the recitals and shall more particularly mean one or more of the Securities duly authenticated by the Trustee and delivered pursuant to the provisions of this Indenture.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Security Custodian: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“Security Custodian” shall mean the custodian with respect to any Global Security appointed by the Depositary, or any successor Person thereto, and shall initially be the Trustee.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Securityholder; Holder of Securities; Holder:</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“Securityholder” or “Holder of Securities” or “Holder,” shall mean the Person in whose name Securities shall be registered in the Register kept for that purpose 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Senior Indebtedness:</w:t>
      </w:r>
    </w:p>
    <w:p>
      <w:pPr>
        <w:spacing w:after="0" w:line="180" w:lineRule="exact"/>
        <w:rPr>
          <w:sz w:val="20"/>
          <w:szCs w:val="20"/>
          <w:color w:val="auto"/>
        </w:rPr>
      </w:pPr>
    </w:p>
    <w:p>
      <w:pPr>
        <w:ind w:firstLine="508"/>
        <w:spacing w:after="0" w:line="257" w:lineRule="auto"/>
        <w:rPr>
          <w:sz w:val="20"/>
          <w:szCs w:val="20"/>
          <w:color w:val="auto"/>
        </w:rPr>
      </w:pPr>
      <w:r>
        <w:rPr>
          <w:rFonts w:ascii="Times New Roman" w:cs="Times New Roman" w:eastAsia="Times New Roman" w:hAnsi="Times New Roman"/>
          <w:sz w:val="14"/>
          <w:szCs w:val="14"/>
          <w:color w:val="auto"/>
        </w:rPr>
        <w:t>The term “Senior Indebtedness” means the principal of (and premium, if any) and unpaid interest on (x) Indebtedness of the Company, whether outstanding on the date hereof or thereafter created, incurred, assumed or guaranteed, for money borrowed other than (a) any Indebtedness of the Company which when incurred, and without respect to any election under Section 1111(b) of the Federal Bankruptcy Code, was without recourse to the Company, (b) any Indebtedness of the Company to any of its Subsidiaries, (c) Indebtedness to any employee of the Company, (d) any liability for taxes, (e) Trade Payables and (f) any Indebtedness of the Company which is expressly subordinate in right of payment to any other Indebtedness of the Company, and (y) renewals, extensions, modifications and refundings of any such Indebtedness. For purposes of the foregoing and the definition of “Senior Indebtedness,” the phrase “subordinated in right of payment” means debt subordination only and not lien subordination, and accordingly, (i) unsecured indebtedness shall not be deemed to be subordinated in right of payment to secured indebtedness merely by virtue of the fact that it is unsecured, and (ii) junior liens, second liens and other contractual arrangements that provide for priorities among Holders of the same or different issues of indebtedness with respect to any collateral or the proceeds of collateral shall not constitute subordination in right of payment. This definition may be modified or superseded by a supplemental indenture.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Record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“Special Record Date” shall have the meaning assigned to it in Section 3.08(b)(i).</w:t>
      </w:r>
    </w:p>
    <w:p>
      <w:pPr>
        <w:spacing w:after="0" w:line="3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20"/>
          </w:cols>
          <w:pgMar w:left="300" w:top="737"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color w:val="auto"/>
        </w:rPr>
        <w:t>Stated Maturity:</w:t>
      </w:r>
    </w:p>
    <w:p>
      <w:pPr>
        <w:spacing w:after="0" w:line="180" w:lineRule="exact"/>
        <w:rPr>
          <w:sz w:val="20"/>
          <w:szCs w:val="20"/>
          <w:color w:val="auto"/>
        </w:rPr>
      </w:pPr>
    </w:p>
    <w:p>
      <w:pPr>
        <w:ind w:right="320" w:firstLine="508"/>
        <w:spacing w:after="0" w:line="286" w:lineRule="auto"/>
        <w:rPr>
          <w:sz w:val="20"/>
          <w:szCs w:val="20"/>
          <w:color w:val="auto"/>
        </w:rPr>
      </w:pPr>
      <w:r>
        <w:rPr>
          <w:rFonts w:ascii="Times New Roman" w:cs="Times New Roman" w:eastAsia="Times New Roman" w:hAnsi="Times New Roman"/>
          <w:sz w:val="14"/>
          <w:szCs w:val="14"/>
          <w:color w:val="auto"/>
        </w:rPr>
        <w:t>The term “Stated Maturity” when used with respect to any Security or any installment of interest thereon, shall mean the date specified in such Security or pursuant to Section 3.01 with respect to such Security as the fixed date on which the principal (or any portion thereof) of or premium, if any, on such Security or such installment of interest is due and payable.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Subsidiary:</w:t>
      </w:r>
    </w:p>
    <w:p>
      <w:pPr>
        <w:spacing w:after="0" w:line="180" w:lineRule="exact"/>
        <w:rPr>
          <w:sz w:val="20"/>
          <w:szCs w:val="20"/>
          <w:color w:val="auto"/>
        </w:rPr>
      </w:pPr>
    </w:p>
    <w:p>
      <w:pPr>
        <w:jc w:val="both"/>
        <w:ind w:right="120" w:firstLine="508"/>
        <w:spacing w:after="0" w:line="286" w:lineRule="auto"/>
        <w:rPr>
          <w:sz w:val="20"/>
          <w:szCs w:val="20"/>
          <w:color w:val="auto"/>
        </w:rPr>
      </w:pPr>
      <w:r>
        <w:rPr>
          <w:rFonts w:ascii="Times New Roman" w:cs="Times New Roman" w:eastAsia="Times New Roman" w:hAnsi="Times New Roman"/>
          <w:sz w:val="14"/>
          <w:szCs w:val="14"/>
          <w:color w:val="auto"/>
        </w:rPr>
        <w:t>The term “Subsidiary,” when used with respect to any Person, shall mean with respect to any Person, a corporation, partnership association, joint venture, trust, limited liability company or other business entity which is required to be consolidated with such Person in accordance with GAAP.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Successor Company: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“Successor Company” shall have the meaning assigned to it in Section 3.06(h).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Trade Payables:</w:t>
      </w:r>
    </w:p>
    <w:p>
      <w:pPr>
        <w:spacing w:after="0" w:line="180" w:lineRule="exact"/>
        <w:rPr>
          <w:sz w:val="20"/>
          <w:szCs w:val="20"/>
          <w:color w:val="auto"/>
        </w:rPr>
      </w:pPr>
    </w:p>
    <w:p>
      <w:pPr>
        <w:ind w:right="460" w:firstLine="508"/>
        <w:spacing w:after="0" w:line="286" w:lineRule="auto"/>
        <w:rPr>
          <w:sz w:val="20"/>
          <w:szCs w:val="20"/>
          <w:color w:val="auto"/>
        </w:rPr>
      </w:pPr>
      <w:r>
        <w:rPr>
          <w:rFonts w:ascii="Times New Roman" w:cs="Times New Roman" w:eastAsia="Times New Roman" w:hAnsi="Times New Roman"/>
          <w:sz w:val="14"/>
          <w:szCs w:val="14"/>
          <w:color w:val="auto"/>
        </w:rPr>
        <w:t>The term “Trade Payables” means accounts payable or any other Indebtedness or monetary obligations to trade creditors created or assumed by the Company or any Subsidiary of the Company in the ordinary course of business (including guarantees thereof or instruments evidencing such liabilities).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Trust Indenture Act; TIA:</w:t>
      </w:r>
    </w:p>
    <w:p>
      <w:pPr>
        <w:spacing w:after="0" w:line="180" w:lineRule="exact"/>
        <w:rPr>
          <w:sz w:val="20"/>
          <w:szCs w:val="20"/>
          <w:color w:val="auto"/>
        </w:rPr>
      </w:pPr>
    </w:p>
    <w:p>
      <w:pPr>
        <w:ind w:firstLine="508"/>
        <w:spacing w:after="0" w:line="286" w:lineRule="auto"/>
        <w:rPr>
          <w:sz w:val="20"/>
          <w:szCs w:val="20"/>
          <w:color w:val="auto"/>
        </w:rPr>
      </w:pPr>
      <w:r>
        <w:rPr>
          <w:rFonts w:ascii="Times New Roman" w:cs="Times New Roman" w:eastAsia="Times New Roman" w:hAnsi="Times New Roman"/>
          <w:sz w:val="14"/>
          <w:szCs w:val="14"/>
          <w:color w:val="auto"/>
        </w:rPr>
        <w:t>The term “Trust Indenture Act” or “TIA” shall mean the Trust Indenture Act of 1939, as amended, and the rules and regulations thereunder as in effect on the date of this Indenture, except as provided in Section 14.06 and except to the extent any amendment to the Trust Indenture Act expressly provides for application of the Trust Indenture Act as in effect on another date.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180" w:lineRule="exact"/>
        <w:rPr>
          <w:sz w:val="20"/>
          <w:szCs w:val="20"/>
          <w:color w:val="auto"/>
        </w:rPr>
      </w:pPr>
    </w:p>
    <w:p>
      <w:pPr>
        <w:jc w:val="both"/>
        <w:ind w:right="100" w:firstLine="508"/>
        <w:spacing w:after="0" w:line="269" w:lineRule="auto"/>
        <w:rPr>
          <w:sz w:val="20"/>
          <w:szCs w:val="20"/>
          <w:color w:val="auto"/>
        </w:rPr>
      </w:pPr>
      <w:r>
        <w:rPr>
          <w:rFonts w:ascii="Times New Roman" w:cs="Times New Roman" w:eastAsia="Times New Roman" w:hAnsi="Times New Roman"/>
          <w:sz w:val="14"/>
          <w:szCs w:val="14"/>
          <w:color w:val="auto"/>
        </w:rPr>
        <w:t>The term “Trustee” shall mean the Person named as the “Trustee” in the first paragraph of this Indenture until a successor Trustee shall have become such with respect to one or more series of Securities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 Dollars: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“U.S. Dollars” shall mean such currency of the United States as at the time of payment shall be legal tender for the payment of public and private debts.</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40"/>
          </w:cols>
          <w:pgMar w:left="300" w:top="73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color w:val="auto"/>
        </w:rPr>
        <w:t>U.S. Government Obligations: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“U.S. Government Obligations” shall have the meaning assigned to it in Section 12.03.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term “United States” shall mean the United States of America, its territories and possessions, any State of the United States and the District of Columbia.</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u w:val="single" w:color="auto"/>
          <w:color w:val="auto"/>
        </w:rPr>
        <w:t>FORMS OF SECURITIES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2.01   </w:t>
      </w:r>
      <w:r>
        <w:rPr>
          <w:rFonts w:ascii="Times New Roman" w:cs="Times New Roman" w:eastAsia="Times New Roman" w:hAnsi="Times New Roman"/>
          <w:sz w:val="14"/>
          <w:szCs w:val="14"/>
          <w:u w:val="single" w:color="auto"/>
          <w:color w:val="auto"/>
        </w:rPr>
        <w:t>  Terms of the Securities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firstLine="1271"/>
        <w:spacing w:after="0" w:line="259" w:lineRule="auto"/>
        <w:rPr>
          <w:sz w:val="20"/>
          <w:szCs w:val="20"/>
          <w:color w:val="auto"/>
        </w:rPr>
      </w:pPr>
      <w:r>
        <w:rPr>
          <w:rFonts w:ascii="Times New Roman" w:cs="Times New Roman" w:eastAsia="Times New Roman" w:hAnsi="Times New Roman"/>
          <w:sz w:val="14"/>
          <w:szCs w:val="14"/>
          <w:color w:val="auto"/>
        </w:rPr>
        <w:t>(a)          The Securities of each series shall be substantially in the form set forth in a Board Resolution, a Company Order or in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Securities may be listed or of any automated quotation system on which any such series may be quoted, or to conform to usage, all as determined by any of the officers executing such Securities as conclusively evidenced by their execution of such Securities.</w:t>
      </w:r>
    </w:p>
    <w:p>
      <w:pPr>
        <w:spacing w:after="0" w:line="144" w:lineRule="exact"/>
        <w:rPr>
          <w:sz w:val="20"/>
          <w:szCs w:val="20"/>
          <w:color w:val="auto"/>
        </w:rPr>
      </w:pPr>
    </w:p>
    <w:p>
      <w:pPr>
        <w:ind w:right="200" w:firstLine="1271"/>
        <w:spacing w:after="0" w:line="286" w:lineRule="auto"/>
        <w:rPr>
          <w:sz w:val="20"/>
          <w:szCs w:val="20"/>
          <w:color w:val="auto"/>
        </w:rPr>
      </w:pPr>
      <w:r>
        <w:rPr>
          <w:rFonts w:ascii="Times New Roman" w:cs="Times New Roman" w:eastAsia="Times New Roman" w:hAnsi="Times New Roman"/>
          <w:sz w:val="14"/>
          <w:szCs w:val="14"/>
          <w:color w:val="auto"/>
        </w:rPr>
        <w:t>(b)          The terms and provisions of the Securities shall constitute, and are hereby expressly made, a part of this Indenture, and, to the extent applicable, the Company and the Trustee, by their execution and delivery of this Indenture expressly agree to such terms and provisions and to be bound thereby.</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2.02   </w:t>
      </w:r>
      <w:r>
        <w:rPr>
          <w:rFonts w:ascii="Times New Roman" w:cs="Times New Roman" w:eastAsia="Times New Roman" w:hAnsi="Times New Roman"/>
          <w:sz w:val="14"/>
          <w:szCs w:val="14"/>
          <w:u w:val="single" w:color="auto"/>
          <w:color w:val="auto"/>
        </w:rPr>
        <w:t>  Form of Trustee’s Certificate of Authentication</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right="220" w:firstLine="1271"/>
        <w:spacing w:after="0" w:line="286" w:lineRule="auto"/>
        <w:rPr>
          <w:sz w:val="20"/>
          <w:szCs w:val="20"/>
          <w:color w:val="auto"/>
        </w:rPr>
      </w:pPr>
      <w:r>
        <w:rPr>
          <w:rFonts w:ascii="Times New Roman" w:cs="Times New Roman" w:eastAsia="Times New Roman" w:hAnsi="Times New Roman"/>
          <w:sz w:val="14"/>
          <w:szCs w:val="14"/>
          <w:color w:val="auto"/>
        </w:rPr>
        <w:t>(a)          Only such of the Securities as shall bear thereon a certificate substantially in the form of the Trustee’s certificate of authentication hereinafter recited, executed by the Trustee by manual signature, shall be valid or become obligatory for any purpose or entitle the Holder thereof to any right or benefit under this Indenture.</w:t>
      </w:r>
    </w:p>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(b)          Each Security shall be dated the date of its authentication, except that any Global Security shall be dated as of the date specified as contemplated in Section 3.01.</w:t>
      </w:r>
    </w:p>
    <w:p>
      <w:pPr>
        <w:spacing w:after="0" w:line="3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180"/>
          </w:cols>
          <w:pgMar w:left="300" w:top="737" w:right="419" w:bottom="1440" w:gutter="0" w:footer="0" w:header="0"/>
        </w:sectPr>
      </w:pPr>
    </w:p>
    <w:bookmarkStart w:id="62" w:name="page63"/>
    <w:bookmarkEnd w:id="62"/>
    <w:p>
      <w:pPr>
        <w:ind w:left="1280"/>
        <w:spacing w:after="0"/>
        <w:rPr>
          <w:sz w:val="20"/>
          <w:szCs w:val="20"/>
          <w:color w:val="auto"/>
        </w:rPr>
      </w:pPr>
      <w:r>
        <w:rPr>
          <w:rFonts w:ascii="Times New Roman" w:cs="Times New Roman" w:eastAsia="Times New Roman" w:hAnsi="Times New Roman"/>
          <w:sz w:val="14"/>
          <w:szCs w:val="14"/>
          <w:color w:val="auto"/>
        </w:rPr>
        <w:t>(c)          The form of the Trustee’s certificate of authentication to be borne by the Securities shall be substantially as follows:</w:t>
      </w:r>
    </w:p>
    <w:p>
      <w:pPr>
        <w:spacing w:after="0" w:line="17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TRUSTEE’S CERTIFICATE OF AUTHENTICATION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is one of the Securities of the series designated therein referred to in the within-mentioned Indenture.</w:t>
      </w:r>
    </w:p>
    <w:p>
      <w:pPr>
        <w:spacing w:after="0" w:line="178"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4"/>
          <w:szCs w:val="14"/>
          <w:color w:val="auto"/>
        </w:rPr>
        <w:t>Date of authentication: ___________</w:t>
      </w:r>
      <w:r>
        <w:rPr>
          <w:sz w:val="20"/>
          <w:szCs w:val="20"/>
          <w:color w:val="auto"/>
        </w:rPr>
        <w:tab/>
      </w:r>
      <w:r>
        <w:rPr>
          <w:rFonts w:ascii="Times New Roman" w:cs="Times New Roman" w:eastAsia="Times New Roman" w:hAnsi="Times New Roman"/>
          <w:sz w:val="14"/>
          <w:szCs w:val="14"/>
          <w:color w:val="auto"/>
        </w:rPr>
        <w:t>U.S. Bank Trust Company, National Association, as Trustee</w:t>
      </w:r>
    </w:p>
    <w:p>
      <w:pPr>
        <w:spacing w:after="0" w:line="17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-101600</wp:posOffset>
            </wp:positionV>
            <wp:extent cx="336232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3362325" cy="6985"/>
                    </a:xfrm>
                    <a:prstGeom prst="rect">
                      <a:avLst/>
                    </a:prstGeom>
                    <a:noFill/>
                  </pic:spPr>
                </pic:pic>
              </a:graphicData>
            </a:graphic>
          </wp:anchor>
        </w:drawing>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2.03   </w:t>
      </w:r>
      <w:r>
        <w:rPr>
          <w:rFonts w:ascii="Times New Roman" w:cs="Times New Roman" w:eastAsia="Times New Roman" w:hAnsi="Times New Roman"/>
          <w:sz w:val="14"/>
          <w:szCs w:val="14"/>
          <w:u w:val="single" w:color="auto"/>
          <w:color w:val="auto"/>
        </w:rPr>
        <w:t>  Form of Trustee’s Certificate of Authentication by an Authenticating Agent</w:t>
      </w:r>
      <w:r>
        <w:rPr>
          <w:rFonts w:ascii="Times New Roman" w:cs="Times New Roman" w:eastAsia="Times New Roman" w:hAnsi="Times New Roman"/>
          <w:sz w:val="14"/>
          <w:szCs w:val="14"/>
          <w:color w:val="auto"/>
        </w:rPr>
        <w:t>. If at any time there shall be an Authenticating Agent appointed with respect to any series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then the Trustee’s Certificate of Authentication by such Authenticating Agent to be borne by Securities of each such series shall be substantially as follows:</w:t>
      </w:r>
    </w:p>
    <w:p>
      <w:pPr>
        <w:spacing w:after="0" w:line="16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TRUSTEE’S CERTIFICATE OF AUTHENTICATION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is one of the Securities of the series designated therein referred to in the within-mentioned Indenture.</w:t>
      </w:r>
    </w:p>
    <w:p>
      <w:pPr>
        <w:spacing w:after="0" w:line="178"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4"/>
          <w:szCs w:val="14"/>
          <w:color w:val="auto"/>
        </w:rPr>
        <w:t>Date of authentication: ___________</w:t>
      </w:r>
      <w:r>
        <w:rPr>
          <w:sz w:val="20"/>
          <w:szCs w:val="20"/>
          <w:color w:val="auto"/>
        </w:rPr>
        <w:tab/>
      </w:r>
      <w:r>
        <w:rPr>
          <w:rFonts w:ascii="Times New Roman" w:cs="Times New Roman" w:eastAsia="Times New Roman" w:hAnsi="Times New Roman"/>
          <w:sz w:val="14"/>
          <w:szCs w:val="14"/>
          <w:color w:val="auto"/>
        </w:rPr>
        <w:t>U.S. Bank Trust Company, National Association, as Trustee</w:t>
      </w:r>
    </w:p>
    <w:p>
      <w:pPr>
        <w:spacing w:after="0" w:line="17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as Authenticating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-101600</wp:posOffset>
            </wp:positionV>
            <wp:extent cx="336232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3362325" cy="6985"/>
                    </a:xfrm>
                    <a:prstGeom prst="rect">
                      <a:avLst/>
                    </a:prstGeom>
                    <a:noFill/>
                  </pic:spPr>
                </pic:pic>
              </a:graphicData>
            </a:graphic>
          </wp:anchor>
        </w:drawing>
      </w:r>
    </w:p>
    <w:p>
      <w:pPr>
        <w:spacing w:after="0" w:line="15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-101600</wp:posOffset>
            </wp:positionV>
            <wp:extent cx="336232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3362325" cy="6985"/>
                    </a:xfrm>
                    <a:prstGeom prst="rect">
                      <a:avLst/>
                    </a:prstGeom>
                    <a:noFill/>
                  </pic:spPr>
                </pic:pic>
              </a:graphicData>
            </a:graphic>
          </wp:anchor>
        </w:drawing>
      </w:r>
    </w:p>
    <w:p>
      <w:pPr>
        <w:spacing w:after="0" w:line="32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0820"/>
          </w:cols>
          <w:pgMar w:left="300" w:top="739" w:right="77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THE DEBT SECURITIES</w:t>
      </w:r>
    </w:p>
    <w:p>
      <w:pPr>
        <w:spacing w:after="0" w:line="180" w:lineRule="exact"/>
        <w:rPr>
          <w:sz w:val="20"/>
          <w:szCs w:val="20"/>
          <w:color w:val="auto"/>
        </w:rPr>
      </w:pPr>
    </w:p>
    <w:p>
      <w:pPr>
        <w:ind w:right="20" w:firstLine="508"/>
        <w:spacing w:after="0" w:line="269" w:lineRule="auto"/>
        <w:rPr>
          <w:sz w:val="20"/>
          <w:szCs w:val="20"/>
          <w:color w:val="auto"/>
        </w:rPr>
      </w:pPr>
      <w:r>
        <w:rPr>
          <w:rFonts w:ascii="Times New Roman" w:cs="Times New Roman" w:eastAsia="Times New Roman" w:hAnsi="Times New Roman"/>
          <w:sz w:val="14"/>
          <w:szCs w:val="14"/>
          <w:color w:val="auto"/>
        </w:rPr>
        <w:t>Section 3.01   </w:t>
      </w:r>
      <w:r>
        <w:rPr>
          <w:rFonts w:ascii="Times New Roman" w:cs="Times New Roman" w:eastAsia="Times New Roman" w:hAnsi="Times New Roman"/>
          <w:sz w:val="14"/>
          <w:szCs w:val="14"/>
          <w:u w:val="single" w:color="auto"/>
          <w:color w:val="auto"/>
        </w:rPr>
        <w:t>  Amount Unlimited; Issuable in Series</w:t>
      </w:r>
      <w:r>
        <w:rPr>
          <w:rFonts w:ascii="Times New Roman" w:cs="Times New Roman" w:eastAsia="Times New Roman" w:hAnsi="Times New Roman"/>
          <w:sz w:val="14"/>
          <w:szCs w:val="14"/>
          <w:color w:val="auto"/>
        </w:rPr>
        <w:t>. The aggregate principal amount of Securities that may be authenticated and delivered under this Indenture is unlimited. The Securities may be issued in one or more series. The title and terms on each series of Securities shall be as set forth in a Board Resolution, Company Order or in one or more indentures supplemental hereto, prior to the issuance of Securities of any series:</w:t>
      </w:r>
    </w:p>
    <w:p>
      <w:pPr>
        <w:spacing w:after="0" w:line="136" w:lineRule="exact"/>
        <w:rPr>
          <w:sz w:val="20"/>
          <w:szCs w:val="20"/>
          <w:color w:val="auto"/>
        </w:rPr>
      </w:pPr>
    </w:p>
    <w:p>
      <w:pPr>
        <w:ind w:right="440" w:firstLine="1271"/>
        <w:spacing w:after="0" w:line="286" w:lineRule="auto"/>
        <w:rPr>
          <w:sz w:val="20"/>
          <w:szCs w:val="20"/>
          <w:color w:val="auto"/>
        </w:rPr>
      </w:pPr>
      <w:r>
        <w:rPr>
          <w:rFonts w:ascii="Times New Roman" w:cs="Times New Roman" w:eastAsia="Times New Roman" w:hAnsi="Times New Roman"/>
          <w:sz w:val="14"/>
          <w:szCs w:val="14"/>
          <w:color w:val="auto"/>
        </w:rPr>
        <w:t>(a)          the title of the Securities of the series (which shall distinguish the Securities of such series from the Securities of all other series, except to the extent that additional Securities of an existing series are being issued);</w:t>
      </w:r>
    </w:p>
    <w:p>
      <w:pPr>
        <w:spacing w:after="0" w:line="125" w:lineRule="exact"/>
        <w:rPr>
          <w:sz w:val="20"/>
          <w:szCs w:val="20"/>
          <w:color w:val="auto"/>
        </w:rPr>
      </w:pPr>
    </w:p>
    <w:p>
      <w:pPr>
        <w:ind w:right="680" w:firstLine="1271"/>
        <w:spacing w:after="0" w:line="286" w:lineRule="auto"/>
        <w:rPr>
          <w:sz w:val="20"/>
          <w:szCs w:val="20"/>
          <w:color w:val="auto"/>
        </w:rPr>
      </w:pPr>
      <w:r>
        <w:rPr>
          <w:rFonts w:ascii="Times New Roman" w:cs="Times New Roman" w:eastAsia="Times New Roman" w:hAnsi="Times New Roman"/>
          <w:sz w:val="14"/>
          <w:szCs w:val="14"/>
          <w:color w:val="auto"/>
        </w:rPr>
        <w:t>(b)          any limit upon the aggregate principal amount of the Securities of the series that may be authenticated and delivered under this Indenture (except for Securities authenticated and delivered upon transfer of, or in exchange for, or in lieu of, other Securities of such series pursuant to Section 3.04, 3.06, 3.07, 4.06, or 14.05);</w:t>
      </w:r>
    </w:p>
    <w:p>
      <w:pPr>
        <w:spacing w:after="0" w:line="125" w:lineRule="exact"/>
        <w:rPr>
          <w:sz w:val="20"/>
          <w:szCs w:val="20"/>
          <w:color w:val="auto"/>
        </w:rPr>
      </w:pPr>
    </w:p>
    <w:p>
      <w:pPr>
        <w:ind w:right="20" w:firstLine="1271"/>
        <w:spacing w:after="0" w:line="286" w:lineRule="auto"/>
        <w:rPr>
          <w:sz w:val="20"/>
          <w:szCs w:val="20"/>
          <w:color w:val="auto"/>
        </w:rPr>
      </w:pPr>
      <w:r>
        <w:rPr>
          <w:rFonts w:ascii="Times New Roman" w:cs="Times New Roman" w:eastAsia="Times New Roman" w:hAnsi="Times New Roman"/>
          <w:sz w:val="14"/>
          <w:szCs w:val="14"/>
          <w:color w:val="auto"/>
        </w:rPr>
        <w:t>(c)          the dates on which or periods during which the Securities of the series may be issued, and the dates on, or the range of dates within, which the principal of and premium, if any, on the Securities of such series are or may be payable or the method by which such date or dates shall be determined or extended;</w:t>
      </w:r>
    </w:p>
    <w:p>
      <w:pPr>
        <w:spacing w:after="0" w:line="125" w:lineRule="exact"/>
        <w:rPr>
          <w:sz w:val="20"/>
          <w:szCs w:val="20"/>
          <w:color w:val="auto"/>
        </w:rPr>
      </w:pPr>
    </w:p>
    <w:p>
      <w:pPr>
        <w:ind w:firstLine="1271"/>
        <w:spacing w:after="0" w:line="261" w:lineRule="auto"/>
        <w:rPr>
          <w:sz w:val="20"/>
          <w:szCs w:val="20"/>
          <w:color w:val="auto"/>
        </w:rPr>
      </w:pPr>
      <w:r>
        <w:rPr>
          <w:rFonts w:ascii="Times New Roman" w:cs="Times New Roman" w:eastAsia="Times New Roman" w:hAnsi="Times New Roman"/>
          <w:sz w:val="14"/>
          <w:szCs w:val="14"/>
          <w:color w:val="auto"/>
        </w:rPr>
        <w:t>(d)          the rate or rates at which the Securities of the series shall bear interest, if any, or the method by which such rate or rates shall be determined, whether such interest shall be payable in cash or additional Securities of the same series or shall accrue and increase the aggregate principal amount outstanding of such series (including if such Securities were originally issued at a discount),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spacing w:after="0" w:line="141" w:lineRule="exact"/>
        <w:rPr>
          <w:sz w:val="20"/>
          <w:szCs w:val="20"/>
          <w:color w:val="auto"/>
        </w:rPr>
      </w:pPr>
    </w:p>
    <w:p>
      <w:pPr>
        <w:ind w:right="40" w:firstLine="1271"/>
        <w:spacing w:after="0" w:line="286" w:lineRule="auto"/>
        <w:rPr>
          <w:sz w:val="20"/>
          <w:szCs w:val="20"/>
          <w:color w:val="auto"/>
        </w:rPr>
      </w:pPr>
      <w:r>
        <w:rPr>
          <w:rFonts w:ascii="Times New Roman" w:cs="Times New Roman" w:eastAsia="Times New Roman" w:hAnsi="Times New Roman"/>
          <w:sz w:val="14"/>
          <w:szCs w:val="14"/>
          <w:color w:val="auto"/>
        </w:rPr>
        <w:t>(e)          if other than U.S. Dollars, the Foreign Currency in which Securities of the series shall be denominated or in which payment of the principal of, premium, if any, or interest on the Securities of the series shall be payable and any other terms concerning such payment;</w:t>
      </w:r>
    </w:p>
    <w:p>
      <w:pPr>
        <w:spacing w:after="0" w:line="125" w:lineRule="exact"/>
        <w:rPr>
          <w:sz w:val="20"/>
          <w:szCs w:val="20"/>
          <w:color w:val="auto"/>
        </w:rPr>
      </w:pPr>
    </w:p>
    <w:p>
      <w:pPr>
        <w:ind w:right="40" w:firstLine="1271"/>
        <w:spacing w:after="0" w:line="327" w:lineRule="auto"/>
        <w:rPr>
          <w:sz w:val="20"/>
          <w:szCs w:val="20"/>
          <w:color w:val="auto"/>
        </w:rPr>
      </w:pPr>
      <w:r>
        <w:rPr>
          <w:rFonts w:ascii="Times New Roman" w:cs="Times New Roman" w:eastAsia="Times New Roman" w:hAnsi="Times New Roman"/>
          <w:sz w:val="13"/>
          <w:szCs w:val="13"/>
          <w:color w:val="auto"/>
        </w:rPr>
        <w:t>(f)          if the amount of payment of principal of, premium, if any, or interest on the Securities of the series may be determined with reference to an index, formula or other method including, but not limited to, an index based on a Currency or Currencies other than that in which the Securities are stated to be payable, the manner in which such amounts shall be determined;</w:t>
      </w:r>
    </w:p>
    <w:p>
      <w:pPr>
        <w:spacing w:after="0" w:line="101" w:lineRule="exact"/>
        <w:rPr>
          <w:sz w:val="20"/>
          <w:szCs w:val="20"/>
          <w:color w:val="auto"/>
        </w:rPr>
      </w:pPr>
    </w:p>
    <w:p>
      <w:pPr>
        <w:ind w:firstLine="1271"/>
        <w:spacing w:after="0" w:line="263" w:lineRule="auto"/>
        <w:rPr>
          <w:sz w:val="20"/>
          <w:szCs w:val="20"/>
          <w:color w:val="auto"/>
        </w:rPr>
      </w:pPr>
      <w:r>
        <w:rPr>
          <w:rFonts w:ascii="Times New Roman" w:cs="Times New Roman" w:eastAsia="Times New Roman" w:hAnsi="Times New Roman"/>
          <w:sz w:val="14"/>
          <w:szCs w:val="14"/>
          <w:color w:val="auto"/>
        </w:rPr>
        <w:t>(g)          if the principal of, premium, if any, or interest on Securities of the series are to be payable, at the election of the Company or a Holder thereof, in a Currency other than that in which the Securities are denominated or stated to be payable without such election, the period or periods within which, and the terms and conditions upon which, such election may be made and the time and the manner of determining the exchange rate between the Currency in which the Securities are denominated or payable without such election and the Currency in which the Securities are to be paid if such election is made;</w:t>
      </w:r>
    </w:p>
    <w:p>
      <w:pPr>
        <w:spacing w:after="0" w:line="142" w:lineRule="exact"/>
        <w:rPr>
          <w:sz w:val="20"/>
          <w:szCs w:val="20"/>
          <w:color w:val="auto"/>
        </w:rPr>
      </w:pPr>
    </w:p>
    <w:p>
      <w:pPr>
        <w:ind w:right="220" w:firstLine="1271"/>
        <w:spacing w:after="0" w:line="269" w:lineRule="auto"/>
        <w:rPr>
          <w:sz w:val="20"/>
          <w:szCs w:val="20"/>
          <w:color w:val="auto"/>
        </w:rPr>
      </w:pPr>
      <w:r>
        <w:rPr>
          <w:rFonts w:ascii="Times New Roman" w:cs="Times New Roman" w:eastAsia="Times New Roman" w:hAnsi="Times New Roman"/>
          <w:sz w:val="14"/>
          <w:szCs w:val="14"/>
          <w:color w:val="auto"/>
        </w:rPr>
        <w:t>(h)          the place or places, if any, in addition to or instead of the Corporate Trust Office of the Trustee where the principal of, premium, if any, and interest on Securities of the series shall be payable, and where Securities of any series may be presented for registration of transfer, exchange or conversion, and the place or places where notices and demands to or upon the Company in respect of the Securities of such series may be made;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sectPr>
      </w:pPr>
    </w:p>
    <w:bookmarkStart w:id="64" w:name="page65"/>
    <w:bookmarkEnd w:id="64"/>
    <w:p>
      <w:pPr>
        <w:ind w:right="340" w:firstLine="1271"/>
        <w:spacing w:after="0" w:line="286" w:lineRule="auto"/>
        <w:rPr>
          <w:sz w:val="20"/>
          <w:szCs w:val="20"/>
          <w:color w:val="auto"/>
        </w:rPr>
      </w:pPr>
      <w:r>
        <w:rPr>
          <w:rFonts w:ascii="Times New Roman" w:cs="Times New Roman" w:eastAsia="Times New Roman" w:hAnsi="Times New Roman"/>
          <w:sz w:val="14"/>
          <w:szCs w:val="14"/>
          <w:color w:val="auto"/>
        </w:rPr>
        <w:t>(i)          the price or prices at which, the period or periods within which or the date or dates on which, and the terms and conditions upon which Securities of the series may be redeemed, in whole or in part, at the option of the Company, if the Company is to have that option;</w:t>
      </w:r>
    </w:p>
    <w:p>
      <w:pPr>
        <w:spacing w:after="0" w:line="125" w:lineRule="exact"/>
        <w:rPr>
          <w:sz w:val="20"/>
          <w:szCs w:val="20"/>
          <w:color w:val="auto"/>
        </w:rPr>
      </w:pPr>
    </w:p>
    <w:p>
      <w:pPr>
        <w:jc w:val="both"/>
        <w:ind w:firstLine="1271"/>
        <w:spacing w:after="0" w:line="269" w:lineRule="auto"/>
        <w:rPr>
          <w:sz w:val="20"/>
          <w:szCs w:val="20"/>
          <w:color w:val="auto"/>
        </w:rPr>
      </w:pPr>
      <w:r>
        <w:rPr>
          <w:rFonts w:ascii="Times New Roman" w:cs="Times New Roman" w:eastAsia="Times New Roman" w:hAnsi="Times New Roman"/>
          <w:sz w:val="14"/>
          <w:szCs w:val="14"/>
          <w:color w:val="auto"/>
        </w:rPr>
        <w:t>(j)          the obligation or right, if any, of the Company to redeem, purchase or repay Securities of the series pursuant to any sinking fund, amortization or analogous provisions or at the option of a Holder thereof and the price or prices at which, the period or periods within which or the date or dates on which, the Currency or Currencies in which and the terms and conditions upon which Securities of the series shall be redeemed, purchased or repaid, in whole or in part, pursuant to such obligation;</w:t>
      </w:r>
    </w:p>
    <w:p>
      <w:pPr>
        <w:spacing w:after="0" w:line="1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(k)          if other than minimum denominations of $2,000 and any integral multiple of $1,000 in excess thereof, the denominations in which Securities of the series shall be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issuable;</w:t>
      </w:r>
    </w:p>
    <w:p>
      <w:pPr>
        <w:spacing w:after="0" w:line="164" w:lineRule="exact"/>
        <w:rPr>
          <w:sz w:val="20"/>
          <w:szCs w:val="20"/>
          <w:color w:val="auto"/>
        </w:rPr>
      </w:pPr>
    </w:p>
    <w:p>
      <w:pPr>
        <w:ind w:right="120" w:firstLine="1271"/>
        <w:spacing w:after="0" w:line="286" w:lineRule="auto"/>
        <w:rPr>
          <w:sz w:val="20"/>
          <w:szCs w:val="20"/>
          <w:color w:val="auto"/>
        </w:rPr>
      </w:pPr>
      <w:r>
        <w:rPr>
          <w:rFonts w:ascii="Times New Roman" w:cs="Times New Roman" w:eastAsia="Times New Roman" w:hAnsi="Times New Roman"/>
          <w:sz w:val="14"/>
          <w:szCs w:val="14"/>
          <w:color w:val="auto"/>
        </w:rPr>
        <w:t>(l)          if other than the principal amount thereof, the portion of the principal amount of the Securities of the series which shall be payable upon declaration of acceleration of the Maturity thereof pursuant to Section 7.02;</w:t>
      </w:r>
    </w:p>
    <w:p>
      <w:pPr>
        <w:spacing w:after="0" w:line="125" w:lineRule="exact"/>
        <w:rPr>
          <w:sz w:val="20"/>
          <w:szCs w:val="20"/>
          <w:color w:val="auto"/>
        </w:rPr>
      </w:pPr>
    </w:p>
    <w:p>
      <w:pPr>
        <w:ind w:right="420" w:firstLine="1271"/>
        <w:spacing w:after="0" w:line="286" w:lineRule="auto"/>
        <w:rPr>
          <w:sz w:val="20"/>
          <w:szCs w:val="20"/>
          <w:color w:val="auto"/>
        </w:rPr>
      </w:pPr>
      <w:r>
        <w:rPr>
          <w:rFonts w:ascii="Times New Roman" w:cs="Times New Roman" w:eastAsia="Times New Roman" w:hAnsi="Times New Roman"/>
          <w:sz w:val="14"/>
          <w:szCs w:val="14"/>
          <w:color w:val="auto"/>
        </w:rPr>
        <w:t>(m)        the guarantors, if any, of the Securities of the series, and the extent of the guarantees (including provisions relating to seniority, subordination, and the release of the guarantors), if any, and any additions or changes to permit or facilitate guarantees of such Securities;</w:t>
      </w:r>
    </w:p>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(n)         whether the Securities of the series are to be issued as Original Issue Discount Securities and the amount of discount with which such Securities may be issued;</w:t>
      </w:r>
    </w:p>
    <w:p>
      <w:pPr>
        <w:spacing w:after="0" w:line="178" w:lineRule="exact"/>
        <w:rPr>
          <w:sz w:val="20"/>
          <w:szCs w:val="20"/>
          <w:color w:val="auto"/>
        </w:rPr>
      </w:pPr>
    </w:p>
    <w:p>
      <w:pPr>
        <w:ind w:right="40" w:firstLine="1271"/>
        <w:spacing w:after="0" w:line="327" w:lineRule="auto"/>
        <w:rPr>
          <w:sz w:val="20"/>
          <w:szCs w:val="20"/>
          <w:color w:val="auto"/>
        </w:rPr>
      </w:pPr>
      <w:r>
        <w:rPr>
          <w:rFonts w:ascii="Times New Roman" w:cs="Times New Roman" w:eastAsia="Times New Roman" w:hAnsi="Times New Roman"/>
          <w:sz w:val="13"/>
          <w:szCs w:val="13"/>
          <w:color w:val="auto"/>
        </w:rPr>
        <w:t>(o)          if the provisions of Article XII hereof shall not be applicable with respect to the Securities of such series; or any addition to or change in the provisions of Article XII and, if the Securities of any series are payable in a Currency other than U.S. Dollars, the Currency or the nature of the government obligations to be deposited with the Trustee pursuant to Section 12.08;</w:t>
      </w:r>
    </w:p>
    <w:p>
      <w:pPr>
        <w:spacing w:after="0" w:line="101" w:lineRule="exact"/>
        <w:rPr>
          <w:sz w:val="20"/>
          <w:szCs w:val="20"/>
          <w:color w:val="auto"/>
        </w:rPr>
      </w:pPr>
    </w:p>
    <w:p>
      <w:pPr>
        <w:ind w:right="40" w:firstLine="1271"/>
        <w:spacing w:after="0" w:line="269" w:lineRule="auto"/>
        <w:rPr>
          <w:sz w:val="20"/>
          <w:szCs w:val="20"/>
          <w:color w:val="auto"/>
        </w:rPr>
      </w:pPr>
      <w:r>
        <w:rPr>
          <w:rFonts w:ascii="Times New Roman" w:cs="Times New Roman" w:eastAsia="Times New Roman" w:hAnsi="Times New Roman"/>
          <w:sz w:val="14"/>
          <w:szCs w:val="14"/>
          <w:color w:val="auto"/>
        </w:rPr>
        <w:t>(p)          whether the Securities of the series are to be issued in whole or in part in the form of one or more Global Securities and, in such case, the Depositary for such Global Security or Global Securities, and the terms and conditions, if any, upon which interests in such Global Security or Global Securities may be exchanged in whole or in part for the individual securities represented thereby in definitive form registered in the name or names of Persons other than such Depositary or a nominee or nominees thereof (“Individual Securities”);</w:t>
      </w:r>
    </w:p>
    <w:p>
      <w:pPr>
        <w:spacing w:after="0" w:line="1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(q)          the date as of which any Global Security of the series shall be dated if other than the original issuance of the first Security of the series to be issued;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65" w:name="page66"/>
    <w:bookmarkEnd w:id="65"/>
    <w:p>
      <w:pPr>
        <w:ind w:left="1280"/>
        <w:spacing w:after="0"/>
        <w:rPr>
          <w:sz w:val="20"/>
          <w:szCs w:val="20"/>
          <w:color w:val="auto"/>
        </w:rPr>
      </w:pPr>
      <w:r>
        <w:rPr>
          <w:rFonts w:ascii="Times New Roman" w:cs="Times New Roman" w:eastAsia="Times New Roman" w:hAnsi="Times New Roman"/>
          <w:sz w:val="14"/>
          <w:szCs w:val="14"/>
          <w:color w:val="auto"/>
        </w:rPr>
        <w:t>(r)          the form or forms of the Securities of the series including such legends as may be required by applicable law;</w:t>
      </w:r>
    </w:p>
    <w:p>
      <w:pPr>
        <w:spacing w:after="0" w:line="178" w:lineRule="exact"/>
        <w:rPr>
          <w:sz w:val="20"/>
          <w:szCs w:val="20"/>
          <w:color w:val="auto"/>
        </w:rPr>
      </w:pPr>
    </w:p>
    <w:p>
      <w:pPr>
        <w:ind w:right="240" w:firstLine="1271"/>
        <w:spacing w:after="0" w:line="286" w:lineRule="auto"/>
        <w:rPr>
          <w:sz w:val="20"/>
          <w:szCs w:val="20"/>
          <w:color w:val="auto"/>
        </w:rPr>
      </w:pPr>
      <w:r>
        <w:rPr>
          <w:rFonts w:ascii="Times New Roman" w:cs="Times New Roman" w:eastAsia="Times New Roman" w:hAnsi="Times New Roman"/>
          <w:sz w:val="14"/>
          <w:szCs w:val="14"/>
          <w:color w:val="auto"/>
        </w:rPr>
        <w:t>(s)          if the Securities of the series are to be convertible into or exchangeable for any securities or property of any Person (including the Company), the terms and conditions upon which such Securities will be so convertible or exchangeable, and any additions or changes, if any, to permit or facilitate such conversion or exchange;</w:t>
      </w:r>
    </w:p>
    <w:p>
      <w:pPr>
        <w:spacing w:after="0" w:line="125" w:lineRule="exact"/>
        <w:rPr>
          <w:sz w:val="20"/>
          <w:szCs w:val="20"/>
          <w:color w:val="auto"/>
        </w:rPr>
      </w:pPr>
    </w:p>
    <w:p>
      <w:pPr>
        <w:ind w:right="60" w:firstLine="1271"/>
        <w:spacing w:after="0" w:line="286" w:lineRule="auto"/>
        <w:rPr>
          <w:sz w:val="20"/>
          <w:szCs w:val="20"/>
          <w:color w:val="auto"/>
        </w:rPr>
      </w:pPr>
      <w:r>
        <w:rPr>
          <w:rFonts w:ascii="Times New Roman" w:cs="Times New Roman" w:eastAsia="Times New Roman" w:hAnsi="Times New Roman"/>
          <w:sz w:val="14"/>
          <w:szCs w:val="14"/>
          <w:color w:val="auto"/>
        </w:rPr>
        <w:t>(t)          whether the Securities of such series are subject to subordination and the terms of such subordination (for avoidance of doubt, Article XV shall not apply to the Securities of any series unless the terms of such series expressly state it applies);</w:t>
      </w:r>
    </w:p>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(u)          whether the Securities of such series are to be secured and the terms of such security;</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(v)          any restriction or condition on the transferability of the Securities of such series;</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(w)          any addition or change in the provisions related to compensation and reimbursement of the Trustee which applies to Securities of such series;</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(x)          any addition or change in the provisions related to supplemental indentures set forth in Sections 14.01, 14.02 and 14.04 which applies to Securities of such series;</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(y)          provisions, if any, granting special rights to Holders upon the occurrence of specified events;</w:t>
      </w:r>
    </w:p>
    <w:p>
      <w:pPr>
        <w:spacing w:after="0" w:line="178" w:lineRule="exact"/>
        <w:rPr>
          <w:sz w:val="20"/>
          <w:szCs w:val="20"/>
          <w:color w:val="auto"/>
        </w:rPr>
      </w:pPr>
    </w:p>
    <w:p>
      <w:pPr>
        <w:ind w:right="120" w:firstLine="1271"/>
        <w:spacing w:after="0" w:line="269" w:lineRule="auto"/>
        <w:rPr>
          <w:sz w:val="20"/>
          <w:szCs w:val="20"/>
          <w:color w:val="auto"/>
        </w:rPr>
      </w:pPr>
      <w:r>
        <w:rPr>
          <w:rFonts w:ascii="Times New Roman" w:cs="Times New Roman" w:eastAsia="Times New Roman" w:hAnsi="Times New Roman"/>
          <w:sz w:val="14"/>
          <w:szCs w:val="14"/>
          <w:color w:val="auto"/>
        </w:rPr>
        <w:t>(z)          any addition to or change in the Events of Default which applies to any Securities of the series and any change in the right of the Trustee or the requisite Holders of such Securities to declare the principal amount thereof due and payable pursuant to Section 7.02 and any addition or change in the provisions set forth in Article VII which applies to Securities of the series;</w:t>
      </w:r>
    </w:p>
    <w:p>
      <w:pPr>
        <w:spacing w:after="0" w:line="1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(aa)        any addition to or change in the covenants set forth in Article VI which applies to Securities of the series; and</w:t>
      </w:r>
    </w:p>
    <w:p>
      <w:pPr>
        <w:spacing w:after="0" w:line="178" w:lineRule="exact"/>
        <w:rPr>
          <w:sz w:val="20"/>
          <w:szCs w:val="20"/>
          <w:color w:val="auto"/>
        </w:rPr>
      </w:pPr>
    </w:p>
    <w:p>
      <w:pPr>
        <w:ind w:firstLine="1271"/>
        <w:spacing w:after="0" w:line="286" w:lineRule="auto"/>
        <w:rPr>
          <w:sz w:val="20"/>
          <w:szCs w:val="20"/>
          <w:color w:val="auto"/>
        </w:rPr>
      </w:pPr>
      <w:r>
        <w:rPr>
          <w:rFonts w:ascii="Times New Roman" w:cs="Times New Roman" w:eastAsia="Times New Roman" w:hAnsi="Times New Roman"/>
          <w:sz w:val="14"/>
          <w:szCs w:val="14"/>
          <w:color w:val="auto"/>
        </w:rPr>
        <w:t>(bb)       any other terms of the Securities of such series (which terms shall not be inconsistent with the provisions of the TIA, but may modify, amend, supplement or delete any of the terms of this Indenture with respect to such series).</w:t>
      </w:r>
    </w:p>
    <w:p>
      <w:pPr>
        <w:spacing w:after="0" w:line="1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4"/>
          <w:szCs w:val="14"/>
          <w:color w:val="auto"/>
        </w:rPr>
        <w:t>All Securities of any one series shall be substantially identical, except as to denomination and except as may otherwise be provided herein or set forth in a Board Resolution, a Company Order or in one or more indentures supplemental hereto.</w:t>
      </w:r>
    </w:p>
    <w:p>
      <w:pPr>
        <w:spacing w:after="0" w:line="1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4"/>
          <w:szCs w:val="14"/>
          <w:color w:val="auto"/>
        </w:rPr>
        <w:t>Unless otherwise specified with respect to the Securities of any series pursuant to this Section 3.01, the Company may, at its option, at any time and from time to time, issue additional Securities of any series of Securities previously issued under this Indenture which together shall constitute a single series of Securities under this Indenture.</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40"/>
          </w:cols>
          <w:pgMar w:left="300" w:top="739" w:right="359" w:bottom="1440" w:gutter="0" w:footer="0" w:header="0"/>
        </w:sectPr>
      </w:pPr>
    </w:p>
    <w:bookmarkStart w:id="66" w:name="page67"/>
    <w:bookmarkEnd w:id="66"/>
    <w:p>
      <w:pPr>
        <w:ind w:right="400" w:firstLine="508"/>
        <w:spacing w:after="0" w:line="286" w:lineRule="auto"/>
        <w:rPr>
          <w:sz w:val="20"/>
          <w:szCs w:val="20"/>
          <w:color w:val="auto"/>
        </w:rPr>
      </w:pPr>
      <w:r>
        <w:rPr>
          <w:rFonts w:ascii="Times New Roman" w:cs="Times New Roman" w:eastAsia="Times New Roman" w:hAnsi="Times New Roman"/>
          <w:sz w:val="14"/>
          <w:szCs w:val="14"/>
          <w:color w:val="auto"/>
        </w:rPr>
        <w:t>Section 3.02   </w:t>
      </w:r>
      <w:r>
        <w:rPr>
          <w:rFonts w:ascii="Times New Roman" w:cs="Times New Roman" w:eastAsia="Times New Roman" w:hAnsi="Times New Roman"/>
          <w:sz w:val="14"/>
          <w:szCs w:val="14"/>
          <w:u w:val="single" w:color="auto"/>
          <w:color w:val="auto"/>
        </w:rPr>
        <w:t>  Denominations</w:t>
      </w:r>
      <w:r>
        <w:rPr>
          <w:rFonts w:ascii="Times New Roman" w:cs="Times New Roman" w:eastAsia="Times New Roman" w:hAnsi="Times New Roman"/>
          <w:sz w:val="14"/>
          <w:szCs w:val="14"/>
          <w:color w:val="auto"/>
        </w:rPr>
        <w:t>. In the absence of any specification pursuant to Section 3.01 with respect to Securities of any series, the Securities of such series shall be issuable only as Securities in minimum denominations of $2,000 and any integral multiple of $1,000 in excess thereof, and shall be payable only in U.S. Dollars.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3.03   </w:t>
      </w:r>
      <w:r>
        <w:rPr>
          <w:rFonts w:ascii="Times New Roman" w:cs="Times New Roman" w:eastAsia="Times New Roman" w:hAnsi="Times New Roman"/>
          <w:sz w:val="14"/>
          <w:szCs w:val="14"/>
          <w:u w:val="single" w:color="auto"/>
          <w:color w:val="auto"/>
        </w:rPr>
        <w:t>  Execution, Authentication, Delivery and Dating</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right="320" w:firstLine="1271"/>
        <w:spacing w:after="0" w:line="286" w:lineRule="auto"/>
        <w:rPr>
          <w:sz w:val="20"/>
          <w:szCs w:val="20"/>
          <w:color w:val="auto"/>
        </w:rPr>
      </w:pPr>
      <w:r>
        <w:rPr>
          <w:rFonts w:ascii="Times New Roman" w:cs="Times New Roman" w:eastAsia="Times New Roman" w:hAnsi="Times New Roman"/>
          <w:sz w:val="14"/>
          <w:szCs w:val="14"/>
          <w:color w:val="auto"/>
        </w:rPr>
        <w:t>(a)          The Securities shall be executed in the name and on behalf of the Company by the manual, facsimile or other electronic signature of any Officer. If the Person whose signature is on a Security no longer holds that office at the time the Security is authenticated and delivered, the Security shall nevertheless be valid.</w:t>
      </w:r>
    </w:p>
    <w:p>
      <w:pPr>
        <w:spacing w:after="0" w:line="125" w:lineRule="exact"/>
        <w:rPr>
          <w:sz w:val="20"/>
          <w:szCs w:val="20"/>
          <w:color w:val="auto"/>
        </w:rPr>
      </w:pPr>
    </w:p>
    <w:p>
      <w:pPr>
        <w:ind w:firstLine="1271"/>
        <w:spacing w:after="0" w:line="263" w:lineRule="auto"/>
        <w:rPr>
          <w:sz w:val="20"/>
          <w:szCs w:val="20"/>
          <w:color w:val="auto"/>
        </w:rPr>
      </w:pPr>
      <w:r>
        <w:rPr>
          <w:rFonts w:ascii="Times New Roman" w:cs="Times New Roman" w:eastAsia="Times New Roman" w:hAnsi="Times New Roman"/>
          <w:sz w:val="14"/>
          <w:szCs w:val="14"/>
          <w:color w:val="auto"/>
        </w:rPr>
        <w:t>(b)          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if required pursuant to Section 3.01, a supplemental indenture or Company Order setting forth the terms of the Securities of a series. The Trustee shall thereupon authenticate and deliver such Securities without any further action by the Company. The Company Order shall specify the amount of Securities to be authenticated and the date on which the original issue of Securities is to be authenticated.</w:t>
      </w:r>
    </w:p>
    <w:p>
      <w:pPr>
        <w:spacing w:after="0" w:line="142" w:lineRule="exact"/>
        <w:rPr>
          <w:sz w:val="20"/>
          <w:szCs w:val="20"/>
          <w:color w:val="auto"/>
        </w:rPr>
      </w:pPr>
    </w:p>
    <w:p>
      <w:pPr>
        <w:jc w:val="both"/>
        <w:ind w:right="100" w:firstLine="1271"/>
        <w:spacing w:after="0" w:line="269" w:lineRule="auto"/>
        <w:rPr>
          <w:sz w:val="20"/>
          <w:szCs w:val="20"/>
          <w:color w:val="auto"/>
        </w:rPr>
      </w:pPr>
      <w:r>
        <w:rPr>
          <w:rFonts w:ascii="Times New Roman" w:cs="Times New Roman" w:eastAsia="Times New Roman" w:hAnsi="Times New Roman"/>
          <w:sz w:val="14"/>
          <w:szCs w:val="14"/>
          <w:color w:val="auto"/>
        </w:rPr>
        <w:t>(c)          In authenticating the first Securities of any series and accepting the additional responsibilities under this Indenture in relation to such Securities the Trustee shall receive, and (subject to Section 11.02) shall be fully protected in relying upon an Officer’s Certificate and an Opinion of Counsel, each prepared in accordance with Section 16.01 stating that the conditions precedent, if any, provided for in the Indenture have been complied with.</w:t>
      </w:r>
    </w:p>
    <w:p>
      <w:pPr>
        <w:spacing w:after="0" w:line="136" w:lineRule="exact"/>
        <w:rPr>
          <w:sz w:val="20"/>
          <w:szCs w:val="20"/>
          <w:color w:val="auto"/>
        </w:rPr>
      </w:pPr>
    </w:p>
    <w:p>
      <w:pPr>
        <w:ind w:right="260" w:firstLine="1271"/>
        <w:spacing w:after="0" w:line="286" w:lineRule="auto"/>
        <w:rPr>
          <w:sz w:val="20"/>
          <w:szCs w:val="20"/>
          <w:color w:val="auto"/>
        </w:rPr>
      </w:pPr>
      <w:r>
        <w:rPr>
          <w:rFonts w:ascii="Times New Roman" w:cs="Times New Roman" w:eastAsia="Times New Roman" w:hAnsi="Times New Roman"/>
          <w:sz w:val="14"/>
          <w:szCs w:val="14"/>
          <w:color w:val="auto"/>
        </w:rPr>
        <w:t>(d)          The Trustee shall have the right to decline to authenticate and deliver the Securities under this Section 3.03 if the issue of the Securities pursuant to this Indenture will affect the Trustee’s own rights, duties or immunities under the Securities and this Indenture or otherwise in a manner which is not reasonably acceptable to the Trustee.</w:t>
      </w:r>
    </w:p>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(e)          Each Security shall be dated the date of its authentication, except as otherwise provided pursuant to Section 3.01 with respect to the Securities of such series.</w:t>
      </w:r>
    </w:p>
    <w:p>
      <w:pPr>
        <w:spacing w:after="0" w:line="178" w:lineRule="exact"/>
        <w:rPr>
          <w:sz w:val="20"/>
          <w:szCs w:val="20"/>
          <w:color w:val="auto"/>
        </w:rPr>
      </w:pPr>
    </w:p>
    <w:p>
      <w:pPr>
        <w:ind w:right="380" w:firstLine="1271"/>
        <w:spacing w:after="0" w:line="286" w:lineRule="auto"/>
        <w:rPr>
          <w:sz w:val="20"/>
          <w:szCs w:val="20"/>
          <w:color w:val="auto"/>
        </w:rPr>
      </w:pPr>
      <w:r>
        <w:rPr>
          <w:rFonts w:ascii="Times New Roman" w:cs="Times New Roman" w:eastAsia="Times New Roman" w:hAnsi="Times New Roman"/>
          <w:sz w:val="14"/>
          <w:szCs w:val="14"/>
          <w:color w:val="auto"/>
        </w:rPr>
        <w:t>(f)           Notwithstanding the provisions of Section 3.01 and of this Section 3.03, if all of the Securities of any series are not to be originally issued at the same time, then the documents required to be delivered pursuant to this Section 3.03 must be delivered only once prior to the authentication and delivery of the first Security of such series;</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40"/>
          </w:cols>
          <w:pgMar w:left="300" w:top="739" w:right="359" w:bottom="1440" w:gutter="0" w:footer="0" w:header="0"/>
        </w:sectPr>
      </w:pPr>
    </w:p>
    <w:bookmarkStart w:id="67" w:name="page68"/>
    <w:bookmarkEnd w:id="67"/>
    <w:p>
      <w:pPr>
        <w:ind w:right="20" w:firstLine="1271"/>
        <w:spacing w:after="0" w:line="263" w:lineRule="auto"/>
        <w:rPr>
          <w:sz w:val="20"/>
          <w:szCs w:val="20"/>
          <w:color w:val="auto"/>
        </w:rPr>
      </w:pPr>
      <w:r>
        <w:rPr>
          <w:rFonts w:ascii="Times New Roman" w:cs="Times New Roman" w:eastAsia="Times New Roman" w:hAnsi="Times New Roman"/>
          <w:sz w:val="14"/>
          <w:szCs w:val="14"/>
          <w:color w:val="auto"/>
        </w:rPr>
        <w:t>(g)          If the Company shall establish pursuant to Section 3.01 that the Securities of a series are to be issued in whole or in part in the form of one or more Global Securities, then the Company shall execute and the Trustee shall authenticate and deliver one or more Global Securities that (i) shall represent an aggregate amount equal to the aggregate principal amount of the Outstanding Securities of such series to be represented by such Global Securities, (ii) shall be registered, in the name of the Depositary for such Global Security or Global Securities or the nominee of such Depositary, (iii) shall be delivered by the Trustee to such Depositary or pursuant to such Depositary’s instruction and (iv) shall bear a legend substantially to the following effect:</w:t>
      </w:r>
    </w:p>
    <w:p>
      <w:pPr>
        <w:spacing w:after="0" w:line="142" w:lineRule="exact"/>
        <w:rPr>
          <w:sz w:val="20"/>
          <w:szCs w:val="20"/>
          <w:color w:val="auto"/>
        </w:rPr>
      </w:pPr>
    </w:p>
    <w:p>
      <w:pPr>
        <w:jc w:val="both"/>
        <w:ind w:left="520" w:right="240"/>
        <w:spacing w:after="0" w:line="269" w:lineRule="auto"/>
        <w:rPr>
          <w:sz w:val="20"/>
          <w:szCs w:val="20"/>
          <w:color w:val="auto"/>
        </w:rPr>
      </w:pPr>
      <w:r>
        <w:rPr>
          <w:rFonts w:ascii="Times New Roman" w:cs="Times New Roman" w:eastAsia="Times New Roman" w:hAnsi="Times New Roman"/>
          <w:sz w:val="14"/>
          <w:szCs w:val="14"/>
          <w:color w:val="auto"/>
        </w:rPr>
        <w:t>“THIS SECURITY IS A GLOBAL SECURITY WITHIN THE MEANING OF THE INDENTURE HEREINAFTER REFERRED TO AND IS REGISTERED IN THE NAME OF THE DEPOSITARY OR A NOMINEE OF THE DEPOSITARY, WHICH SHALL BE TREATED BY THE COMPANY, THE TRUSTEE AND ANY AGENT THEREOF AS OWNER AND HOLDER OF THIS SECURITY FOR ALL PURPOSES.</w:t>
      </w:r>
    </w:p>
    <w:p>
      <w:pPr>
        <w:spacing w:after="0" w:line="136" w:lineRule="exact"/>
        <w:rPr>
          <w:sz w:val="20"/>
          <w:szCs w:val="20"/>
          <w:color w:val="auto"/>
        </w:rPr>
      </w:pPr>
    </w:p>
    <w:p>
      <w:pPr>
        <w:ind w:left="520" w:right="80"/>
        <w:spacing w:after="0" w:line="259" w:lineRule="auto"/>
        <w:rPr>
          <w:sz w:val="20"/>
          <w:szCs w:val="20"/>
          <w:color w:val="auto"/>
        </w:rPr>
      </w:pPr>
      <w:r>
        <w:rPr>
          <w:rFonts w:ascii="Times New Roman" w:cs="Times New Roman" w:eastAsia="Times New Roman" w:hAnsi="Times New Roman"/>
          <w:sz w:val="14"/>
          <w:szCs w:val="14"/>
          <w:color w:val="auto"/>
        </w:rPr>
        <w:t>UNLESS THIS CERTIFICATE IS PRESENTED BY AN AUTHORIZED REPRESENTATIVE OF THE DEPOSITARY TO THE COMPANY OR ITS AGENT FOR REGISTRATION OF TRANSFER, EXCHANGE OR PAYMENT, AND ANY CERTIFICATE ISSUED IS REGISTERED IN THE NAME OF THE NOMINEE OF THE DEPOSITARY OR IN SUCH OTHER NAME AS IS REQUESTED BY AN AUTHORIZED REPRESENTATIVE OF THE DEPOSITARY (AND ANY PAYMENT HEREON IS MADE TO THE NOMINEE OF THE DEPOSITARY OR TO SUCH OTHER ENTITY AS IS REQUESTED BY AN AUTHORIZED REPRESENTATIVE OF THE DEPOSITARY), ANY TRANSFER, PLEDGE OR OTHER USE HEREOF FOR VALUE OR OTHERWISE BY OR TO ANY PERSON IS WRONGFUL SINCE THE REGISTERED OWNER HEREOF, THE NOMINEE OF THE DEPOSITARY, HAS AN INTEREST HEREIN.</w:t>
      </w:r>
    </w:p>
    <w:p>
      <w:pPr>
        <w:spacing w:after="0" w:line="144" w:lineRule="exact"/>
        <w:rPr>
          <w:sz w:val="20"/>
          <w:szCs w:val="20"/>
          <w:color w:val="auto"/>
        </w:rPr>
      </w:pPr>
    </w:p>
    <w:p>
      <w:pPr>
        <w:ind w:left="520" w:right="20"/>
        <w:spacing w:after="0" w:line="269" w:lineRule="auto"/>
        <w:rPr>
          <w:sz w:val="20"/>
          <w:szCs w:val="20"/>
          <w:color w:val="auto"/>
        </w:rPr>
      </w:pPr>
      <w:r>
        <w:rPr>
          <w:rFonts w:ascii="Times New Roman" w:cs="Times New Roman" w:eastAsia="Times New Roman" w:hAnsi="Times New Roman"/>
          <w:sz w:val="14"/>
          <w:szCs w:val="14"/>
          <w:color w:val="auto"/>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36" w:lineRule="exact"/>
        <w:rPr>
          <w:sz w:val="20"/>
          <w:szCs w:val="20"/>
          <w:color w:val="auto"/>
        </w:rPr>
      </w:pPr>
    </w:p>
    <w:p>
      <w:pPr>
        <w:ind w:right="140" w:firstLine="508"/>
        <w:spacing w:after="0" w:line="286" w:lineRule="auto"/>
        <w:rPr>
          <w:sz w:val="20"/>
          <w:szCs w:val="20"/>
          <w:color w:val="auto"/>
        </w:rPr>
      </w:pPr>
      <w:r>
        <w:rPr>
          <w:rFonts w:ascii="Times New Roman" w:cs="Times New Roman" w:eastAsia="Times New Roman" w:hAnsi="Times New Roman"/>
          <w:sz w:val="14"/>
          <w:szCs w:val="14"/>
          <w:color w:val="auto"/>
        </w:rPr>
        <w:t>The aggregate principal amount of each Global Security may from time to time be increased or decreased by adjustments made on the records of the Security Custodian, as provided in this Indenture.</w:t>
      </w:r>
    </w:p>
    <w:p>
      <w:pPr>
        <w:spacing w:after="0" w:line="125" w:lineRule="exact"/>
        <w:rPr>
          <w:sz w:val="20"/>
          <w:szCs w:val="20"/>
          <w:color w:val="auto"/>
        </w:rPr>
      </w:pPr>
    </w:p>
    <w:p>
      <w:pPr>
        <w:ind w:right="220" w:firstLine="1271"/>
        <w:spacing w:after="0" w:line="286" w:lineRule="auto"/>
        <w:rPr>
          <w:sz w:val="20"/>
          <w:szCs w:val="20"/>
          <w:color w:val="auto"/>
        </w:rPr>
      </w:pPr>
      <w:r>
        <w:rPr>
          <w:rFonts w:ascii="Times New Roman" w:cs="Times New Roman" w:eastAsia="Times New Roman" w:hAnsi="Times New Roman"/>
          <w:sz w:val="14"/>
          <w:szCs w:val="14"/>
          <w:color w:val="auto"/>
        </w:rPr>
        <w:t>(h)          Each Depositary designated pursuant to Section 3.01 for a Global Security in registered form must, at the time of its designation and at all times while it serves as such Depositary, be a clearing agency registered under the Exchange Act and any other applicable statute or regulation.</w:t>
      </w:r>
    </w:p>
    <w:p>
      <w:pPr>
        <w:spacing w:after="0" w:line="125" w:lineRule="exact"/>
        <w:rPr>
          <w:sz w:val="20"/>
          <w:szCs w:val="20"/>
          <w:color w:val="auto"/>
        </w:rPr>
      </w:pPr>
    </w:p>
    <w:p>
      <w:pPr>
        <w:ind w:firstLine="1271"/>
        <w:spacing w:after="0" w:line="259" w:lineRule="auto"/>
        <w:rPr>
          <w:sz w:val="20"/>
          <w:szCs w:val="20"/>
          <w:color w:val="auto"/>
        </w:rPr>
      </w:pPr>
      <w:r>
        <w:rPr>
          <w:rFonts w:ascii="Times New Roman" w:cs="Times New Roman" w:eastAsia="Times New Roman" w:hAnsi="Times New Roman"/>
          <w:sz w:val="14"/>
          <w:szCs w:val="14"/>
          <w:color w:val="auto"/>
        </w:rPr>
        <w:t>(i)          Members of, or participants in, the Depositary (“Members”) shall have no rights under this Indenture with respect to any Global Security held on their behalf by the Depositary or by the Security Custodian under such Global Security, and the Depositary shall be treated by the Company, the Trustee, the Paying Agent and the Registrar and any of their agents as the absolute owner of such Global Security for all purposes whatsoever. Notwithstanding the foregoing, nothing herein shall prevent the Company, the Trustee, the Paying Agent or the Registrar or any of their agents from giving effect to any written certification, proxy or other authorization furnished by the Depositary or impair, as between the Depositary and its Members, the operation of customary practices of the Depositary governing the exercise of the rights of an owner of a beneficial interest in any Global Security. The Holder of a Global Security may grant proxies and otherwise authorize any Person, including Members and Persons that may hold interests through Members, to take any action that a Holder is entitled to take under this Indenture or the Securities.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68" w:name="page69"/>
    <w:bookmarkEnd w:id="68"/>
    <w:p>
      <w:pPr>
        <w:ind w:right="300" w:firstLine="1271"/>
        <w:spacing w:after="0" w:line="263" w:lineRule="auto"/>
        <w:rPr>
          <w:sz w:val="20"/>
          <w:szCs w:val="20"/>
          <w:color w:val="auto"/>
        </w:rPr>
      </w:pPr>
      <w:r>
        <w:rPr>
          <w:rFonts w:ascii="Times New Roman" w:cs="Times New Roman" w:eastAsia="Times New Roman" w:hAnsi="Times New Roman"/>
          <w:sz w:val="14"/>
          <w:szCs w:val="14"/>
          <w:color w:val="auto"/>
        </w:rPr>
        <w:t>(j)          No Security shall be entitled to any benefit under this Indenture or be valid or obligatory for any purpose unless there appears on such Security a certificate of authentication substantially in one of the forms provided for herein duly executed by the Trustee or by an Authenticating Agent by manual signature of an authorized signatory of the Trustee or Authenticating Agent, and such certificate upon any Security shall be conclusive evidence, and the only evidence, that such Security has been duly authenticated and delivered hereunder and is entitled to the benefits of this Indenture.</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3.04   </w:t>
      </w:r>
      <w:r>
        <w:rPr>
          <w:rFonts w:ascii="Times New Roman" w:cs="Times New Roman" w:eastAsia="Times New Roman" w:hAnsi="Times New Roman"/>
          <w:sz w:val="14"/>
          <w:szCs w:val="14"/>
          <w:u w:val="single" w:color="auto"/>
          <w:color w:val="auto"/>
        </w:rPr>
        <w:t>  Temporary Securities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firstLine="1271"/>
        <w:spacing w:after="0" w:line="259" w:lineRule="auto"/>
        <w:rPr>
          <w:sz w:val="20"/>
          <w:szCs w:val="20"/>
          <w:color w:val="auto"/>
        </w:rPr>
      </w:pPr>
      <w:r>
        <w:rPr>
          <w:rFonts w:ascii="Times New Roman" w:cs="Times New Roman" w:eastAsia="Times New Roman" w:hAnsi="Times New Roman"/>
          <w:sz w:val="14"/>
          <w:szCs w:val="14"/>
          <w:color w:val="auto"/>
        </w:rPr>
        <w:t>(a)          Pending the preparation of definitive Securities of any series, the Company may execute, and upon Company Order the Trustee shall authenticate and deliver, temporary Securities that are printed, lithographed, typewritten, mimeographed or otherwise reproduced, in any authorized denominations, substantially of the tenor of the definitive Securities in lieu of which they are issued, in registered form and with such appropriate insertions, omissions, substitutions and other variations as the officers executing such Securities may determine, as conclusively evidenced by their execution of such Securities. Any such temporary Security may be in the form of one or more Global Securities, representing all or a portion of the Outstanding Securities of such series. Every such temporary Security shall be executed by the Company and shall be authenticated and delivered by the Trustee upon the same conditions and in substantially the same manner, and with the same effect, as the definitive Security or Securities in lieu of which it is issued.</w:t>
      </w:r>
    </w:p>
    <w:p>
      <w:pPr>
        <w:spacing w:after="0" w:line="144" w:lineRule="exact"/>
        <w:rPr>
          <w:sz w:val="20"/>
          <w:szCs w:val="20"/>
          <w:color w:val="auto"/>
        </w:rPr>
      </w:pPr>
    </w:p>
    <w:p>
      <w:pPr>
        <w:ind w:right="20" w:firstLine="1271"/>
        <w:spacing w:after="0" w:line="261" w:lineRule="auto"/>
        <w:rPr>
          <w:sz w:val="20"/>
          <w:szCs w:val="20"/>
          <w:color w:val="auto"/>
        </w:rPr>
      </w:pPr>
      <w:r>
        <w:rPr>
          <w:rFonts w:ascii="Times New Roman" w:cs="Times New Roman" w:eastAsia="Times New Roman" w:hAnsi="Times New Roman"/>
          <w:sz w:val="14"/>
          <w:szCs w:val="14"/>
          <w:color w:val="auto"/>
        </w:rPr>
        <w:t>(b)          If temporary Securities of any series are issued, the Company will cause definitive Securities of such series to be prepared without unreasonable delay. After the preparation of definitive Securities of such series, the temporary Securities of such series shall be exchangeable for definitive Securities of such series upon surrender of such temporary Securities at the office or agency of the Company in a Place of Payment for such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and of like tenor. Until so exchanged, the temporary Securities of any series shall in all respects be entitled to the same benefits under this Indenture as definitive Securities of such series.</w:t>
      </w:r>
    </w:p>
    <w:p>
      <w:pPr>
        <w:spacing w:after="0" w:line="141" w:lineRule="exact"/>
        <w:rPr>
          <w:sz w:val="20"/>
          <w:szCs w:val="20"/>
          <w:color w:val="auto"/>
        </w:rPr>
      </w:pPr>
    </w:p>
    <w:p>
      <w:pPr>
        <w:ind w:right="140" w:firstLine="1271"/>
        <w:spacing w:after="0" w:line="269" w:lineRule="auto"/>
        <w:rPr>
          <w:sz w:val="20"/>
          <w:szCs w:val="20"/>
          <w:color w:val="auto"/>
        </w:rPr>
      </w:pPr>
      <w:r>
        <w:rPr>
          <w:rFonts w:ascii="Times New Roman" w:cs="Times New Roman" w:eastAsia="Times New Roman" w:hAnsi="Times New Roman"/>
          <w:sz w:val="14"/>
          <w:szCs w:val="14"/>
          <w:color w:val="auto"/>
        </w:rPr>
        <w:t>(c)          Upon any exchange of a portion of a temporary Global Security for a definitive Global Security or for the Individual Securities represented thereby pursuant to this Section 3.04 or Section 3.06,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spacing w:after="0" w:line="3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160"/>
          </w:cols>
          <w:pgMar w:left="300" w:top="739" w:right="439" w:bottom="1440" w:gutter="0" w:footer="0" w:header="0"/>
        </w:sectPr>
      </w:pPr>
    </w:p>
    <w:bookmarkStart w:id="69" w:name="page70"/>
    <w:bookmarkEnd w:id="69"/>
    <w:p>
      <w:pPr>
        <w:ind w:left="520"/>
        <w:spacing w:after="0"/>
        <w:rPr>
          <w:sz w:val="20"/>
          <w:szCs w:val="20"/>
          <w:color w:val="auto"/>
        </w:rPr>
      </w:pPr>
      <w:r>
        <w:rPr>
          <w:rFonts w:ascii="Times New Roman" w:cs="Times New Roman" w:eastAsia="Times New Roman" w:hAnsi="Times New Roman"/>
          <w:sz w:val="14"/>
          <w:szCs w:val="14"/>
          <w:color w:val="auto"/>
        </w:rPr>
        <w:t>Section 3.05   </w:t>
      </w:r>
      <w:r>
        <w:rPr>
          <w:rFonts w:ascii="Times New Roman" w:cs="Times New Roman" w:eastAsia="Times New Roman" w:hAnsi="Times New Roman"/>
          <w:sz w:val="14"/>
          <w:szCs w:val="14"/>
          <w:u w:val="single" w:color="auto"/>
          <w:color w:val="auto"/>
        </w:rPr>
        <w:t>  Registrar</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right="60" w:firstLine="1271"/>
        <w:spacing w:after="0" w:line="259" w:lineRule="auto"/>
        <w:rPr>
          <w:sz w:val="20"/>
          <w:szCs w:val="20"/>
          <w:color w:val="auto"/>
        </w:rPr>
      </w:pPr>
      <w:r>
        <w:rPr>
          <w:rFonts w:ascii="Times New Roman" w:cs="Times New Roman" w:eastAsia="Times New Roman" w:hAnsi="Times New Roman"/>
          <w:sz w:val="14"/>
          <w:szCs w:val="14"/>
          <w:color w:val="auto"/>
        </w:rPr>
        <w:t>(a)          The Company will keep, at an office or agency to be maintained by it in a Place of Payment where Securities may be presented for registration or presented and surrendered for registration of transfer or of exchange, and where Securities of any series that are convertible or exchangeable may be surrendered for conversion or exchange, as applicable (the “Registrar”), a security register for the registration and the registration of transfer or of exchange of the Securities (the registers maintained in such office and in any other office or agency of the Company in a Place of Payment being herein sometimes collectively referred to as the “Register”), as in this Indenture provided, which Register shall at all reasonable times be open for inspection by the Trustee. Such Register shall be in written form or in any other form capable of being converted into written form within a reasonable time. The Company may have one or more co-Registrars; the term “Registrar” includes any co-registrar.</w:t>
      </w:r>
    </w:p>
    <w:p>
      <w:pPr>
        <w:spacing w:after="0" w:line="144" w:lineRule="exact"/>
        <w:rPr>
          <w:sz w:val="20"/>
          <w:szCs w:val="20"/>
          <w:color w:val="auto"/>
        </w:rPr>
      </w:pPr>
    </w:p>
    <w:p>
      <w:pPr>
        <w:ind w:right="60" w:firstLine="1271"/>
        <w:spacing w:after="0" w:line="266" w:lineRule="auto"/>
        <w:rPr>
          <w:sz w:val="20"/>
          <w:szCs w:val="20"/>
          <w:color w:val="auto"/>
        </w:rPr>
      </w:pPr>
      <w:r>
        <w:rPr>
          <w:rFonts w:ascii="Times New Roman" w:cs="Times New Roman" w:eastAsia="Times New Roman" w:hAnsi="Times New Roman"/>
          <w:sz w:val="14"/>
          <w:szCs w:val="14"/>
          <w:color w:val="auto"/>
        </w:rPr>
        <w:t>(b)          The Company shall enter into an appropriate agency agreement with any Registrar or co-Registrar not a party to this Indenture. The agreement shall implement the provisions of this Indenture that relate to such agent. The Company shall notify the Trustee of the name and address of each such agent. If the Company fails to maintain a Registrar for any series, the Trustee shall act as such and shall be entitled to appropriate compensation therefor pursuant to Section 11.01. The Company or any Affiliate thereof may act as Registrar, co-Registrar or transfer agent.</w:t>
      </w:r>
    </w:p>
    <w:p>
      <w:pPr>
        <w:spacing w:after="0" w:line="312" w:lineRule="exact"/>
        <w:rPr>
          <w:sz w:val="20"/>
          <w:szCs w:val="20"/>
          <w:color w:val="auto"/>
        </w:rPr>
      </w:pPr>
    </w:p>
    <w:p>
      <w:pPr>
        <w:ind w:right="60" w:firstLine="1271"/>
        <w:spacing w:after="0" w:line="269" w:lineRule="auto"/>
        <w:rPr>
          <w:sz w:val="20"/>
          <w:szCs w:val="20"/>
          <w:color w:val="auto"/>
        </w:rPr>
      </w:pPr>
      <w:r>
        <w:rPr>
          <w:rFonts w:ascii="Times New Roman" w:cs="Times New Roman" w:eastAsia="Times New Roman" w:hAnsi="Times New Roman"/>
          <w:sz w:val="14"/>
          <w:szCs w:val="14"/>
          <w:color w:val="auto"/>
        </w:rPr>
        <w:t>(c)          The Company hereby appoints the Trustee at its Corporate Trust Office as Registrar in connection with the Securities and this Indenture, until such time as another Person is appointed as such. In the case that the Trustee serves as Registrar, it will be entitled as Registrar to the same rights of compensation, reimbursement and indemnification under Section 11.01 and Section 11.02 as if it were the Trustee.</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3.06   </w:t>
      </w:r>
      <w:r>
        <w:rPr>
          <w:rFonts w:ascii="Times New Roman" w:cs="Times New Roman" w:eastAsia="Times New Roman" w:hAnsi="Times New Roman"/>
          <w:sz w:val="14"/>
          <w:szCs w:val="14"/>
          <w:u w:val="single" w:color="auto"/>
          <w:color w:val="auto"/>
        </w:rPr>
        <w:t>  Transfer and Exchange</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          Transfer.</w:t>
      </w:r>
    </w:p>
    <w:p>
      <w:pPr>
        <w:spacing w:after="0" w:line="178" w:lineRule="exact"/>
        <w:rPr>
          <w:sz w:val="20"/>
          <w:szCs w:val="20"/>
          <w:color w:val="auto"/>
        </w:rPr>
      </w:pPr>
    </w:p>
    <w:p>
      <w:pPr>
        <w:jc w:val="both"/>
        <w:ind w:left="520" w:right="60" w:firstLine="1271"/>
        <w:spacing w:after="0" w:line="263" w:lineRule="auto"/>
        <w:rPr>
          <w:sz w:val="20"/>
          <w:szCs w:val="20"/>
          <w:color w:val="auto"/>
        </w:rPr>
      </w:pPr>
      <w:r>
        <w:rPr>
          <w:rFonts w:ascii="Times New Roman" w:cs="Times New Roman" w:eastAsia="Times New Roman" w:hAnsi="Times New Roman"/>
          <w:sz w:val="14"/>
          <w:szCs w:val="14"/>
          <w:color w:val="auto"/>
        </w:rPr>
        <w:t>(i)          Upon surrender for registration of transfer of any Security of any series at the Registrar the Company shall execute, and the Trustee or any Authenticating Agent shall authenticate and deliver, in the name of the designated transferee, one or more new Securities of the same series for like aggregate principal amount of any authorized denomination or denominations. The transfer of any Security shall not be valid as against the Company or the Trustee unless registered at the Registrar at the request of the Holder, or at the request of his, her or its attorney duly authorized in writing.</w:t>
      </w:r>
    </w:p>
    <w:p>
      <w:pPr>
        <w:spacing w:after="0" w:line="142" w:lineRule="exact"/>
        <w:rPr>
          <w:sz w:val="20"/>
          <w:szCs w:val="20"/>
          <w:color w:val="auto"/>
        </w:rPr>
      </w:pPr>
    </w:p>
    <w:p>
      <w:pPr>
        <w:ind w:left="520" w:firstLine="1271"/>
        <w:spacing w:after="0" w:line="263" w:lineRule="auto"/>
        <w:rPr>
          <w:sz w:val="20"/>
          <w:szCs w:val="20"/>
          <w:color w:val="auto"/>
        </w:rPr>
      </w:pPr>
      <w:r>
        <w:rPr>
          <w:rFonts w:ascii="Times New Roman" w:cs="Times New Roman" w:eastAsia="Times New Roman" w:hAnsi="Times New Roman"/>
          <w:sz w:val="14"/>
          <w:szCs w:val="14"/>
          <w:color w:val="auto"/>
        </w:rPr>
        <w:t>(ii)          Notwithstanding any other provision of this Section, unless and until it is exchanged in whole or in part for the Individual Securities represented thereby,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70" w:name="page71"/>
    <w:bookmarkEnd w:id="70"/>
    <w:p>
      <w:pPr>
        <w:ind w:left="1280"/>
        <w:spacing w:after="0"/>
        <w:rPr>
          <w:sz w:val="20"/>
          <w:szCs w:val="20"/>
          <w:color w:val="auto"/>
        </w:rPr>
      </w:pPr>
      <w:r>
        <w:rPr>
          <w:rFonts w:ascii="Times New Roman" w:cs="Times New Roman" w:eastAsia="Times New Roman" w:hAnsi="Times New Roman"/>
          <w:sz w:val="14"/>
          <w:szCs w:val="14"/>
          <w:color w:val="auto"/>
        </w:rPr>
        <w:t>(b)          Exchange.</w:t>
      </w:r>
    </w:p>
    <w:p>
      <w:pPr>
        <w:spacing w:after="0" w:line="178" w:lineRule="exact"/>
        <w:rPr>
          <w:sz w:val="20"/>
          <w:szCs w:val="20"/>
          <w:color w:val="auto"/>
        </w:rPr>
      </w:pPr>
    </w:p>
    <w:p>
      <w:pPr>
        <w:ind w:left="520" w:right="200" w:firstLine="1271"/>
        <w:spacing w:after="0" w:line="286" w:lineRule="auto"/>
        <w:rPr>
          <w:sz w:val="20"/>
          <w:szCs w:val="20"/>
          <w:color w:val="auto"/>
        </w:rPr>
      </w:pPr>
      <w:r>
        <w:rPr>
          <w:rFonts w:ascii="Times New Roman" w:cs="Times New Roman" w:eastAsia="Times New Roman" w:hAnsi="Times New Roman"/>
          <w:sz w:val="14"/>
          <w:szCs w:val="14"/>
          <w:color w:val="auto"/>
        </w:rPr>
        <w:t>(i)          At the option of the Holder, Securities of any series (other than a Global Security, except as set forth below) may be exchanged for other Securities of the same series for like aggregate principal amount of any authorized denomination or denominations, upon surrender of the Securities to be exchanged at the Registrar.</w:t>
      </w:r>
    </w:p>
    <w:p>
      <w:pPr>
        <w:spacing w:after="0" w:line="125" w:lineRule="exact"/>
        <w:rPr>
          <w:sz w:val="20"/>
          <w:szCs w:val="20"/>
          <w:color w:val="auto"/>
        </w:rPr>
      </w:pPr>
    </w:p>
    <w:p>
      <w:pPr>
        <w:ind w:left="520" w:right="20" w:firstLine="1271"/>
        <w:spacing w:after="0" w:line="286" w:lineRule="auto"/>
        <w:rPr>
          <w:sz w:val="20"/>
          <w:szCs w:val="20"/>
          <w:color w:val="auto"/>
        </w:rPr>
      </w:pPr>
      <w:r>
        <w:rPr>
          <w:rFonts w:ascii="Times New Roman" w:cs="Times New Roman" w:eastAsia="Times New Roman" w:hAnsi="Times New Roman"/>
          <w:sz w:val="14"/>
          <w:szCs w:val="14"/>
          <w:color w:val="auto"/>
        </w:rPr>
        <w:t>(ii)          Whenever any Securities are so surrendered for exchange, the Company shall execute, and the Trustee or Authenticating Agent shall authenticate and deliver, the Securities that the Holder making the exchange is entitled to receive.</w:t>
      </w:r>
    </w:p>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(c)          Exchange of Global Securities for Individual Securities. Except as provided below, owners of beneficial interests in Global Securities will not be entitled to receive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Individual Securities.</w:t>
      </w:r>
    </w:p>
    <w:p>
      <w:pPr>
        <w:spacing w:after="0" w:line="164" w:lineRule="exact"/>
        <w:rPr>
          <w:sz w:val="20"/>
          <w:szCs w:val="20"/>
          <w:color w:val="auto"/>
        </w:rPr>
      </w:pPr>
    </w:p>
    <w:p>
      <w:pPr>
        <w:ind w:left="520" w:right="120" w:firstLine="1271"/>
        <w:spacing w:after="0" w:line="263" w:lineRule="auto"/>
        <w:rPr>
          <w:sz w:val="20"/>
          <w:szCs w:val="20"/>
          <w:color w:val="auto"/>
        </w:rPr>
      </w:pPr>
      <w:r>
        <w:rPr>
          <w:rFonts w:ascii="Times New Roman" w:cs="Times New Roman" w:eastAsia="Times New Roman" w:hAnsi="Times New Roman"/>
          <w:sz w:val="14"/>
          <w:szCs w:val="14"/>
          <w:color w:val="auto"/>
        </w:rPr>
        <w:t>(i)          Individual Securities shall be issued to all owners of beneficial interests in a Global Security in exchange for such interests if: (A) at any time the Depositary for the Securities of a series notifies the Company that it is unwilling or unable to continue as Depositary for the Securities of such series or if at any time the Depositary for the Securities of such series shall no longer be eligible under Section 3.03(h) and, in each case, a successor Depositary is not appointed by the Company within 90 days of such notice, or (B) the Company executes and delivers to the Trustee and the Registrar a Company Order stating that such Global Security shall be so exchangeable.</w:t>
      </w:r>
    </w:p>
    <w:p>
      <w:pPr>
        <w:spacing w:after="0" w:line="142" w:lineRule="exact"/>
        <w:rPr>
          <w:sz w:val="20"/>
          <w:szCs w:val="20"/>
          <w:color w:val="auto"/>
        </w:rPr>
      </w:pPr>
    </w:p>
    <w:p>
      <w:pPr>
        <w:ind w:left="520" w:firstLine="508"/>
        <w:spacing w:after="0" w:line="263" w:lineRule="auto"/>
        <w:rPr>
          <w:sz w:val="20"/>
          <w:szCs w:val="20"/>
          <w:color w:val="auto"/>
        </w:rPr>
      </w:pPr>
      <w:r>
        <w:rPr>
          <w:rFonts w:ascii="Times New Roman" w:cs="Times New Roman" w:eastAsia="Times New Roman" w:hAnsi="Times New Roman"/>
          <w:sz w:val="14"/>
          <w:szCs w:val="14"/>
          <w:color w:val="auto"/>
        </w:rPr>
        <w:t>In connection with the exchange of an entire Global Security for Individual Securities pursuant to this subsection (c), such Global Security shall be deemed to be surrendered to the Trustee for cancellation, and the Company shall execute, and the Trustee, upon receipt of a Company Order for the authentication and delivery of Individual Securities of such series, will authenticate and deliver to each beneficial owner identified by the Depositary in exchange for its beneficial interest in such Global Security, an equal aggregate principal amount of Individual Securities of authorized denominations.</w:t>
      </w:r>
    </w:p>
    <w:p>
      <w:pPr>
        <w:spacing w:after="0" w:line="142" w:lineRule="exact"/>
        <w:rPr>
          <w:sz w:val="20"/>
          <w:szCs w:val="20"/>
          <w:color w:val="auto"/>
        </w:rPr>
      </w:pPr>
    </w:p>
    <w:p>
      <w:pPr>
        <w:ind w:left="520" w:right="160" w:firstLine="1271"/>
        <w:spacing w:after="0" w:line="263" w:lineRule="auto"/>
        <w:rPr>
          <w:sz w:val="20"/>
          <w:szCs w:val="20"/>
          <w:color w:val="auto"/>
        </w:rPr>
      </w:pPr>
      <w:r>
        <w:rPr>
          <w:rFonts w:ascii="Times New Roman" w:cs="Times New Roman" w:eastAsia="Times New Roman" w:hAnsi="Times New Roman"/>
          <w:sz w:val="14"/>
          <w:szCs w:val="14"/>
          <w:color w:val="auto"/>
        </w:rPr>
        <w:t>(ii)          The owner of a beneficial interest in a Global Security will be entitled to receive an Individual Security in exchange for such interest if an Event of Default has occurred and is continuing. Upon receipt by the Security Custodian and Registrar of instructions from the Holder of a Global Security directing the Security Custodian and Registrar to</w:t>
      </w:r>
    </w:p>
    <w:p>
      <w:pPr>
        <w:ind w:left="520" w:right="100" w:hanging="7"/>
        <w:spacing w:after="0" w:line="265" w:lineRule="auto"/>
        <w:tabs>
          <w:tab w:leader="none" w:pos="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one or more Individual Securities in the amounts specified to the owner of a beneficial interest in such Global Security and (y) debit or cause to be debited an equivalent amount of beneficial interest in such Global Security, subject to the rules and regulations of the Depositary:</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71" w:name="page72"/>
    <w:bookmarkEnd w:id="71"/>
    <w:p>
      <w:pPr>
        <w:ind w:left="500" w:right="60" w:firstLine="1779"/>
        <w:spacing w:after="0" w:line="286" w:lineRule="auto"/>
        <w:rPr>
          <w:sz w:val="20"/>
          <w:szCs w:val="20"/>
          <w:color w:val="auto"/>
        </w:rPr>
      </w:pPr>
      <w:r>
        <w:rPr>
          <w:rFonts w:ascii="Times New Roman" w:cs="Times New Roman" w:eastAsia="Times New Roman" w:hAnsi="Times New Roman"/>
          <w:sz w:val="14"/>
          <w:szCs w:val="14"/>
          <w:color w:val="auto"/>
        </w:rPr>
        <w:t>(A)          the Security Custodian and Registrar shall notify the Company and the Trustee of such instructions, identifying the owner and amount of such beneficial interest in such Global Security;</w:t>
      </w:r>
    </w:p>
    <w:p>
      <w:pPr>
        <w:spacing w:after="0" w:line="125" w:lineRule="exact"/>
        <w:rPr>
          <w:sz w:val="20"/>
          <w:szCs w:val="20"/>
          <w:color w:val="auto"/>
        </w:rPr>
      </w:pPr>
    </w:p>
    <w:p>
      <w:pPr>
        <w:ind w:left="500" w:firstLine="1779"/>
        <w:spacing w:after="0" w:line="286" w:lineRule="auto"/>
        <w:rPr>
          <w:sz w:val="20"/>
          <w:szCs w:val="20"/>
          <w:color w:val="auto"/>
        </w:rPr>
      </w:pPr>
      <w:r>
        <w:rPr>
          <w:rFonts w:ascii="Times New Roman" w:cs="Times New Roman" w:eastAsia="Times New Roman" w:hAnsi="Times New Roman"/>
          <w:sz w:val="14"/>
          <w:szCs w:val="14"/>
          <w:color w:val="auto"/>
        </w:rPr>
        <w:t>(B)          the Company shall promptly execute and the Trustee, upon receipt of a Company Order for the authentication and delivery of Individual Securities of such series, shall authenticate and deliver to such beneficial owner Individual Securities in an equivalent amount to such beneficial interest in such Global Security; and</w:t>
      </w:r>
    </w:p>
    <w:p>
      <w:pPr>
        <w:spacing w:after="0" w:line="125" w:lineRule="exact"/>
        <w:rPr>
          <w:sz w:val="20"/>
          <w:szCs w:val="20"/>
          <w:color w:val="auto"/>
        </w:rPr>
      </w:pPr>
    </w:p>
    <w:p>
      <w:pPr>
        <w:ind w:left="500" w:right="100" w:firstLine="1779"/>
        <w:spacing w:after="0" w:line="261" w:lineRule="auto"/>
        <w:rPr>
          <w:sz w:val="20"/>
          <w:szCs w:val="20"/>
          <w:color w:val="auto"/>
        </w:rPr>
      </w:pPr>
      <w:r>
        <w:rPr>
          <w:rFonts w:ascii="Times New Roman" w:cs="Times New Roman" w:eastAsia="Times New Roman" w:hAnsi="Times New Roman"/>
          <w:sz w:val="14"/>
          <w:szCs w:val="14"/>
          <w:color w:val="auto"/>
        </w:rPr>
        <w:t>(C)          the Security Custodian and Registrar shall decrease such Global Security by such amount in accordance with the foregoing. In the event that the Individual Securities are not issued to each such beneficial owner promptly after the Registrar has received a request from the Holder of a Global Security to issue such Individual Securities, the Company expressly acknowledges, with respect to the right of any Holder to pursue a remedy pursuant to Section 7.07 hereof, the right of any beneficial Holder of Securities to pursue such remedy with respect to the portion of the Global Security that represents such beneficial Holder’s Securities as if such Individual Securities had been issued.</w:t>
      </w:r>
    </w:p>
    <w:p>
      <w:pPr>
        <w:spacing w:after="0" w:line="141" w:lineRule="exact"/>
        <w:rPr>
          <w:sz w:val="20"/>
          <w:szCs w:val="20"/>
          <w:color w:val="auto"/>
        </w:rPr>
      </w:pPr>
    </w:p>
    <w:p>
      <w:pPr>
        <w:ind w:right="20" w:firstLine="1271"/>
        <w:spacing w:after="0" w:line="269" w:lineRule="auto"/>
        <w:rPr>
          <w:sz w:val="20"/>
          <w:szCs w:val="20"/>
          <w:color w:val="auto"/>
        </w:rPr>
      </w:pPr>
      <w:r>
        <w:rPr>
          <w:rFonts w:ascii="Times New Roman" w:cs="Times New Roman" w:eastAsia="Times New Roman" w:hAnsi="Times New Roman"/>
          <w:sz w:val="14"/>
          <w:szCs w:val="14"/>
          <w:color w:val="auto"/>
        </w:rPr>
        <w:t>(iii)          If specified by the Company pursuant to Section 3.01 with respect to a series of Securities, the Depositary for such series of Securities may surrender a Global Security for such series of Securities in exchange in whole or in part for Individual Securities of such series on such terms as are acceptable to the Company and such Depositary. Thereupon, the Company shall execute, and the Trustee shall authenticate and deliver, without service charge,</w:t>
      </w:r>
    </w:p>
    <w:p>
      <w:pPr>
        <w:spacing w:after="0" w:line="136" w:lineRule="exact"/>
        <w:rPr>
          <w:sz w:val="20"/>
          <w:szCs w:val="20"/>
          <w:color w:val="auto"/>
        </w:rPr>
      </w:pPr>
    </w:p>
    <w:p>
      <w:pPr>
        <w:ind w:left="500" w:right="360" w:firstLine="1779"/>
        <w:spacing w:after="0" w:line="286" w:lineRule="auto"/>
        <w:rPr>
          <w:sz w:val="20"/>
          <w:szCs w:val="20"/>
          <w:color w:val="auto"/>
        </w:rPr>
      </w:pPr>
      <w:r>
        <w:rPr>
          <w:rFonts w:ascii="Times New Roman" w:cs="Times New Roman" w:eastAsia="Times New Roman" w:hAnsi="Times New Roman"/>
          <w:sz w:val="14"/>
          <w:szCs w:val="14"/>
          <w:color w:val="auto"/>
        </w:rPr>
        <w:t>(A)          to each Person specified by such Depositary a new Individual Security or new Individual Securities of the same series, of any authorized denomination as requested by such Person in aggregate principal amount equal to and in exchange for such Person’s beneficial interest in the Global Security; and</w:t>
      </w:r>
    </w:p>
    <w:p>
      <w:pPr>
        <w:spacing w:after="0" w:line="125" w:lineRule="exact"/>
        <w:rPr>
          <w:sz w:val="20"/>
          <w:szCs w:val="20"/>
          <w:color w:val="auto"/>
        </w:rPr>
      </w:pPr>
    </w:p>
    <w:p>
      <w:pPr>
        <w:ind w:left="500" w:right="180" w:firstLine="1779"/>
        <w:spacing w:after="0" w:line="286" w:lineRule="auto"/>
        <w:rPr>
          <w:sz w:val="20"/>
          <w:szCs w:val="20"/>
          <w:color w:val="auto"/>
        </w:rPr>
      </w:pPr>
      <w:r>
        <w:rPr>
          <w:rFonts w:ascii="Times New Roman" w:cs="Times New Roman" w:eastAsia="Times New Roman" w:hAnsi="Times New Roman"/>
          <w:sz w:val="14"/>
          <w:szCs w:val="14"/>
          <w:color w:val="auto"/>
        </w:rPr>
        <w:t>(B)          to such Depositary a new Global Security in a denomination equal to the difference, if any, between the principal amount of the surrendered Global Security and the aggregate principal amount of Individual Securities delivered to Holders thereof.</w:t>
      </w:r>
    </w:p>
    <w:p>
      <w:pPr>
        <w:spacing w:after="0" w:line="29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14605</wp:posOffset>
            </wp:positionV>
            <wp:extent cx="716216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0720"/>
          </w:cols>
          <w:pgMar w:left="820" w:top="739" w:right="359" w:bottom="1440" w:gutter="0" w:footer="0" w:header="0"/>
        </w:sectPr>
      </w:pPr>
    </w:p>
    <w:bookmarkStart w:id="72" w:name="page73"/>
    <w:bookmarkEnd w:id="72"/>
    <w:p>
      <w:pPr>
        <w:ind w:left="520" w:right="520" w:firstLine="1271"/>
        <w:spacing w:after="0" w:line="286" w:lineRule="auto"/>
        <w:rPr>
          <w:sz w:val="20"/>
          <w:szCs w:val="20"/>
          <w:color w:val="auto"/>
        </w:rPr>
      </w:pPr>
      <w:r>
        <w:rPr>
          <w:rFonts w:ascii="Times New Roman" w:cs="Times New Roman" w:eastAsia="Times New Roman" w:hAnsi="Times New Roman"/>
          <w:sz w:val="14"/>
          <w:szCs w:val="14"/>
          <w:color w:val="auto"/>
        </w:rPr>
        <w:t>(iv)          In any exchange provided for in clauses (i) through (iii), the Company will execute and the Trustee will authenticate and deliver Individual Securities in registered form in authorized denominations.</w:t>
      </w:r>
    </w:p>
    <w:p>
      <w:pPr>
        <w:spacing w:after="0" w:line="125" w:lineRule="exact"/>
        <w:rPr>
          <w:sz w:val="20"/>
          <w:szCs w:val="20"/>
          <w:color w:val="auto"/>
        </w:rPr>
      </w:pPr>
    </w:p>
    <w:p>
      <w:pPr>
        <w:ind w:left="520" w:right="220" w:firstLine="1271"/>
        <w:spacing w:after="0" w:line="263" w:lineRule="auto"/>
        <w:rPr>
          <w:sz w:val="20"/>
          <w:szCs w:val="20"/>
          <w:color w:val="auto"/>
        </w:rPr>
      </w:pPr>
      <w:r>
        <w:rPr>
          <w:rFonts w:ascii="Times New Roman" w:cs="Times New Roman" w:eastAsia="Times New Roman" w:hAnsi="Times New Roman"/>
          <w:sz w:val="14"/>
          <w:szCs w:val="14"/>
          <w:color w:val="auto"/>
        </w:rPr>
        <w:t>(v)          Upon the exchange in full of a Global Security for Individual Securities, such Global Security shall be canceled by the Trustee. Individual Securities issued in exchange for a Global Security pursuant to this Section shall be registered in such names and in such authorized denominations as the Depositary for such Global Security, pursuant to instructions from its direct or indirect participants or otherwise, shall instruct the Trustee. The Trustee shall deliver such Securities to the Persons in whose names such Securities are so registered.</w:t>
      </w:r>
    </w:p>
    <w:p>
      <w:pPr>
        <w:spacing w:after="0" w:line="142" w:lineRule="exact"/>
        <w:rPr>
          <w:sz w:val="20"/>
          <w:szCs w:val="20"/>
          <w:color w:val="auto"/>
        </w:rPr>
      </w:pPr>
    </w:p>
    <w:p>
      <w:pPr>
        <w:ind w:right="220" w:firstLine="1271"/>
        <w:spacing w:after="0" w:line="286" w:lineRule="auto"/>
        <w:rPr>
          <w:sz w:val="20"/>
          <w:szCs w:val="20"/>
          <w:color w:val="auto"/>
        </w:rPr>
      </w:pPr>
      <w:r>
        <w:rPr>
          <w:rFonts w:ascii="Times New Roman" w:cs="Times New Roman" w:eastAsia="Times New Roman" w:hAnsi="Times New Roman"/>
          <w:sz w:val="14"/>
          <w:szCs w:val="14"/>
          <w:color w:val="auto"/>
        </w:rPr>
        <w:t>(d)          All Securities issued upon any registration of transfer or exchange of Securities shall be valid obligations of the Company evidencing the same debt, and entitled to the same benefits under this Indenture, as the Securities surrendered for such registration of transfer or exchange.</w:t>
      </w:r>
    </w:p>
    <w:p>
      <w:pPr>
        <w:spacing w:after="0" w:line="125" w:lineRule="exact"/>
        <w:rPr>
          <w:sz w:val="20"/>
          <w:szCs w:val="20"/>
          <w:color w:val="auto"/>
        </w:rPr>
      </w:pPr>
    </w:p>
    <w:p>
      <w:pPr>
        <w:jc w:val="both"/>
        <w:ind w:firstLine="1271"/>
        <w:spacing w:after="0" w:line="269" w:lineRule="auto"/>
        <w:rPr>
          <w:sz w:val="20"/>
          <w:szCs w:val="20"/>
          <w:color w:val="auto"/>
        </w:rPr>
      </w:pPr>
      <w:r>
        <w:rPr>
          <w:rFonts w:ascii="Times New Roman" w:cs="Times New Roman" w:eastAsia="Times New Roman" w:hAnsi="Times New Roman"/>
          <w:sz w:val="14"/>
          <w:szCs w:val="14"/>
          <w:color w:val="auto"/>
        </w:rPr>
        <w:t>(e)          Every Security presented or surrendered for registration of transfer, or for exchange or payment shall (if so required by the Company, the Trustee or the Registrar) be duly endorsed, or be accompanied by a written instrument or instruments of transfer in form satisfactory to the Company, the Trustee and the Registrar, duly executed by the Holder thereof or by his, her or its attorney duly authorized in writing.</w:t>
      </w:r>
    </w:p>
    <w:p>
      <w:pPr>
        <w:spacing w:after="0" w:line="136" w:lineRule="exact"/>
        <w:rPr>
          <w:sz w:val="20"/>
          <w:szCs w:val="20"/>
          <w:color w:val="auto"/>
        </w:rPr>
      </w:pPr>
    </w:p>
    <w:p>
      <w:pPr>
        <w:jc w:val="both"/>
        <w:ind w:right="120" w:firstLine="1271"/>
        <w:spacing w:after="0" w:line="269" w:lineRule="auto"/>
        <w:rPr>
          <w:sz w:val="20"/>
          <w:szCs w:val="20"/>
          <w:color w:val="auto"/>
        </w:rPr>
      </w:pPr>
      <w:r>
        <w:rPr>
          <w:rFonts w:ascii="Times New Roman" w:cs="Times New Roman" w:eastAsia="Times New Roman" w:hAnsi="Times New Roman"/>
          <w:sz w:val="14"/>
          <w:szCs w:val="14"/>
          <w:color w:val="auto"/>
        </w:rPr>
        <w:t>(f)          No service charge will be made for any registration of transfer or exchange of Securities. The Company or the Trustee may require payment of a sum sufficient to cover any tax, assessment or other governmental charge that may be imposed in connection with any registration of transfer or exchange of Securities, other than those expressly provided in this Indenture to be made at the Company’s own expense or without expense or charge to the Holders.</w:t>
      </w:r>
    </w:p>
    <w:p>
      <w:pPr>
        <w:spacing w:after="0" w:line="136" w:lineRule="exact"/>
        <w:rPr>
          <w:sz w:val="20"/>
          <w:szCs w:val="20"/>
          <w:color w:val="auto"/>
        </w:rPr>
      </w:pPr>
    </w:p>
    <w:p>
      <w:pPr>
        <w:jc w:val="both"/>
        <w:ind w:firstLine="1271"/>
        <w:spacing w:after="0" w:line="269" w:lineRule="auto"/>
        <w:rPr>
          <w:sz w:val="20"/>
          <w:szCs w:val="20"/>
          <w:color w:val="auto"/>
        </w:rPr>
      </w:pPr>
      <w:r>
        <w:rPr>
          <w:rFonts w:ascii="Times New Roman" w:cs="Times New Roman" w:eastAsia="Times New Roman" w:hAnsi="Times New Roman"/>
          <w:sz w:val="14"/>
          <w:szCs w:val="14"/>
          <w:color w:val="auto"/>
        </w:rPr>
        <w:t>(g)          The Company shall not be required to (i) register, transfer or exchange Securities of any series during a period beginning at the opening of business 15 days before the day of the transmission of a notice of redemption of Securities of such series selected for redemption under Section 4.02 and ending at the close of business on the day of such transmission, or (ii) register, transfer or exchange any Security so selected for redemption in whole or in part, except the unredeemed portion of any Security being redeemed in part.</w:t>
      </w:r>
    </w:p>
    <w:p>
      <w:pPr>
        <w:spacing w:after="0" w:line="136" w:lineRule="exact"/>
        <w:rPr>
          <w:sz w:val="20"/>
          <w:szCs w:val="20"/>
          <w:color w:val="auto"/>
        </w:rPr>
      </w:pPr>
    </w:p>
    <w:p>
      <w:pPr>
        <w:ind w:right="20" w:firstLine="1271"/>
        <w:spacing w:after="0" w:line="259" w:lineRule="auto"/>
        <w:rPr>
          <w:sz w:val="20"/>
          <w:szCs w:val="20"/>
          <w:color w:val="auto"/>
        </w:rPr>
      </w:pPr>
      <w:r>
        <w:rPr>
          <w:rFonts w:ascii="Times New Roman" w:cs="Times New Roman" w:eastAsia="Times New Roman" w:hAnsi="Times New Roman"/>
          <w:sz w:val="14"/>
          <w:szCs w:val="14"/>
          <w:color w:val="auto"/>
        </w:rPr>
        <w:t>(h)          In case a successor Company (“Successor Company”) has executed an indenture supplemental hereto with the Trustee pursuant to Section 6.04, any of the Securities previously authenticated or delivered may, from time to time, at the request of the Successor Company, be exchanged for other Securities executed in the name of the Successor Company with such changes in phraseology and form as may be appropriate, but otherwise identical to the Securities surrendered for such exchange and of like principal amount; and the Trustee, upon Company Order of the Successor Company, shall authenticate and deliver Securities as specified in such order for the purpose of such exchange. If Securities shall at any time be authenticated and delivered in any new name of a Successor Company pursuant to this Section 3.06 in exchange or substitution for or upon registration of transfer of any Securities, such Successor Company, at the option of the Holders but without expense to them, shall provide for the exchange of all Securities at the time Outstanding for Securities authenticated and delivered in such new name.</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73" w:name="page74"/>
    <w:bookmarkEnd w:id="73"/>
    <w:p>
      <w:pPr>
        <w:ind w:right="20" w:firstLine="1271"/>
        <w:spacing w:after="0" w:line="269" w:lineRule="auto"/>
        <w:rPr>
          <w:sz w:val="20"/>
          <w:szCs w:val="20"/>
          <w:color w:val="auto"/>
        </w:rPr>
      </w:pPr>
      <w:r>
        <w:rPr>
          <w:rFonts w:ascii="Times New Roman" w:cs="Times New Roman" w:eastAsia="Times New Roman" w:hAnsi="Times New Roman"/>
          <w:sz w:val="14"/>
          <w:szCs w:val="14"/>
          <w:color w:val="auto"/>
        </w:rPr>
        <w:t>(i)          The Trustee shall have no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(j)          Neither the Trustee nor any agent of the Trustee shall have any responsibility for any actions taken or not taken by the Depositary.</w:t>
      </w:r>
    </w:p>
    <w:p>
      <w:pPr>
        <w:spacing w:after="0" w:line="178" w:lineRule="exact"/>
        <w:rPr>
          <w:sz w:val="20"/>
          <w:szCs w:val="20"/>
          <w:color w:val="auto"/>
        </w:rPr>
      </w:pPr>
    </w:p>
    <w:p>
      <w:pPr>
        <w:jc w:val="both"/>
        <w:ind w:right="20" w:firstLine="1271"/>
        <w:spacing w:after="0" w:line="299" w:lineRule="auto"/>
        <w:rPr>
          <w:sz w:val="20"/>
          <w:szCs w:val="20"/>
          <w:color w:val="auto"/>
        </w:rPr>
      </w:pPr>
      <w:r>
        <w:rPr>
          <w:rFonts w:ascii="Times New Roman" w:cs="Times New Roman" w:eastAsia="Times New Roman" w:hAnsi="Times New Roman"/>
          <w:sz w:val="13"/>
          <w:szCs w:val="13"/>
          <w:color w:val="auto"/>
        </w:rPr>
        <w:t>(k)          Prior to the due presentation for registration of transfer or exchange of any Security, the Company, the Trustee, the Paying Agent, the Registrar or any of their agents may deem and treat the Person in whose name a Security is registered as the absolute owner of such Security (whether or not such Security shall be overdue and notwithstanding any notation of ownership or other writing thereon) for all purposes whatsoever, and none of the Company, the Trustee, the Paying Agent, the Registrar or any of their agents shall be affected by any notice to the contrary.</w:t>
      </w:r>
    </w:p>
    <w:p>
      <w:pPr>
        <w:spacing w:after="0" w:line="119" w:lineRule="exact"/>
        <w:rPr>
          <w:sz w:val="20"/>
          <w:szCs w:val="20"/>
          <w:color w:val="auto"/>
        </w:rPr>
      </w:pPr>
    </w:p>
    <w:p>
      <w:pPr>
        <w:ind w:firstLine="1271"/>
        <w:spacing w:after="0" w:line="258" w:lineRule="auto"/>
        <w:rPr>
          <w:sz w:val="20"/>
          <w:szCs w:val="20"/>
          <w:color w:val="auto"/>
        </w:rPr>
      </w:pPr>
      <w:r>
        <w:rPr>
          <w:rFonts w:ascii="Times New Roman" w:cs="Times New Roman" w:eastAsia="Times New Roman" w:hAnsi="Times New Roman"/>
          <w:sz w:val="14"/>
          <w:szCs w:val="14"/>
          <w:color w:val="auto"/>
        </w:rPr>
        <w:t>(l)          The Trustee shall have no responsibility or obligation to any beneficial owner of a Global Security, a member of, or a participant in, the Depositary or other Person with respect to the accuracy of the records of the Depositary or its nominee or of any participant or member thereof, with respect to any ownership interest in the Securities or with respect to the delivery to any participant, member, beneficial owner or other Person (other than the Depositary) of any notice (including any notice of redemption or purchase) or the payment of any amount or delivery of any Securities (or other security or property) under or with respect to such Securities. All notices and communications to be given to the Holders and all payments to be made to Holders in respect of the Securities shall be given or made only to or upon the order of the registered Holders (which shall be the Depositary or its nominee in the case of a Global Security). The rights of beneficial owners in any Global Security shall be exercised only through the Depositary subject to the applicable rules and procedures of the Depositary. The Trustee may rely and shall be fully protected in relying upon information furnished by the Depositary with respect to its members, participants and any beneficial owners.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3.07   </w:t>
      </w:r>
      <w:r>
        <w:rPr>
          <w:rFonts w:ascii="Times New Roman" w:cs="Times New Roman" w:eastAsia="Times New Roman" w:hAnsi="Times New Roman"/>
          <w:sz w:val="14"/>
          <w:szCs w:val="14"/>
          <w:u w:val="single" w:color="auto"/>
          <w:color w:val="auto"/>
        </w:rPr>
        <w:t>  Mutilated, Destroyed, Lost and Stolen Securities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right="200" w:firstLine="1271"/>
        <w:spacing w:after="0" w:line="261" w:lineRule="auto"/>
        <w:rPr>
          <w:sz w:val="20"/>
          <w:szCs w:val="20"/>
          <w:color w:val="auto"/>
        </w:rPr>
      </w:pPr>
      <w:r>
        <w:rPr>
          <w:rFonts w:ascii="Times New Roman" w:cs="Times New Roman" w:eastAsia="Times New Roman" w:hAnsi="Times New Roman"/>
          <w:sz w:val="14"/>
          <w:szCs w:val="14"/>
          <w:color w:val="auto"/>
        </w:rPr>
        <w:t>(a)          If (i) any mutilated Security is surrendered to the Trustee at its Corporate Trust Office or (ii) the Company and the Trustee receive evidence to their satisfaction of the destruction, loss or theft of any Security, and there is delivered to the Company and the Trustee security or indemnity satisfactory to them to save each of them and any Paying Agent harmless, and neither the Company nor the Trustee receives notice that such Security has been acquired by a protected purchaser, then the Company shall execute and upon Company Order the Trustee shall authenticate and deliver, in exchange for or in lieu of any such mutilated, destroyed, lost or stolen Security, a new Security of the same series and of like tenor, form, terms and principal amount, bearing a number not contemporaneously outstanding, such that neither gain nor loss in interest shall result from such exchange or substitution.</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74" w:name="page75"/>
    <w:bookmarkEnd w:id="74"/>
    <w:p>
      <w:pPr>
        <w:ind w:right="140" w:firstLine="1271"/>
        <w:spacing w:after="0" w:line="286" w:lineRule="auto"/>
        <w:rPr>
          <w:sz w:val="20"/>
          <w:szCs w:val="20"/>
          <w:color w:val="auto"/>
        </w:rPr>
      </w:pPr>
      <w:r>
        <w:rPr>
          <w:rFonts w:ascii="Times New Roman" w:cs="Times New Roman" w:eastAsia="Times New Roman" w:hAnsi="Times New Roman"/>
          <w:sz w:val="14"/>
          <w:szCs w:val="14"/>
          <w:color w:val="auto"/>
        </w:rPr>
        <w:t>(b)          In case any such mutilated, destroyed, lost or stolen Security has become or is about to become due and payable, the Company in its discretion may, instead of issuing a new Security, pay the amount due on such Security in accordance with its terms.</w:t>
      </w:r>
    </w:p>
    <w:p>
      <w:pPr>
        <w:spacing w:after="0" w:line="125" w:lineRule="exact"/>
        <w:rPr>
          <w:sz w:val="20"/>
          <w:szCs w:val="20"/>
          <w:color w:val="auto"/>
        </w:rPr>
      </w:pPr>
    </w:p>
    <w:p>
      <w:pPr>
        <w:ind w:right="140" w:firstLine="1271"/>
        <w:spacing w:after="0" w:line="286" w:lineRule="auto"/>
        <w:rPr>
          <w:sz w:val="20"/>
          <w:szCs w:val="20"/>
          <w:color w:val="auto"/>
        </w:rPr>
      </w:pPr>
      <w:r>
        <w:rPr>
          <w:rFonts w:ascii="Times New Roman" w:cs="Times New Roman" w:eastAsia="Times New Roman" w:hAnsi="Times New Roman"/>
          <w:sz w:val="14"/>
          <w:szCs w:val="14"/>
          <w:color w:val="auto"/>
        </w:rPr>
        <w:t>(c)          Upon the issuance of any new Security under this Section, the Company may require the payment of a sum sufficient to cover any tax or other governmental charge that may be imposed in respect thereto and any other expenses (including the fees and expenses of the Trustee) connected therewith.</w:t>
      </w:r>
    </w:p>
    <w:p>
      <w:pPr>
        <w:spacing w:after="0" w:line="125" w:lineRule="exact"/>
        <w:rPr>
          <w:sz w:val="20"/>
          <w:szCs w:val="20"/>
          <w:color w:val="auto"/>
        </w:rPr>
      </w:pPr>
    </w:p>
    <w:p>
      <w:pPr>
        <w:ind w:right="140" w:firstLine="1271"/>
        <w:spacing w:after="0" w:line="269" w:lineRule="auto"/>
        <w:rPr>
          <w:sz w:val="20"/>
          <w:szCs w:val="20"/>
          <w:color w:val="auto"/>
        </w:rPr>
      </w:pPr>
      <w:r>
        <w:rPr>
          <w:rFonts w:ascii="Times New Roman" w:cs="Times New Roman" w:eastAsia="Times New Roman" w:hAnsi="Times New Roman"/>
          <w:sz w:val="14"/>
          <w:szCs w:val="14"/>
          <w:color w:val="auto"/>
        </w:rPr>
        <w:t>(d)          Every new Security of any series issued pursuant to this Section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36" w:lineRule="exact"/>
        <w:rPr>
          <w:sz w:val="20"/>
          <w:szCs w:val="20"/>
          <w:color w:val="auto"/>
        </w:rPr>
      </w:pPr>
    </w:p>
    <w:p>
      <w:pPr>
        <w:ind w:firstLine="1271"/>
        <w:spacing w:after="0" w:line="286" w:lineRule="auto"/>
        <w:rPr>
          <w:sz w:val="20"/>
          <w:szCs w:val="20"/>
          <w:color w:val="auto"/>
        </w:rPr>
      </w:pPr>
      <w:r>
        <w:rPr>
          <w:rFonts w:ascii="Times New Roman" w:cs="Times New Roman" w:eastAsia="Times New Roman" w:hAnsi="Times New Roman"/>
          <w:sz w:val="14"/>
          <w:szCs w:val="14"/>
          <w:color w:val="auto"/>
        </w:rPr>
        <w:t>(e)          The provisions of this Section are exclusive and shall preclude (to the extent lawful) all other rights and remedies with respect to the replacement or payment of mutilated, destroyed, lost or stolen Securities.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3.08   </w:t>
      </w:r>
      <w:r>
        <w:rPr>
          <w:rFonts w:ascii="Times New Roman" w:cs="Times New Roman" w:eastAsia="Times New Roman" w:hAnsi="Times New Roman"/>
          <w:sz w:val="14"/>
          <w:szCs w:val="14"/>
          <w:u w:val="single" w:color="auto"/>
          <w:color w:val="auto"/>
        </w:rPr>
        <w:t>  Payment of Interest; Interest Rights Preserved</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right="20" w:firstLine="1271"/>
        <w:spacing w:after="0" w:line="261" w:lineRule="auto"/>
        <w:rPr>
          <w:sz w:val="20"/>
          <w:szCs w:val="20"/>
          <w:color w:val="auto"/>
        </w:rPr>
      </w:pPr>
      <w:r>
        <w:rPr>
          <w:rFonts w:ascii="Times New Roman" w:cs="Times New Roman" w:eastAsia="Times New Roman" w:hAnsi="Times New Roman"/>
          <w:sz w:val="14"/>
          <w:szCs w:val="14"/>
          <w:color w:val="auto"/>
        </w:rPr>
        <w:t>(a)          Interest on any Security that is payable and is punctually paid or duly provided for on any Interest Payment Date shall be paid to the Person in whose name such Security (or one or more Predecessor Securities) is registered at the close of business on the Record Date for such interest notwithstanding the cancellation of such Security upon any transfer or exchange subsequent to the Record Date. Payment of interest on Securities shall be made at the Corporate Trust Office (except as otherwise specified pursuant to Section 3.01) or, at the option of the Company, by check mailed to the address of the Person entitled thereto as such address shall appear in the Register or, in accordance with arrangements satisfactory to the Trustee, by wire transfer to an account designated by the Holder.</w:t>
      </w:r>
    </w:p>
    <w:p>
      <w:pPr>
        <w:spacing w:after="0" w:line="141" w:lineRule="exact"/>
        <w:rPr>
          <w:sz w:val="20"/>
          <w:szCs w:val="20"/>
          <w:color w:val="auto"/>
        </w:rPr>
      </w:pPr>
    </w:p>
    <w:p>
      <w:pPr>
        <w:ind w:right="60" w:firstLine="1271"/>
        <w:spacing w:after="0" w:line="269" w:lineRule="auto"/>
        <w:rPr>
          <w:sz w:val="20"/>
          <w:szCs w:val="20"/>
          <w:color w:val="auto"/>
        </w:rPr>
      </w:pPr>
      <w:r>
        <w:rPr>
          <w:rFonts w:ascii="Times New Roman" w:cs="Times New Roman" w:eastAsia="Times New Roman" w:hAnsi="Times New Roman"/>
          <w:sz w:val="14"/>
          <w:szCs w:val="14"/>
          <w:color w:val="auto"/>
        </w:rPr>
        <w:t>(b)          Any interest on any Security that is payable but is not punctually paid or duly provided for on any Interest Payment Date (herein called “Defaulted Interest”) shall forthwith cease to be payable to the Holder on the relevant Record Date by virtue of his, her or its having been such a Holder, and such Defaulted Interest may be paid by the Company, at its election in each case, as provided in clause (i) or (ii) below:</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40"/>
          </w:cols>
          <w:pgMar w:left="300" w:top="739" w:right="359" w:bottom="1440" w:gutter="0" w:footer="0" w:header="0"/>
        </w:sectPr>
      </w:pPr>
    </w:p>
    <w:bookmarkStart w:id="75" w:name="page76"/>
    <w:bookmarkEnd w:id="75"/>
    <w:p>
      <w:pPr>
        <w:ind w:left="520" w:firstLine="1271"/>
        <w:spacing w:after="0" w:line="255" w:lineRule="auto"/>
        <w:rPr>
          <w:sz w:val="20"/>
          <w:szCs w:val="20"/>
          <w:color w:val="auto"/>
        </w:rPr>
      </w:pPr>
      <w:r>
        <w:rPr>
          <w:rFonts w:ascii="Times New Roman" w:cs="Times New Roman" w:eastAsia="Times New Roman" w:hAnsi="Times New Roman"/>
          <w:sz w:val="14"/>
          <w:szCs w:val="14"/>
          <w:color w:val="auto"/>
        </w:rPr>
        <w:t>(i)          The Company may elect to make payment of any Defaulted Interest to the Persons in whose names such Securities (or their respective Predecessor Securities) are registered at the close of business on a special record date for the payment of such Defaulted Interest (a “Special Record Date”),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15 calendar days and not less than 10 calendar days prior to the date of the proposed payment and not less than 10 calendar days after the receipt by the Trustee of the notice of the proposed payment. The Company shall promptly notify the Trustee of such Special Record Date and, in the name and at the expense of the Company, the Trustee shall cause notice of the proposed payment of such Defaulted Interest and the Special Record Date therefor to be mailed, first-class postage prepaid, to the Holders of such Securities at their addresses as they appear in the Register, not less than 10 calendar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at the close of business on such Special Record Date and shall no longer be payable pursuant to the following clause (ii).</w:t>
      </w:r>
    </w:p>
    <w:p>
      <w:pPr>
        <w:spacing w:after="0" w:line="150" w:lineRule="exact"/>
        <w:rPr>
          <w:sz w:val="20"/>
          <w:szCs w:val="20"/>
          <w:color w:val="auto"/>
        </w:rPr>
      </w:pPr>
    </w:p>
    <w:p>
      <w:pPr>
        <w:ind w:left="520" w:right="160" w:firstLine="1271"/>
        <w:spacing w:after="0" w:line="269" w:lineRule="auto"/>
        <w:rPr>
          <w:sz w:val="20"/>
          <w:szCs w:val="20"/>
          <w:color w:val="auto"/>
        </w:rPr>
      </w:pPr>
      <w:r>
        <w:rPr>
          <w:rFonts w:ascii="Times New Roman" w:cs="Times New Roman" w:eastAsia="Times New Roman" w:hAnsi="Times New Roman"/>
          <w:sz w:val="14"/>
          <w:szCs w:val="14"/>
          <w:color w:val="auto"/>
        </w:rPr>
        <w:t>(ii)          The Company may make payment of any Defaulted Interest on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36" w:lineRule="exact"/>
        <w:rPr>
          <w:sz w:val="20"/>
          <w:szCs w:val="20"/>
          <w:color w:val="auto"/>
        </w:rPr>
      </w:pPr>
    </w:p>
    <w:p>
      <w:pPr>
        <w:ind w:right="200" w:firstLine="1271"/>
        <w:spacing w:after="0" w:line="286" w:lineRule="auto"/>
        <w:rPr>
          <w:sz w:val="20"/>
          <w:szCs w:val="20"/>
          <w:color w:val="auto"/>
        </w:rPr>
      </w:pPr>
      <w:r>
        <w:rPr>
          <w:rFonts w:ascii="Times New Roman" w:cs="Times New Roman" w:eastAsia="Times New Roman" w:hAnsi="Times New Roman"/>
          <w:sz w:val="14"/>
          <w:szCs w:val="14"/>
          <w:color w:val="auto"/>
        </w:rPr>
        <w:t>(c)          Subject to the provisions set forth herein relating to Record Dates, each Security delivered pursuant to any provision of this Indenture in exchange or substitution for, or upon registration of transfer of, any other Security shall carry all the rights to interest accrued and unpaid, and to accrue, which were carried by such other Security.</w:t>
      </w:r>
    </w:p>
    <w:p>
      <w:pPr>
        <w:spacing w:after="0" w:line="125" w:lineRule="exact"/>
        <w:rPr>
          <w:sz w:val="20"/>
          <w:szCs w:val="20"/>
          <w:color w:val="auto"/>
        </w:rPr>
      </w:pPr>
    </w:p>
    <w:p>
      <w:pPr>
        <w:ind w:firstLine="508"/>
        <w:spacing w:after="0" w:line="258" w:lineRule="auto"/>
        <w:rPr>
          <w:sz w:val="20"/>
          <w:szCs w:val="20"/>
          <w:color w:val="auto"/>
        </w:rPr>
      </w:pPr>
      <w:r>
        <w:rPr>
          <w:rFonts w:ascii="Times New Roman" w:cs="Times New Roman" w:eastAsia="Times New Roman" w:hAnsi="Times New Roman"/>
          <w:sz w:val="14"/>
          <w:szCs w:val="14"/>
          <w:color w:val="auto"/>
        </w:rPr>
        <w:t>Section 3.09   </w:t>
      </w:r>
      <w:r>
        <w:rPr>
          <w:rFonts w:ascii="Times New Roman" w:cs="Times New Roman" w:eastAsia="Times New Roman" w:hAnsi="Times New Roman"/>
          <w:sz w:val="14"/>
          <w:szCs w:val="14"/>
          <w:u w:val="single" w:color="auto"/>
          <w:color w:val="auto"/>
        </w:rPr>
        <w:t>  Cancellation</w:t>
      </w:r>
      <w:r>
        <w:rPr>
          <w:rFonts w:ascii="Times New Roman" w:cs="Times New Roman" w:eastAsia="Times New Roman" w:hAnsi="Times New Roman"/>
          <w:sz w:val="14"/>
          <w:szCs w:val="14"/>
          <w:color w:val="auto"/>
        </w:rPr>
        <w:t>. Unless otherwise specified pursuant to Section 3.01 for Securities of any series, all Securities surrendered for payment, redemption, registration of transfer or exchange or credit against any sinking fund or otherwise shall, if surrendered to any Person other than the Trustee, be delivered to the Trustee for cancellation and shall be promptly canceled by it and, if surrendered to the Trustee, shall be promptly canceled by it. The Company may at any time deliver to the Trustee for cancellation any Securities previously authenticated and delivered hereunder that the Company may have acquired in any manner whatsoever, and all Securities so delivered shall be promptly canceled by the Trustee. No Securities shall be authenticated in lieu of or in exchange for any Securities canceled as provided in this Section, except as expressly permitted by this Indenture. The Trustee shall dispose of all canceled Securities held by it in accordance with its then customary procedures and deliver a certificate of such disposal to the Company upon its request therefor. The acquisition of any Securities by the Company shall not operate as a redemption or satisfaction of the Indebtedness represented thereby unless and until such Securities are surrendered to the Trustee for cancellation.</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76" w:name="page77"/>
    <w:bookmarkEnd w:id="76"/>
    <w:p>
      <w:pPr>
        <w:ind w:right="200" w:firstLine="508"/>
        <w:spacing w:after="0" w:line="286" w:lineRule="auto"/>
        <w:rPr>
          <w:sz w:val="20"/>
          <w:szCs w:val="20"/>
          <w:color w:val="auto"/>
        </w:rPr>
      </w:pPr>
      <w:r>
        <w:rPr>
          <w:rFonts w:ascii="Times New Roman" w:cs="Times New Roman" w:eastAsia="Times New Roman" w:hAnsi="Times New Roman"/>
          <w:sz w:val="14"/>
          <w:szCs w:val="14"/>
          <w:color w:val="auto"/>
        </w:rPr>
        <w:t>Section 3.10   </w:t>
      </w:r>
      <w:r>
        <w:rPr>
          <w:rFonts w:ascii="Times New Roman" w:cs="Times New Roman" w:eastAsia="Times New Roman" w:hAnsi="Times New Roman"/>
          <w:sz w:val="14"/>
          <w:szCs w:val="14"/>
          <w:u w:val="single" w:color="auto"/>
          <w:color w:val="auto"/>
        </w:rPr>
        <w:t>  Computation of Interest</w:t>
      </w:r>
      <w:r>
        <w:rPr>
          <w:rFonts w:ascii="Times New Roman" w:cs="Times New Roman" w:eastAsia="Times New Roman" w:hAnsi="Times New Roman"/>
          <w:sz w:val="14"/>
          <w:szCs w:val="14"/>
          <w:color w:val="auto"/>
        </w:rPr>
        <w:t>. Except as otherwise specified pursuant to Section 3.01 for Securities of any series, interest on the Securities of each series shall be computed on the basis of a 360-day year of twelve 30-day months.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3.11   </w:t>
      </w:r>
      <w:r>
        <w:rPr>
          <w:rFonts w:ascii="Times New Roman" w:cs="Times New Roman" w:eastAsia="Times New Roman" w:hAnsi="Times New Roman"/>
          <w:sz w:val="14"/>
          <w:szCs w:val="14"/>
          <w:u w:val="single" w:color="auto"/>
          <w:color w:val="auto"/>
        </w:rPr>
        <w:t>  Currency of Payments in Respect of Securities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right="320" w:firstLine="1271"/>
        <w:spacing w:after="0" w:line="286" w:lineRule="auto"/>
        <w:rPr>
          <w:sz w:val="20"/>
          <w:szCs w:val="20"/>
          <w:color w:val="auto"/>
        </w:rPr>
      </w:pPr>
      <w:r>
        <w:rPr>
          <w:rFonts w:ascii="Times New Roman" w:cs="Times New Roman" w:eastAsia="Times New Roman" w:hAnsi="Times New Roman"/>
          <w:sz w:val="14"/>
          <w:szCs w:val="14"/>
          <w:color w:val="auto"/>
        </w:rPr>
        <w:t>(a)          Except as otherwise specified pursuant to Section 3.01 for Securities of any series, payment of the principal of and premium, if any, and interest on Securities of such series will be made in U.S. Dollars.</w:t>
      </w:r>
    </w:p>
    <w:p>
      <w:pPr>
        <w:spacing w:after="0" w:line="125" w:lineRule="exact"/>
        <w:rPr>
          <w:sz w:val="20"/>
          <w:szCs w:val="20"/>
          <w:color w:val="auto"/>
        </w:rPr>
      </w:pPr>
    </w:p>
    <w:p>
      <w:pPr>
        <w:ind w:right="60" w:firstLine="1271"/>
        <w:spacing w:after="0" w:line="261" w:lineRule="auto"/>
        <w:rPr>
          <w:sz w:val="20"/>
          <w:szCs w:val="20"/>
          <w:color w:val="auto"/>
        </w:rPr>
      </w:pPr>
      <w:r>
        <w:rPr>
          <w:rFonts w:ascii="Times New Roman" w:cs="Times New Roman" w:eastAsia="Times New Roman" w:hAnsi="Times New Roman"/>
          <w:sz w:val="14"/>
          <w:szCs w:val="14"/>
          <w:color w:val="auto"/>
        </w:rPr>
        <w:t>(b)          For purposes of any provision of the Indenture where the Holders of Outstanding Securities may perform an action that requires that a specified percentage of the Outstanding Securities of all series perform such action and for purposes of any decision or determination by the Trustee of amounts due and unpaid for the principal of and premium, if any, and interest on the Securities of all series in respect of which moneys are to be disbursed ratably, the principal of and premium, if any, and interest on the Outstanding Securities denominated in a Foreign Currency will be the amount in U.S. Dollars based upon exchange rates, determined as specified pursuant to Section 3.01 for Securities of such series, as of the date for determining whether the Holders entitled to perform such action have performed it or as of the date of such decision or determination by the Trustee, as the case may be.</w:t>
      </w:r>
    </w:p>
    <w:p>
      <w:pPr>
        <w:spacing w:after="0" w:line="141" w:lineRule="exact"/>
        <w:rPr>
          <w:sz w:val="20"/>
          <w:szCs w:val="20"/>
          <w:color w:val="auto"/>
        </w:rPr>
      </w:pPr>
    </w:p>
    <w:p>
      <w:pPr>
        <w:ind w:right="20" w:firstLine="1271"/>
        <w:spacing w:after="0" w:line="263" w:lineRule="auto"/>
        <w:rPr>
          <w:sz w:val="20"/>
          <w:szCs w:val="20"/>
          <w:color w:val="auto"/>
        </w:rPr>
      </w:pPr>
      <w:r>
        <w:rPr>
          <w:rFonts w:ascii="Times New Roman" w:cs="Times New Roman" w:eastAsia="Times New Roman" w:hAnsi="Times New Roman"/>
          <w:sz w:val="14"/>
          <w:szCs w:val="14"/>
          <w:color w:val="auto"/>
        </w:rPr>
        <w:t>(c)          Any decision or determination to be made regarding exchange rates shall be made by an agent appointed by the Company; provided, that such agent shall accept such appointment in writing and the terms of such appointment shall, in the opinion of the Company at the time of such appointment, require such agent to make such determination by a method consistent with the method provided pursuant to Section 3.01 for the making of such decision or determination. All decisions and determinations of such agent regarding exchange rates shall, in the absence of manifest error, be conclusive for all purposes and irrevocably binding upon the Company, the Trustee and all Holders of the Securities.</w:t>
      </w:r>
    </w:p>
    <w:p>
      <w:pPr>
        <w:spacing w:after="0" w:line="142" w:lineRule="exact"/>
        <w:rPr>
          <w:sz w:val="20"/>
          <w:szCs w:val="20"/>
          <w:color w:val="auto"/>
        </w:rPr>
      </w:pPr>
    </w:p>
    <w:p>
      <w:pPr>
        <w:ind w:firstLine="508"/>
        <w:spacing w:after="0" w:line="256" w:lineRule="auto"/>
        <w:rPr>
          <w:sz w:val="20"/>
          <w:szCs w:val="20"/>
          <w:color w:val="auto"/>
        </w:rPr>
      </w:pPr>
      <w:r>
        <w:rPr>
          <w:rFonts w:ascii="Times New Roman" w:cs="Times New Roman" w:eastAsia="Times New Roman" w:hAnsi="Times New Roman"/>
          <w:sz w:val="14"/>
          <w:szCs w:val="14"/>
          <w:color w:val="auto"/>
        </w:rPr>
        <w:t>Section 3.12   </w:t>
      </w:r>
      <w:r>
        <w:rPr>
          <w:rFonts w:ascii="Times New Roman" w:cs="Times New Roman" w:eastAsia="Times New Roman" w:hAnsi="Times New Roman"/>
          <w:sz w:val="14"/>
          <w:szCs w:val="14"/>
          <w:u w:val="single" w:color="auto"/>
          <w:color w:val="auto"/>
        </w:rPr>
        <w:t>  Judgments</w:t>
      </w:r>
      <w:r>
        <w:rPr>
          <w:rFonts w:ascii="Times New Roman" w:cs="Times New Roman" w:eastAsia="Times New Roman" w:hAnsi="Times New Roman"/>
          <w:sz w:val="14"/>
          <w:szCs w:val="14"/>
          <w:color w:val="auto"/>
        </w:rPr>
        <w:t>. The Company may provide pursuant to Section 3.01 for Securities of any series that (a) the obligation, if any, of the Company to pay the principal of, premium, if any, and interest on the Securities of any series in a Foreign Currency or U.S. Dollars (the “Designated Currency”) as may be specified pursuant to Section 3.01 is of the essence and agrees that, to the fullest extent possible under applicable law, judgments in respect of such Securities shall be given in the Designated Currency; (b) the obligation of the Company to make payments in the Designated Currency of the principal of and premium, if any, and interest on such Securities shall, notwithstanding any payment in any other Currency (whether pursuant to a judgment or otherwise), be discharged only to the extent of the amount in the Designated Currency that the Holder receiving such payment may, in accordance with normal banking procedures, purchase with the sum paid in such other Currency (after any premium and cost of exchange) on the business day in the country of issue of the Designated Currency or in the international banking community (in the case of a composite currency) immediately following the day on which such Holder receives such payment; (c) if the amount in the Designated Currency that may be so purchased for any reason falls short of the amount originally due, the Company shall pay such additional amounts as may be necessary to compensate for such shortfall; and (d) any obligation of the Company not discharged by such payment shall be due as a separate and independent obligation and, until discharged as provided herein, shall continue in full force and effect.</w:t>
      </w: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77" w:name="page78"/>
    <w:bookmarkEnd w:id="77"/>
    <w:p>
      <w:pPr>
        <w:ind w:right="20" w:firstLine="508"/>
        <w:spacing w:after="0" w:line="261" w:lineRule="auto"/>
        <w:rPr>
          <w:sz w:val="20"/>
          <w:szCs w:val="20"/>
          <w:color w:val="auto"/>
        </w:rPr>
      </w:pPr>
      <w:r>
        <w:rPr>
          <w:rFonts w:ascii="Times New Roman" w:cs="Times New Roman" w:eastAsia="Times New Roman" w:hAnsi="Times New Roman"/>
          <w:sz w:val="14"/>
          <w:szCs w:val="14"/>
          <w:color w:val="auto"/>
        </w:rPr>
        <w:t>Section 3.13   </w:t>
      </w:r>
      <w:r>
        <w:rPr>
          <w:rFonts w:ascii="Times New Roman" w:cs="Times New Roman" w:eastAsia="Times New Roman" w:hAnsi="Times New Roman"/>
          <w:sz w:val="14"/>
          <w:szCs w:val="14"/>
          <w:u w:val="single" w:color="auto"/>
          <w:color w:val="auto"/>
        </w:rPr>
        <w:t>  CUSIP Numbers</w:t>
      </w:r>
      <w:r>
        <w:rPr>
          <w:rFonts w:ascii="Times New Roman" w:cs="Times New Roman" w:eastAsia="Times New Roman" w:hAnsi="Times New Roman"/>
          <w:sz w:val="14"/>
          <w:szCs w:val="14"/>
          <w:color w:val="auto"/>
        </w:rPr>
        <w:t>. The Company in issuing any Securities may use CUSIP, ISIN or other similar numbers, if then generally in use, and thereafter with respect to such series, the Trustee may use such numbers in any notice of redemption or exchange with respect to such series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in writing of any change in the CUSIP, ISIN or other similar numbers.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REDEMPTION OF SECURITIES</w:t>
      </w:r>
    </w:p>
    <w:p>
      <w:pPr>
        <w:spacing w:after="0" w:line="180" w:lineRule="exact"/>
        <w:rPr>
          <w:sz w:val="20"/>
          <w:szCs w:val="20"/>
          <w:color w:val="auto"/>
        </w:rPr>
      </w:pPr>
    </w:p>
    <w:p>
      <w:pPr>
        <w:ind w:right="200" w:firstLine="508"/>
        <w:spacing w:after="0" w:line="269" w:lineRule="auto"/>
        <w:rPr>
          <w:sz w:val="20"/>
          <w:szCs w:val="20"/>
          <w:color w:val="auto"/>
        </w:rPr>
      </w:pPr>
      <w:r>
        <w:rPr>
          <w:rFonts w:ascii="Times New Roman" w:cs="Times New Roman" w:eastAsia="Times New Roman" w:hAnsi="Times New Roman"/>
          <w:sz w:val="14"/>
          <w:szCs w:val="14"/>
          <w:color w:val="auto"/>
        </w:rPr>
        <w:t>Section 4.01   </w:t>
      </w:r>
      <w:r>
        <w:rPr>
          <w:rFonts w:ascii="Times New Roman" w:cs="Times New Roman" w:eastAsia="Times New Roman" w:hAnsi="Times New Roman"/>
          <w:sz w:val="14"/>
          <w:szCs w:val="14"/>
          <w:u w:val="single" w:color="auto"/>
          <w:color w:val="auto"/>
        </w:rPr>
        <w:t>  Applicability of Right of Redemption</w:t>
      </w:r>
      <w:r>
        <w:rPr>
          <w:rFonts w:ascii="Times New Roman" w:cs="Times New Roman" w:eastAsia="Times New Roman" w:hAnsi="Times New Roman"/>
          <w:sz w:val="14"/>
          <w:szCs w:val="14"/>
          <w:color w:val="auto"/>
        </w:rPr>
        <w:t>. Redemption of Securities (other than pursuant to a sinking fund, amortization or analogous provision) permitted by the terms of any series of Securities shall be made (except as otherwise specified pursuant to Section 3.01 for Securities of any series) in accordance with this Article; provided, however, that if any such terms of a series of Securities shall conflict with any provision of this Article, the terms of such series shall govern.</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4.02   </w:t>
      </w:r>
      <w:r>
        <w:rPr>
          <w:rFonts w:ascii="Times New Roman" w:cs="Times New Roman" w:eastAsia="Times New Roman" w:hAnsi="Times New Roman"/>
          <w:sz w:val="14"/>
          <w:szCs w:val="14"/>
          <w:u w:val="single" w:color="auto"/>
          <w:color w:val="auto"/>
        </w:rPr>
        <w:t>  Selection of Securities to be Redeemed</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firstLine="1271"/>
        <w:spacing w:after="0" w:line="258" w:lineRule="auto"/>
        <w:rPr>
          <w:sz w:val="20"/>
          <w:szCs w:val="20"/>
          <w:color w:val="auto"/>
        </w:rPr>
      </w:pPr>
      <w:r>
        <w:rPr>
          <w:rFonts w:ascii="Times New Roman" w:cs="Times New Roman" w:eastAsia="Times New Roman" w:hAnsi="Times New Roman"/>
          <w:sz w:val="14"/>
          <w:szCs w:val="14"/>
          <w:color w:val="auto"/>
        </w:rPr>
        <w:t>(a)          If the Company shall at any time elect to redeem all or any portion of the Securities of a series then Outstanding, it shall at least 15 days prior to the Redemption Date fixed by the Company (unless a shorter period shall be satisfactory to the Trustee) notify the Trustee of such Redemption Date and of the principal amount of Securities to be redeemed, and thereupon the Trustee shall select, by lot or in such other manner as the Trustee shall deem appropriate and, in the case of Global Securities, in accordance with the procedures of the Depositary,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In any case where more than one Security of such series is registered in the same name, the Trustee may treat the aggregate principal amount so registered as if it were represented by one Security of such series. The Trustee shall, as soon as practicable, notify the Company in writing of the Securities and portions of Securities so selected.</w:t>
      </w:r>
    </w:p>
    <w:p>
      <w:pPr>
        <w:spacing w:after="0" w:line="144" w:lineRule="exact"/>
        <w:rPr>
          <w:sz w:val="20"/>
          <w:szCs w:val="20"/>
          <w:color w:val="auto"/>
        </w:rPr>
      </w:pPr>
    </w:p>
    <w:p>
      <w:pPr>
        <w:ind w:right="20" w:firstLine="1271"/>
        <w:spacing w:after="0" w:line="269" w:lineRule="auto"/>
        <w:rPr>
          <w:sz w:val="20"/>
          <w:szCs w:val="20"/>
          <w:color w:val="auto"/>
        </w:rPr>
      </w:pPr>
      <w:r>
        <w:rPr>
          <w:rFonts w:ascii="Times New Roman" w:cs="Times New Roman" w:eastAsia="Times New Roman" w:hAnsi="Times New Roman"/>
          <w:sz w:val="14"/>
          <w:szCs w:val="14"/>
          <w:color w:val="auto"/>
        </w:rPr>
        <w:t>(b)          For all purposes of this Indenture, unless the context otherwise requires, all provisions relating to the redemption of Securities shall relate, in the case of any Security redeemed or to be redeemed only in part, to the portion of the principal amount of such Security that has been or is to be redeemed. If the Company shall so direct, Securities registered in the name of the Company, any Affiliate or any Subsidiary thereof shall not be included in the Securities selected for redemption.</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40"/>
          </w:cols>
          <w:pgMar w:left="300" w:top="739" w:right="359" w:bottom="1440" w:gutter="0" w:footer="0" w:header="0"/>
        </w:sectPr>
      </w:pPr>
    </w:p>
    <w:bookmarkStart w:id="78" w:name="page79"/>
    <w:bookmarkEnd w:id="78"/>
    <w:p>
      <w:pPr>
        <w:ind w:left="520"/>
        <w:spacing w:after="0"/>
        <w:rPr>
          <w:sz w:val="20"/>
          <w:szCs w:val="20"/>
          <w:color w:val="auto"/>
        </w:rPr>
      </w:pPr>
      <w:r>
        <w:rPr>
          <w:rFonts w:ascii="Times New Roman" w:cs="Times New Roman" w:eastAsia="Times New Roman" w:hAnsi="Times New Roman"/>
          <w:sz w:val="14"/>
          <w:szCs w:val="14"/>
          <w:color w:val="auto"/>
        </w:rPr>
        <w:t>Section 4.03   </w:t>
      </w:r>
      <w:r>
        <w:rPr>
          <w:rFonts w:ascii="Times New Roman" w:cs="Times New Roman" w:eastAsia="Times New Roman" w:hAnsi="Times New Roman"/>
          <w:sz w:val="14"/>
          <w:szCs w:val="14"/>
          <w:u w:val="single" w:color="auto"/>
          <w:color w:val="auto"/>
        </w:rPr>
        <w:t>  Notice of Redemption</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right="140" w:firstLine="1271"/>
        <w:spacing w:after="0" w:line="263" w:lineRule="auto"/>
        <w:rPr>
          <w:sz w:val="20"/>
          <w:szCs w:val="20"/>
          <w:color w:val="auto"/>
        </w:rPr>
      </w:pPr>
      <w:r>
        <w:rPr>
          <w:rFonts w:ascii="Times New Roman" w:cs="Times New Roman" w:eastAsia="Times New Roman" w:hAnsi="Times New Roman"/>
          <w:sz w:val="14"/>
          <w:szCs w:val="14"/>
          <w:color w:val="auto"/>
        </w:rPr>
        <w:t>(a)          Notice of redemption shall be given by the Company or, at the Company’s request, by the Trustee in the name and at the expense of the Company, not less than 10 nor more than 30 days prior to the Redemption Date, to the Holders of Securities of any series to be redeemed in whole or in part pursuant to this Article, in the manner provided in Section 16.04. Any notice so given shall be conclusively presumed to have been duly given, whether or not the Holder receives such notice. Failure to give such notice, or any defect in such notice to the Holder of any Security of a series designated for redemption, in whole or in part, shall not affect the sufficiency of any notice of redemption with respect to the Holder of any other Security of such series.</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(b)          All notices of redemption shall identify the Securities to be redeemed (including CUSIP, ISIN or other similar numbers, if available along with the statement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3.13) and shall state:</w:t>
      </w:r>
    </w:p>
    <w:p>
      <w:pPr>
        <w:spacing w:after="0" w:line="164" w:lineRule="exact"/>
        <w:rPr>
          <w:sz w:val="20"/>
          <w:szCs w:val="20"/>
          <w:color w:val="auto"/>
        </w:rPr>
      </w:pPr>
    </w:p>
    <w:p>
      <w:pPr>
        <w:ind w:left="520" w:right="120" w:firstLine="1271"/>
        <w:spacing w:after="0" w:line="286" w:lineRule="auto"/>
        <w:rPr>
          <w:sz w:val="20"/>
          <w:szCs w:val="20"/>
          <w:color w:val="auto"/>
        </w:rPr>
      </w:pPr>
      <w:r>
        <w:rPr>
          <w:rFonts w:ascii="Times New Roman" w:cs="Times New Roman" w:eastAsia="Times New Roman" w:hAnsi="Times New Roman"/>
          <w:sz w:val="14"/>
          <w:szCs w:val="14"/>
          <w:color w:val="auto"/>
        </w:rPr>
        <w:t>(i)             such election by the Company to redeem Securities of such series pursuant to provisions contained in this Indenture or the terms of the Securities of such series or a supplemental indenture establishing such series, if such be the case;</w:t>
      </w:r>
    </w:p>
    <w:p>
      <w:pPr>
        <w:spacing w:after="0" w:line="1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(ii)            the Redemption Date;</w:t>
      </w:r>
    </w:p>
    <w:p>
      <w:pPr>
        <w:spacing w:after="0" w:line="17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(iii)           the Redemption Price;</w:t>
      </w:r>
    </w:p>
    <w:p>
      <w:pPr>
        <w:spacing w:after="0" w:line="178" w:lineRule="exact"/>
        <w:rPr>
          <w:sz w:val="20"/>
          <w:szCs w:val="20"/>
          <w:color w:val="auto"/>
        </w:rPr>
      </w:pPr>
    </w:p>
    <w:p>
      <w:pPr>
        <w:ind w:left="520" w:right="200" w:firstLine="1271"/>
        <w:spacing w:after="0" w:line="286" w:lineRule="auto"/>
        <w:rPr>
          <w:sz w:val="20"/>
          <w:szCs w:val="20"/>
          <w:color w:val="auto"/>
        </w:rPr>
      </w:pPr>
      <w:r>
        <w:rPr>
          <w:rFonts w:ascii="Times New Roman" w:cs="Times New Roman" w:eastAsia="Times New Roman" w:hAnsi="Times New Roman"/>
          <w:sz w:val="14"/>
          <w:szCs w:val="14"/>
          <w:color w:val="auto"/>
        </w:rPr>
        <w:t>(iv)           if less than all Outstanding Securities of any series are to be redeemed, the identification (and, in the case of partial redemption, the principal amounts) of the Securities of such series to be redeemed;</w:t>
      </w:r>
    </w:p>
    <w:p>
      <w:pPr>
        <w:spacing w:after="0" w:line="125" w:lineRule="exact"/>
        <w:rPr>
          <w:sz w:val="20"/>
          <w:szCs w:val="20"/>
          <w:color w:val="auto"/>
        </w:rPr>
      </w:pPr>
    </w:p>
    <w:p>
      <w:pPr>
        <w:ind w:left="520" w:firstLine="1271"/>
        <w:spacing w:after="0" w:line="286" w:lineRule="auto"/>
        <w:rPr>
          <w:sz w:val="20"/>
          <w:szCs w:val="20"/>
          <w:color w:val="auto"/>
        </w:rPr>
      </w:pPr>
      <w:r>
        <w:rPr>
          <w:rFonts w:ascii="Times New Roman" w:cs="Times New Roman" w:eastAsia="Times New Roman" w:hAnsi="Times New Roman"/>
          <w:sz w:val="14"/>
          <w:szCs w:val="14"/>
          <w:color w:val="auto"/>
        </w:rPr>
        <w:t>(v)            that on the Redemption Date the Redemption Price will become due and payable upon each such Security to be redeemed, and that, if applicable, interest thereon shall cease to accrue on and after said date;</w:t>
      </w:r>
    </w:p>
    <w:p>
      <w:pPr>
        <w:spacing w:after="0" w:line="1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(vi)           the Place or Places of Payment where such Securities are to be surrendered for payment of the Redemption Price;</w:t>
      </w:r>
    </w:p>
    <w:p>
      <w:pPr>
        <w:spacing w:after="0" w:line="17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(vii)         that no representation is made as to the correctness or accuracy of the CUSIP number or ISIN Code, if any, listed in such notice or printed on the Securities; and</w:t>
      </w:r>
    </w:p>
    <w:p>
      <w:pPr>
        <w:spacing w:after="0" w:line="17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(viii)        that the redemption is for a sinking fund, if such is the case.</w:t>
      </w:r>
    </w:p>
    <w:p>
      <w:pPr>
        <w:spacing w:after="0" w:line="178" w:lineRule="exact"/>
        <w:rPr>
          <w:sz w:val="20"/>
          <w:szCs w:val="20"/>
          <w:color w:val="auto"/>
        </w:rPr>
      </w:pPr>
    </w:p>
    <w:p>
      <w:pPr>
        <w:ind w:right="40" w:firstLine="1271"/>
        <w:spacing w:after="0" w:line="269" w:lineRule="auto"/>
        <w:rPr>
          <w:sz w:val="20"/>
          <w:szCs w:val="20"/>
          <w:color w:val="auto"/>
        </w:rPr>
      </w:pPr>
      <w:r>
        <w:rPr>
          <w:rFonts w:ascii="Times New Roman" w:cs="Times New Roman" w:eastAsia="Times New Roman" w:hAnsi="Times New Roman"/>
          <w:sz w:val="14"/>
          <w:szCs w:val="14"/>
          <w:color w:val="auto"/>
        </w:rPr>
        <w:t>(c)          At the Company’s request, the Trustee shall give the notice of redemption in the Company’s name and at the Company’s expense; provided, however, that the Company shall have delivered to the Trustee, at least five (5) calendar days before notice of redemption is required to be sent or caused to be sent to Holders pursuant to this Section (or such shorter period as is acceptable to the Trustee), an Officer’s Certificate requesting that the Trustee give such notice and setting forth the information to be stated in the notice as provided in the preceding paragraph.</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79" w:name="page80"/>
    <w:bookmarkEnd w:id="79"/>
    <w:p>
      <w:pPr>
        <w:ind w:right="100" w:firstLine="508"/>
        <w:spacing w:after="0" w:line="269" w:lineRule="auto"/>
        <w:rPr>
          <w:sz w:val="20"/>
          <w:szCs w:val="20"/>
          <w:color w:val="auto"/>
        </w:rPr>
      </w:pPr>
      <w:r>
        <w:rPr>
          <w:rFonts w:ascii="Times New Roman" w:cs="Times New Roman" w:eastAsia="Times New Roman" w:hAnsi="Times New Roman"/>
          <w:sz w:val="14"/>
          <w:szCs w:val="14"/>
          <w:color w:val="auto"/>
        </w:rPr>
        <w:t>Section 4.04   </w:t>
      </w:r>
      <w:r>
        <w:rPr>
          <w:rFonts w:ascii="Times New Roman" w:cs="Times New Roman" w:eastAsia="Times New Roman" w:hAnsi="Times New Roman"/>
          <w:sz w:val="14"/>
          <w:szCs w:val="14"/>
          <w:u w:val="single" w:color="auto"/>
          <w:color w:val="auto"/>
        </w:rPr>
        <w:t>  Deposit of Redemption Price</w:t>
      </w:r>
      <w:r>
        <w:rPr>
          <w:rFonts w:ascii="Times New Roman" w:cs="Times New Roman" w:eastAsia="Times New Roman" w:hAnsi="Times New Roman"/>
          <w:sz w:val="14"/>
          <w:szCs w:val="14"/>
          <w:color w:val="auto"/>
        </w:rPr>
        <w:t>. On or prior to 11:00 a.m., New York City time, on the Redemption Date for any Securities, the Company shall deposit with the Trustee or with a Paying Agent (or, if the Company is acting as its own Paying Agent, segregate and hold in trust as provided in Section 6.03) an amount of money in the Currency in which such Securities are denominated (except as provided pursuant to Section 3.01) sufficient to pay the Redemption Price of such Securities or any portions thereof that are to be redeemed on that date.</w:t>
      </w:r>
    </w:p>
    <w:p>
      <w:pPr>
        <w:spacing w:after="0" w:line="136" w:lineRule="exact"/>
        <w:rPr>
          <w:sz w:val="20"/>
          <w:szCs w:val="20"/>
          <w:color w:val="auto"/>
        </w:rPr>
      </w:pPr>
    </w:p>
    <w:p>
      <w:pPr>
        <w:ind w:right="20" w:firstLine="508"/>
        <w:spacing w:after="0" w:line="261" w:lineRule="auto"/>
        <w:rPr>
          <w:sz w:val="20"/>
          <w:szCs w:val="20"/>
          <w:color w:val="auto"/>
        </w:rPr>
      </w:pPr>
      <w:r>
        <w:rPr>
          <w:rFonts w:ascii="Times New Roman" w:cs="Times New Roman" w:eastAsia="Times New Roman" w:hAnsi="Times New Roman"/>
          <w:sz w:val="14"/>
          <w:szCs w:val="14"/>
          <w:color w:val="auto"/>
        </w:rPr>
        <w:t>Section 4.05   </w:t>
      </w:r>
      <w:r>
        <w:rPr>
          <w:rFonts w:ascii="Times New Roman" w:cs="Times New Roman" w:eastAsia="Times New Roman" w:hAnsi="Times New Roman"/>
          <w:sz w:val="14"/>
          <w:szCs w:val="14"/>
          <w:u w:val="single" w:color="auto"/>
          <w:color w:val="auto"/>
        </w:rPr>
        <w:t>  Securities Payable on Redemption Date</w:t>
      </w:r>
      <w:r>
        <w:rPr>
          <w:rFonts w:ascii="Times New Roman" w:cs="Times New Roman" w:eastAsia="Times New Roman" w:hAnsi="Times New Roman"/>
          <w:sz w:val="14"/>
          <w:szCs w:val="14"/>
          <w:color w:val="auto"/>
        </w:rPr>
        <w:t>. Notice of redemption having been given as aforesaid, any Securities so to be redeemed shall, on the Redemption Date, become due and payable at the Redemption Price and from and after such date (unless the Company shall Default in the payment of the Redemption Price) such Securities shall cease to bear interest. Upon surrender of any such Security for redemption in accordance with said notice, such Security shall be paid by the Company at the Redemption Price; provided, however, that (unless otherwise provided pursuant to Section 3.01) installments of interest that have a Stated Maturity on or prior to the Redemption Date for such Securities shall be payable according to the terms of such Securities and the provisions of Section 3.08.</w:t>
      </w:r>
    </w:p>
    <w:p>
      <w:pPr>
        <w:spacing w:after="0" w:line="141" w:lineRule="exact"/>
        <w:rPr>
          <w:sz w:val="20"/>
          <w:szCs w:val="20"/>
          <w:color w:val="auto"/>
        </w:rPr>
      </w:pPr>
    </w:p>
    <w:p>
      <w:pPr>
        <w:ind w:right="280" w:firstLine="508"/>
        <w:spacing w:after="0" w:line="286" w:lineRule="auto"/>
        <w:rPr>
          <w:sz w:val="20"/>
          <w:szCs w:val="20"/>
          <w:color w:val="auto"/>
        </w:rPr>
      </w:pPr>
      <w:r>
        <w:rPr>
          <w:rFonts w:ascii="Times New Roman" w:cs="Times New Roman" w:eastAsia="Times New Roman" w:hAnsi="Times New Roman"/>
          <w:sz w:val="14"/>
          <w:szCs w:val="14"/>
          <w:color w:val="auto"/>
        </w:rPr>
        <w:t>If any Security called for redemption shall not be so paid upon surrender thereof for redemption, the principal thereof and premium, if any, thereon shall, until paid, bear interest from the Redemption Date at the rate borne by or prescribed in such Securities.</w:t>
      </w:r>
    </w:p>
    <w:p>
      <w:pPr>
        <w:spacing w:after="0" w:line="125" w:lineRule="exact"/>
        <w:rPr>
          <w:sz w:val="20"/>
          <w:szCs w:val="20"/>
          <w:color w:val="auto"/>
        </w:rPr>
      </w:pPr>
    </w:p>
    <w:p>
      <w:pPr>
        <w:ind w:firstLine="508"/>
        <w:spacing w:after="0" w:line="257" w:lineRule="auto"/>
        <w:rPr>
          <w:sz w:val="20"/>
          <w:szCs w:val="20"/>
          <w:color w:val="auto"/>
        </w:rPr>
      </w:pPr>
      <w:r>
        <w:rPr>
          <w:rFonts w:ascii="Times New Roman" w:cs="Times New Roman" w:eastAsia="Times New Roman" w:hAnsi="Times New Roman"/>
          <w:sz w:val="14"/>
          <w:szCs w:val="14"/>
          <w:color w:val="auto"/>
        </w:rPr>
        <w:t>Section 4.06   </w:t>
      </w:r>
      <w:r>
        <w:rPr>
          <w:rFonts w:ascii="Times New Roman" w:cs="Times New Roman" w:eastAsia="Times New Roman" w:hAnsi="Times New Roman"/>
          <w:sz w:val="14"/>
          <w:szCs w:val="14"/>
          <w:u w:val="single" w:color="auto"/>
          <w:color w:val="auto"/>
        </w:rPr>
        <w:t>  Securities Redeemed in Part</w:t>
      </w:r>
      <w:r>
        <w:rPr>
          <w:rFonts w:ascii="Times New Roman" w:cs="Times New Roman" w:eastAsia="Times New Roman" w:hAnsi="Times New Roman"/>
          <w:sz w:val="14"/>
          <w:szCs w:val="14"/>
          <w:color w:val="auto"/>
        </w:rPr>
        <w:t>. Any Security that is to be redeemed only in part shall be surrendered at the Corporate Trust Office or such other office or agency of the Company as is specified in the notice of redemption with, if the Company, the Registrar or the Trustee so requires, due endorsement by, or a written instrument of transfer in form satisfactory to the Company, the Registrar and the Trustee duly executed by the Holder thereof or his, her or its attorney duly authorized in writing, and the Company shall execute, and the Trustee shall authenticate and deliver to the Holder of such Security without service charge, a new Security or Securities of the same series, of like tenor and form, of any authorized denomination as requested by such Holder in aggregate principal amount equal to and in exchange for the unredeemed portion of the principal of the Security so surrendered; except that if a Global Security is so surrendered, the Company shall execute, and the Trustee shall authenticate and deliver to the Depositary for such Global Security, without service charge, a new Global Security in a denomination equal to and in exchange for the unredeemed portion of the principal of the Global Security so surrendered. In the case of a Security providing appropriate space for such notation, at the option of the Holder thereof, the Trustee, in lieu of delivering a new Security or Securities as aforesaid, may make a notation on such Security of the payment of the redeemed portion thereof.</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SINKING FUNDS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5.01   </w:t>
      </w:r>
      <w:r>
        <w:rPr>
          <w:rFonts w:ascii="Times New Roman" w:cs="Times New Roman" w:eastAsia="Times New Roman" w:hAnsi="Times New Roman"/>
          <w:sz w:val="14"/>
          <w:szCs w:val="14"/>
          <w:u w:val="single" w:color="auto"/>
          <w:color w:val="auto"/>
        </w:rPr>
        <w:t>  Applicability of Sinking Fund</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right="20" w:firstLine="1271"/>
        <w:spacing w:after="0" w:line="269" w:lineRule="auto"/>
        <w:rPr>
          <w:sz w:val="20"/>
          <w:szCs w:val="20"/>
          <w:color w:val="auto"/>
        </w:rPr>
      </w:pPr>
      <w:r>
        <w:rPr>
          <w:rFonts w:ascii="Times New Roman" w:cs="Times New Roman" w:eastAsia="Times New Roman" w:hAnsi="Times New Roman"/>
          <w:sz w:val="14"/>
          <w:szCs w:val="14"/>
          <w:color w:val="auto"/>
        </w:rPr>
        <w:t>(a)          Redemption of Securities permitted or required pursuant to a sinking fund for the retirement of Securities of a series by the terms of such series of Securities shall be made in accordance with such terms of such series of Securities and this Article, except as otherwise specified pursuant to Article IV for Securities of such series, provided, however, that if any such terms of a series of Securities shall conflict with any provision of this Article, the terms of such series shall govern.</w:t>
      </w:r>
    </w:p>
    <w:p>
      <w:pPr>
        <w:spacing w:after="0" w:line="136" w:lineRule="exact"/>
        <w:rPr>
          <w:sz w:val="20"/>
          <w:szCs w:val="20"/>
          <w:color w:val="auto"/>
        </w:rPr>
      </w:pPr>
    </w:p>
    <w:p>
      <w:pPr>
        <w:ind w:firstLine="1271"/>
        <w:spacing w:after="0" w:line="269" w:lineRule="auto"/>
        <w:rPr>
          <w:sz w:val="20"/>
          <w:szCs w:val="20"/>
          <w:color w:val="auto"/>
        </w:rPr>
      </w:pPr>
      <w:r>
        <w:rPr>
          <w:rFonts w:ascii="Times New Roman" w:cs="Times New Roman" w:eastAsia="Times New Roman" w:hAnsi="Times New Roman"/>
          <w:sz w:val="14"/>
          <w:szCs w:val="14"/>
          <w:color w:val="auto"/>
        </w:rPr>
        <w:t>(b)          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Mandatory Sinking Fund Payment may be subject to reduction as provided in Section 5.02.</w:t>
      </w:r>
    </w:p>
    <w:p>
      <w:pPr>
        <w:spacing w:after="0" w:line="136" w:lineRule="exact"/>
        <w:rPr>
          <w:sz w:val="20"/>
          <w:szCs w:val="20"/>
          <w:color w:val="auto"/>
        </w:rPr>
      </w:pPr>
    </w:p>
    <w:p>
      <w:pPr>
        <w:ind w:right="20" w:firstLine="508"/>
        <w:spacing w:after="0" w:line="257" w:lineRule="auto"/>
        <w:rPr>
          <w:sz w:val="20"/>
          <w:szCs w:val="20"/>
          <w:color w:val="auto"/>
        </w:rPr>
      </w:pPr>
      <w:r>
        <w:rPr>
          <w:rFonts w:ascii="Times New Roman" w:cs="Times New Roman" w:eastAsia="Times New Roman" w:hAnsi="Times New Roman"/>
          <w:sz w:val="14"/>
          <w:szCs w:val="14"/>
          <w:color w:val="auto"/>
        </w:rPr>
        <w:t>Section 5.02   </w:t>
      </w:r>
      <w:r>
        <w:rPr>
          <w:rFonts w:ascii="Times New Roman" w:cs="Times New Roman" w:eastAsia="Times New Roman" w:hAnsi="Times New Roman"/>
          <w:sz w:val="14"/>
          <w:szCs w:val="14"/>
          <w:u w:val="single" w:color="auto"/>
          <w:color w:val="auto"/>
        </w:rPr>
        <w:t>  Mandatory Sinking Fund Obligation</w:t>
      </w:r>
      <w:r>
        <w:rPr>
          <w:rFonts w:ascii="Times New Roman" w:cs="Times New Roman" w:eastAsia="Times New Roman" w:hAnsi="Times New Roman"/>
          <w:sz w:val="14"/>
          <w:szCs w:val="14"/>
          <w:color w:val="auto"/>
        </w:rPr>
        <w:t>. The Company may, at its option, satisfy any Mandatory Sinking Fund Payment obligation, in whole or in part, with respect to a particular series of Securities by (a) delivering to the Trustee Securities of such series in transferable form theretofore purchased or otherwise acquired by the Company or redeemed at the election of the Company pursuant to Article IV or (b) receiving credit for Securities of such series (not previously so credited) acquired by the Company and theretofore delivered to the Trustee. The Trustee shall credit such Mandatory Sinking Fund Payment obligation with an amount equal to the Redemption Price specified in such Securities for redemption through operation of the sinking fund and the amount of such Mandatory Sinking Fund Payment shall be reduced accordingly. If the Company shall elect to so satisfy any Mandatory Sinking Fund Payment obligation, it shall deliver to the Trustee not less than 45 days prior to the relevant sinking fund payment date an Officer’s Certificate, which shall designate the Securities (and portions thereof, if any) so delivered or credited and which shall be accompanied by such Securities (to the extent not theretofore delivered) in transferable form. In case of the failure of the Company, at or before the time so required, to give such notice and deliver such Securities the Mandatory Sinking Fund Payment obligation shall be paid entirely in moneys.</w:t>
      </w:r>
    </w:p>
    <w:p>
      <w:pPr>
        <w:spacing w:after="0" w:line="146" w:lineRule="exact"/>
        <w:rPr>
          <w:sz w:val="20"/>
          <w:szCs w:val="20"/>
          <w:color w:val="auto"/>
        </w:rPr>
      </w:pPr>
    </w:p>
    <w:p>
      <w:pPr>
        <w:ind w:right="40" w:firstLine="508"/>
        <w:spacing w:after="0" w:line="258" w:lineRule="auto"/>
        <w:rPr>
          <w:sz w:val="20"/>
          <w:szCs w:val="20"/>
          <w:color w:val="auto"/>
        </w:rPr>
      </w:pPr>
      <w:r>
        <w:rPr>
          <w:rFonts w:ascii="Times New Roman" w:cs="Times New Roman" w:eastAsia="Times New Roman" w:hAnsi="Times New Roman"/>
          <w:sz w:val="14"/>
          <w:szCs w:val="14"/>
          <w:color w:val="auto"/>
        </w:rPr>
        <w:t>Section 5.03   </w:t>
      </w:r>
      <w:r>
        <w:rPr>
          <w:rFonts w:ascii="Times New Roman" w:cs="Times New Roman" w:eastAsia="Times New Roman" w:hAnsi="Times New Roman"/>
          <w:sz w:val="14"/>
          <w:szCs w:val="14"/>
          <w:u w:val="single" w:color="auto"/>
          <w:color w:val="auto"/>
        </w:rPr>
        <w:t>  Optional Redemption at Sinking Fund Redemption Price</w:t>
      </w:r>
      <w:r>
        <w:rPr>
          <w:rFonts w:ascii="Times New Roman" w:cs="Times New Roman" w:eastAsia="Times New Roman" w:hAnsi="Times New Roman"/>
          <w:sz w:val="14"/>
          <w:szCs w:val="14"/>
          <w:color w:val="auto"/>
        </w:rPr>
        <w:t>. In addition to the sinking fund requirements of Section 5.02, to the extent, if any, provided for by the terms of a particular series of Securities, the Company may, at its option, make an Optional Sinking Fund Payment with respect to such Securities. Unless otherwise provided by such terms, (a) to the extent that the right of the Company to make such Optional Sinking Fund Payment shall not be exercised in any year, it shall not be cumulative or carried forward to any subsequent year, and (b) such optional payment shall operate to reduce the amount of any Mandatory Sinking Fund Payment obligation as to Securities of the same series. If the Company intends to exercise its right to make such optional payment in any year it shall deliver to the Trustee not less than 45 days prior to the relevant sinking fund payment date an Officer’s Certificate stating that the Company will exercise such optional right, and specifying the amount which the Company will pay on or before the next succeeding sinking fund payment date. Such Officer’s Certificate shall also state that no Event of Default has occurred and is continuing.</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sectPr>
      </w:pPr>
    </w:p>
    <w:bookmarkStart w:id="81" w:name="page82"/>
    <w:bookmarkEnd w:id="81"/>
    <w:p>
      <w:pPr>
        <w:ind w:left="520"/>
        <w:spacing w:after="0"/>
        <w:rPr>
          <w:sz w:val="20"/>
          <w:szCs w:val="20"/>
          <w:color w:val="auto"/>
        </w:rPr>
      </w:pPr>
      <w:r>
        <w:rPr>
          <w:rFonts w:ascii="Times New Roman" w:cs="Times New Roman" w:eastAsia="Times New Roman" w:hAnsi="Times New Roman"/>
          <w:sz w:val="14"/>
          <w:szCs w:val="14"/>
          <w:color w:val="auto"/>
        </w:rPr>
        <w:t>Section 5.04   </w:t>
      </w:r>
      <w:r>
        <w:rPr>
          <w:rFonts w:ascii="Times New Roman" w:cs="Times New Roman" w:eastAsia="Times New Roman" w:hAnsi="Times New Roman"/>
          <w:sz w:val="14"/>
          <w:szCs w:val="14"/>
          <w:u w:val="single" w:color="auto"/>
          <w:color w:val="auto"/>
        </w:rPr>
        <w:t>  Application of Sinking Fund Payment</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firstLine="1271"/>
        <w:spacing w:after="0" w:line="256" w:lineRule="auto"/>
        <w:rPr>
          <w:sz w:val="20"/>
          <w:szCs w:val="20"/>
          <w:color w:val="auto"/>
        </w:rPr>
      </w:pPr>
      <w:r>
        <w:rPr>
          <w:rFonts w:ascii="Times New Roman" w:cs="Times New Roman" w:eastAsia="Times New Roman" w:hAnsi="Times New Roman"/>
          <w:sz w:val="14"/>
          <w:szCs w:val="14"/>
          <w:color w:val="auto"/>
        </w:rPr>
        <w:t>(a)          If the sinking fund payment or payments made in funds pursuant to either Section 5.02 or 5.03 with respect to a particular series of Securities plus any unused balance of any preceding sinking fund payments made in funds with respect to such series shall exceed $50,000 (or a lesser sum if the Company shall so request, or such equivalent sum for Securities denominated other than in U.S. Dollars), it shall be applied by the Trustee on the sinking fund payment date next following the date of such payment, unless the date of such payment shall be a sinking fund payment date, in which case such payment shall be applied on such sinking fund payment date, to the redemption of Securities of such series at the redemption price specified pursuant to Section 4.03(b). The Trustee shall select, in the manner provided in Section 4.02, for redemption on such sinking fund payment date, a sufficient principal amount of Securities of such series to absorb said funds, as nearly as may be, and shall, at the expense and in the name of the Company, thereupon cause notice of redemption, prepared by the Company, of the Securities to be given in substantially the manner provided in Section 4.03(a) for the redemption of Securities in part at the option of the Company, except that the notice of redemption shall also state that the Securities are being redeemed for the sinking fund. Any sinking fund moneys not so applied by the Trustee to the redemption of Securities of such series shall be added to the next sinking fund payment received in funds by the Trustee and, together with such payment, shall be applied in accordance with the provisions of this Section 5.04. Any and all sinking fund moneys held by the Trustee on the last sinking fund payment date with respect to Securities of such series, and not held for the payment or redemption of particular Securities of such series, shall be applied by the Trustee to the payment of the principal of the Securities of such series at Maturity.</w:t>
      </w:r>
    </w:p>
    <w:p>
      <w:pPr>
        <w:spacing w:after="0" w:line="144" w:lineRule="exact"/>
        <w:rPr>
          <w:sz w:val="20"/>
          <w:szCs w:val="20"/>
          <w:color w:val="auto"/>
        </w:rPr>
      </w:pPr>
    </w:p>
    <w:p>
      <w:pPr>
        <w:ind w:right="80" w:firstLine="1271"/>
        <w:spacing w:after="0" w:line="286" w:lineRule="auto"/>
        <w:rPr>
          <w:sz w:val="20"/>
          <w:szCs w:val="20"/>
          <w:color w:val="auto"/>
        </w:rPr>
      </w:pPr>
      <w:r>
        <w:rPr>
          <w:rFonts w:ascii="Times New Roman" w:cs="Times New Roman" w:eastAsia="Times New Roman" w:hAnsi="Times New Roman"/>
          <w:sz w:val="14"/>
          <w:szCs w:val="14"/>
          <w:color w:val="auto"/>
        </w:rPr>
        <w:t>(b)          On or prior to each sinking fund payment date, the Company shall pay to the Trustee a sum equal to all interest accrued to but not including the date fixed for redemption on Securities to be redeemed on such sinking fund payment date pursuant to this Section 5.04.</w:t>
      </w:r>
    </w:p>
    <w:p>
      <w:pPr>
        <w:spacing w:after="0" w:line="125" w:lineRule="exact"/>
        <w:rPr>
          <w:sz w:val="20"/>
          <w:szCs w:val="20"/>
          <w:color w:val="auto"/>
        </w:rPr>
      </w:pPr>
    </w:p>
    <w:p>
      <w:pPr>
        <w:ind w:right="80" w:firstLine="1271"/>
        <w:spacing w:after="0" w:line="257" w:lineRule="auto"/>
        <w:rPr>
          <w:sz w:val="20"/>
          <w:szCs w:val="20"/>
          <w:color w:val="auto"/>
        </w:rPr>
      </w:pPr>
      <w:r>
        <w:rPr>
          <w:rFonts w:ascii="Times New Roman" w:cs="Times New Roman" w:eastAsia="Times New Roman" w:hAnsi="Times New Roman"/>
          <w:sz w:val="14"/>
          <w:szCs w:val="14"/>
          <w:color w:val="auto"/>
        </w:rPr>
        <w:t>(c)          The Trustee shall not redeem any Securities of a series with sinking fund moneys or mail any notice of redemption of Securities of such series by operation of the sinking fund during the continuance of a Default in payment of interest on any Securities of such series or of any Event of Default (other than an Event of Default occurring as a consequence of this paragraph) of which a Responsible Officer of the Trustee has actual knowledge, except that if the notice of redemption of any Securities of such series shall theretofore have been mailed in accordance with the provisions hereof, the Trustee shall redeem such Securities if funds sufficient for that purpose shall be deposited with the Trustee in accordance with the terms of this Article. Except as aforesaid, any moneys in the sinking fund at the time any such Default or Event of Default shall occur and any moneys thereafter paid into the sinking fund shall, during the continuance of such Default or Event of Default, be held as security for the payment of all the Securities of such series; provided, however, that in case such Default or Event of Default shall have been cured or waived as provided herein, such moneys shall thereafter be applied on the next sinking fund payment date on which such moneys are required to be applied pursuant to the provisions of this Section 5.04.</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82" w:name="page83"/>
    <w:bookmarkEnd w:id="82"/>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PARTICULAR COVENANTS OF THE COMPANY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hereby covenants and agrees as follows:</w:t>
      </w:r>
    </w:p>
    <w:p>
      <w:pPr>
        <w:spacing w:after="0" w:line="178" w:lineRule="exact"/>
        <w:rPr>
          <w:sz w:val="20"/>
          <w:szCs w:val="20"/>
          <w:color w:val="auto"/>
        </w:rPr>
      </w:pPr>
    </w:p>
    <w:p>
      <w:pPr>
        <w:ind w:right="40" w:firstLine="508"/>
        <w:spacing w:after="0" w:line="286" w:lineRule="auto"/>
        <w:rPr>
          <w:sz w:val="20"/>
          <w:szCs w:val="20"/>
          <w:color w:val="auto"/>
        </w:rPr>
      </w:pPr>
      <w:r>
        <w:rPr>
          <w:rFonts w:ascii="Times New Roman" w:cs="Times New Roman" w:eastAsia="Times New Roman" w:hAnsi="Times New Roman"/>
          <w:sz w:val="14"/>
          <w:szCs w:val="14"/>
          <w:color w:val="auto"/>
        </w:rPr>
        <w:t>Section 6.01   </w:t>
      </w:r>
      <w:r>
        <w:rPr>
          <w:rFonts w:ascii="Times New Roman" w:cs="Times New Roman" w:eastAsia="Times New Roman" w:hAnsi="Times New Roman"/>
          <w:sz w:val="14"/>
          <w:szCs w:val="14"/>
          <w:u w:val="single" w:color="auto"/>
          <w:color w:val="auto"/>
        </w:rPr>
        <w:t>  Payments of Securities</w:t>
      </w:r>
      <w:r>
        <w:rPr>
          <w:rFonts w:ascii="Times New Roman" w:cs="Times New Roman" w:eastAsia="Times New Roman" w:hAnsi="Times New Roman"/>
          <w:sz w:val="14"/>
          <w:szCs w:val="14"/>
          <w:color w:val="auto"/>
        </w:rPr>
        <w:t>. The Company will duly and punctually pay the principal of and premium, if any, on each series of Securities, and the interest which shall have accrued thereon, at the dates and place and in the manner provided in the Securities and in this Indenture.</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6.02   </w:t>
      </w:r>
      <w:r>
        <w:rPr>
          <w:rFonts w:ascii="Times New Roman" w:cs="Times New Roman" w:eastAsia="Times New Roman" w:hAnsi="Times New Roman"/>
          <w:sz w:val="14"/>
          <w:szCs w:val="14"/>
          <w:u w:val="single" w:color="auto"/>
          <w:color w:val="auto"/>
        </w:rPr>
        <w:t>  Paying Agent</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firstLine="1271"/>
        <w:spacing w:after="0" w:line="256" w:lineRule="auto"/>
        <w:rPr>
          <w:sz w:val="20"/>
          <w:szCs w:val="20"/>
          <w:color w:val="auto"/>
        </w:rPr>
      </w:pPr>
      <w:r>
        <w:rPr>
          <w:rFonts w:ascii="Times New Roman" w:cs="Times New Roman" w:eastAsia="Times New Roman" w:hAnsi="Times New Roman"/>
          <w:sz w:val="14"/>
          <w:szCs w:val="14"/>
          <w:color w:val="auto"/>
        </w:rPr>
        <w:t>(a)          The Company will maintain in each Place of Payment for any series of Securities an office or agency where Securities may be presented or surrendered for payment, where Securities of such series may be surrendered for registration of transfer or exchange and where notices and demands to or upon the Company in respect of the Securities and this Indenture may be served (the “Paying Agent”).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Paying Agent to receive all presentations, surrenders, notices and demands. So long as the Trustee serves as Paying Agent, it will be entitled as Paying Agent to the same rights of compensation, reimbursement and indemnification under Section 11.01 and Section 11.02 as if it were Trustee. In acting hereunder and in connection with the Notes, the Paying Agent shall act solely as agent of the Company, and will not thereby assume any obligations toward, or relationship of agency or trust for or with, any Holder. Notwithstanding anything herein to the contrary, no office of the Trustee shall be an office or agency of the Company for the purposes of service of legal process on the Company, which office or agent is as provided in Section 16.13.</w:t>
      </w:r>
    </w:p>
    <w:p>
      <w:pPr>
        <w:spacing w:after="0" w:line="149" w:lineRule="exact"/>
        <w:rPr>
          <w:sz w:val="20"/>
          <w:szCs w:val="20"/>
          <w:color w:val="auto"/>
        </w:rPr>
      </w:pPr>
    </w:p>
    <w:p>
      <w:pPr>
        <w:ind w:firstLine="1271"/>
        <w:spacing w:after="0" w:line="259" w:lineRule="auto"/>
        <w:rPr>
          <w:sz w:val="20"/>
          <w:szCs w:val="20"/>
          <w:color w:val="auto"/>
        </w:rPr>
      </w:pPr>
      <w:r>
        <w:rPr>
          <w:rFonts w:ascii="Times New Roman" w:cs="Times New Roman" w:eastAsia="Times New Roman" w:hAnsi="Times New Roman"/>
          <w:sz w:val="14"/>
          <w:szCs w:val="14"/>
          <w:color w:val="auto"/>
        </w:rPr>
        <w:t>(b)          The Company may also from time to time designate different or additional offices or agencies where the Securities of any series may be presented or surrendered for any or all such purposes (in or outside of such Place of Payment), and may from time to time rescind any such designations; provided, however, that no such designation or rescission shall in any manner relieve the Company of its obligations described in the preceding paragraph. The Company will give prompt written notice to the Trustee of any such additional designation or rescission of designation and of any change in the location of any such different or additional office or agency. The Company shall enter into an appropriate agency agreement with any Paying Agent not a party to this Indenture. The agreement shall implement the provisions of this Indenture that relate to such agent. The Company shall notify the Trustee of the name and address of each such agent. The Company or any Affiliate thereof may act as Paying Agent.</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6.03   </w:t>
      </w:r>
      <w:r>
        <w:rPr>
          <w:rFonts w:ascii="Times New Roman" w:cs="Times New Roman" w:eastAsia="Times New Roman" w:hAnsi="Times New Roman"/>
          <w:sz w:val="14"/>
          <w:szCs w:val="14"/>
          <w:u w:val="single" w:color="auto"/>
          <w:color w:val="auto"/>
        </w:rPr>
        <w:t>  To Hold Payment in Trust</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right="40" w:firstLine="1271"/>
        <w:spacing w:after="0" w:line="259" w:lineRule="auto"/>
        <w:rPr>
          <w:sz w:val="20"/>
          <w:szCs w:val="20"/>
          <w:color w:val="auto"/>
        </w:rPr>
      </w:pPr>
      <w:r>
        <w:rPr>
          <w:rFonts w:ascii="Times New Roman" w:cs="Times New Roman" w:eastAsia="Times New Roman" w:hAnsi="Times New Roman"/>
          <w:sz w:val="14"/>
          <w:szCs w:val="14"/>
          <w:color w:val="auto"/>
        </w:rPr>
        <w:t>(a)          If the Company or an Affiliate thereof shall at any time act as Paying Agent with respect to any series of Securities, then, on or before the date on which the principal of and premium, if any, or interest on any of the Securities of that series by their terms or as a result of the calling thereof for redemption shall become payable, the Company or such Affiliate will segregate and hold in trust for the benefit of the Holders of such Securities or the Trustee a sum sufficient to pay such principal and premium, if any, or interest which shall have so become payable until such sums shall be paid to such Holders or otherwise disposed of as herein provided, and will notify the Trustee of its action or failure to act in that regard. Upon any proceeding under any federal bankruptcy laws with respect to the Company or any Affiliate thereof, if the Company or such Affiliate is then acting as Paying Agent, the Trustee shall replace the Company or such Affiliate as Paying Agent.</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40"/>
          </w:cols>
          <w:pgMar w:left="300" w:top="906" w:right="359" w:bottom="1440" w:gutter="0" w:footer="0" w:header="0"/>
        </w:sectPr>
      </w:pPr>
    </w:p>
    <w:bookmarkStart w:id="83" w:name="page84"/>
    <w:bookmarkEnd w:id="83"/>
    <w:p>
      <w:pPr>
        <w:ind w:firstLine="1271"/>
        <w:spacing w:after="0" w:line="261" w:lineRule="auto"/>
        <w:rPr>
          <w:sz w:val="20"/>
          <w:szCs w:val="20"/>
          <w:color w:val="auto"/>
        </w:rPr>
      </w:pPr>
      <w:r>
        <w:rPr>
          <w:rFonts w:ascii="Times New Roman" w:cs="Times New Roman" w:eastAsia="Times New Roman" w:hAnsi="Times New Roman"/>
          <w:sz w:val="14"/>
          <w:szCs w:val="14"/>
          <w:color w:val="auto"/>
        </w:rPr>
        <w:t>(b)          If the Company shall appoint, and at the time have, a Paying Agent for the payment of the principal of and premium, if any, or interest on any series of Securities, then prior to 11:00 a.m., New York City time, on the date on which the principal of and premium, if any, or interest on any of the Securities of that series shall become payable as aforesaid, whether by their terms or as a result of the calling thereof for redemption, the Company will deposit with such Paying Agent a sum sufficient to pay such principal and premium, if any, or interest, such sum to be held in trust for the benefit of the Holders of such Securities or the Trustee, and (unless such Paying Agent is the Trustee), the Company or any other obligor of such Securities will promptly notify the Trustee of its payment or failure to make such payment.</w:t>
      </w:r>
    </w:p>
    <w:p>
      <w:pPr>
        <w:spacing w:after="0" w:line="141" w:lineRule="exact"/>
        <w:rPr>
          <w:sz w:val="20"/>
          <w:szCs w:val="20"/>
          <w:color w:val="auto"/>
        </w:rPr>
      </w:pPr>
    </w:p>
    <w:p>
      <w:pPr>
        <w:ind w:right="160" w:firstLine="1271"/>
        <w:spacing w:after="0" w:line="286" w:lineRule="auto"/>
        <w:rPr>
          <w:sz w:val="20"/>
          <w:szCs w:val="20"/>
          <w:color w:val="auto"/>
        </w:rPr>
      </w:pPr>
      <w:r>
        <w:rPr>
          <w:rFonts w:ascii="Times New Roman" w:cs="Times New Roman" w:eastAsia="Times New Roman" w:hAnsi="Times New Roman"/>
          <w:sz w:val="14"/>
          <w:szCs w:val="14"/>
          <w:color w:val="auto"/>
        </w:rPr>
        <w:t>(c)          If the Paying Agent shall be other than the Trustee, the Company will cause such Paying Agent to execute and deliver to the Trustee an instrument in which such Paying Agent shall agree with the Trustee, subject to the provisions of this Section 6.03, that such Paying Agent shall:</w:t>
      </w:r>
    </w:p>
    <w:p>
      <w:pPr>
        <w:spacing w:after="0" w:line="125" w:lineRule="exact"/>
        <w:rPr>
          <w:sz w:val="20"/>
          <w:szCs w:val="20"/>
          <w:color w:val="auto"/>
        </w:rPr>
      </w:pPr>
    </w:p>
    <w:p>
      <w:pPr>
        <w:ind w:left="520" w:right="80" w:firstLine="1271"/>
        <w:spacing w:after="0" w:line="286" w:lineRule="auto"/>
        <w:rPr>
          <w:sz w:val="20"/>
          <w:szCs w:val="20"/>
          <w:color w:val="auto"/>
        </w:rPr>
      </w:pPr>
      <w:r>
        <w:rPr>
          <w:rFonts w:ascii="Times New Roman" w:cs="Times New Roman" w:eastAsia="Times New Roman" w:hAnsi="Times New Roman"/>
          <w:sz w:val="14"/>
          <w:szCs w:val="14"/>
          <w:color w:val="auto"/>
        </w:rPr>
        <w:t>(i)          hold all moneys held by it for the payment of the principal of and premium, if any, or interest on the Securities of that series in trust for the benefit of the Holders of such Securities until such sums shall be paid to such Holders or otherwise disposed of as herein provided;</w:t>
      </w:r>
    </w:p>
    <w:p>
      <w:pPr>
        <w:spacing w:after="0" w:line="125" w:lineRule="exact"/>
        <w:rPr>
          <w:sz w:val="20"/>
          <w:szCs w:val="20"/>
          <w:color w:val="auto"/>
        </w:rPr>
      </w:pPr>
    </w:p>
    <w:p>
      <w:pPr>
        <w:ind w:left="520" w:right="100" w:firstLine="1271"/>
        <w:spacing w:after="0" w:line="286" w:lineRule="auto"/>
        <w:rPr>
          <w:sz w:val="20"/>
          <w:szCs w:val="20"/>
          <w:color w:val="auto"/>
        </w:rPr>
      </w:pPr>
      <w:r>
        <w:rPr>
          <w:rFonts w:ascii="Times New Roman" w:cs="Times New Roman" w:eastAsia="Times New Roman" w:hAnsi="Times New Roman"/>
          <w:sz w:val="14"/>
          <w:szCs w:val="14"/>
          <w:color w:val="auto"/>
        </w:rPr>
        <w:t>(ii)         give to the Trustee notice of any Default by the Company or any other obligor upon the Securities of that series in the making of any payment of the principal of and premium, if any, or interest on the Securities of that series; and</w:t>
      </w:r>
    </w:p>
    <w:p>
      <w:pPr>
        <w:spacing w:after="0" w:line="1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(iii)        at any time during the continuance of any such Default, upon the written request of the Trustee, pay to the Trustee all sums so held in trust by such Paying Agent.</w:t>
      </w:r>
    </w:p>
    <w:p>
      <w:pPr>
        <w:spacing w:after="0" w:line="178" w:lineRule="exact"/>
        <w:rPr>
          <w:sz w:val="20"/>
          <w:szCs w:val="20"/>
          <w:color w:val="auto"/>
        </w:rPr>
      </w:pPr>
    </w:p>
    <w:p>
      <w:pPr>
        <w:ind w:right="280" w:firstLine="1271"/>
        <w:spacing w:after="0" w:line="269" w:lineRule="auto"/>
        <w:rPr>
          <w:sz w:val="20"/>
          <w:szCs w:val="20"/>
          <w:color w:val="auto"/>
        </w:rPr>
      </w:pPr>
      <w:r>
        <w:rPr>
          <w:rFonts w:ascii="Times New Roman" w:cs="Times New Roman" w:eastAsia="Times New Roman" w:hAnsi="Times New Roman"/>
          <w:sz w:val="14"/>
          <w:szCs w:val="14"/>
          <w:color w:val="auto"/>
        </w:rPr>
        <w:t>(d)          Anything in this Section 6.03 to the contrary notwithstanding, the Company may at any time, for the purpose of obtaining a release, satisfaction or discharge of this Indenture or for any other reason, pay or cause to be paid to the Trustee all sums held in trust by the Company or by any Paying Agent other than the Trustee as required by this Section 6.03, such sums to be held by the Trustee upon the same trusts as those upon which such sums were held by the Company or such Paying Agent.</w:t>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84" w:name="page85"/>
    <w:bookmarkEnd w:id="84"/>
    <w:p>
      <w:pPr>
        <w:ind w:right="120" w:firstLine="1271"/>
        <w:spacing w:after="0" w:line="257" w:lineRule="auto"/>
        <w:rPr>
          <w:sz w:val="20"/>
          <w:szCs w:val="20"/>
          <w:color w:val="auto"/>
        </w:rPr>
      </w:pPr>
      <w:r>
        <w:rPr>
          <w:rFonts w:ascii="Times New Roman" w:cs="Times New Roman" w:eastAsia="Times New Roman" w:hAnsi="Times New Roman"/>
          <w:sz w:val="14"/>
          <w:szCs w:val="14"/>
          <w:color w:val="auto"/>
        </w:rPr>
        <w:t>(e)          Subject to applicable law governing abandoned property, any money deposited with the Trustee or any Paying Agent, or then held by the Company, in trust for the payment of the principal of and premium, if any, or interest on any Security of any series and remaining unclaimed for two years after such principal and premium, if any, or interest has become due and payable shall be paid to the Company upon Company Order along with any interest that has accumulated thereon as a result of such money being invested at the direction of the Company, or (if then held by the Company) shall be discharged from such trust, and the Holder of such Security shall thereafter, as an unsecured general creditor, look only to the Company for payment of such amounts without interest thereon,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notice that such money remains unclaimed and that, after a date specified therein, which shall not be less than 30 days from the date of such publication, any unclaimed balance of such money then remaining will be repaid to the Company.</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6.04   </w:t>
      </w:r>
      <w:r>
        <w:rPr>
          <w:rFonts w:ascii="Times New Roman" w:cs="Times New Roman" w:eastAsia="Times New Roman" w:hAnsi="Times New Roman"/>
          <w:sz w:val="14"/>
          <w:szCs w:val="14"/>
          <w:u w:val="single" w:color="auto"/>
          <w:color w:val="auto"/>
        </w:rPr>
        <w:t>  Merger, Consolidation and Sale of Assets</w:t>
      </w:r>
      <w:r>
        <w:rPr>
          <w:rFonts w:ascii="Times New Roman" w:cs="Times New Roman" w:eastAsia="Times New Roman" w:hAnsi="Times New Roman"/>
          <w:sz w:val="14"/>
          <w:szCs w:val="14"/>
          <w:color w:val="auto"/>
        </w:rPr>
        <w:t>. Except as otherwise provided as contemplated by Section 3.01 with respect to any series of Securities:</w:t>
      </w:r>
    </w:p>
    <w:p>
      <w:pPr>
        <w:spacing w:after="0" w:line="178" w:lineRule="exact"/>
        <w:rPr>
          <w:sz w:val="20"/>
          <w:szCs w:val="20"/>
          <w:color w:val="auto"/>
        </w:rPr>
      </w:pPr>
    </w:p>
    <w:p>
      <w:pPr>
        <w:ind w:right="40" w:firstLine="1271"/>
        <w:spacing w:after="0" w:line="258" w:lineRule="auto"/>
        <w:rPr>
          <w:sz w:val="20"/>
          <w:szCs w:val="20"/>
          <w:color w:val="auto"/>
        </w:rPr>
      </w:pPr>
      <w:r>
        <w:rPr>
          <w:rFonts w:ascii="Times New Roman" w:cs="Times New Roman" w:eastAsia="Times New Roman" w:hAnsi="Times New Roman"/>
          <w:sz w:val="14"/>
          <w:szCs w:val="14"/>
          <w:color w:val="auto"/>
        </w:rPr>
        <w:t>(a)          The Company will not consolidate with any other entity or permit a merger of any other entity into the Company or permit the Company to be merged into any other entity, or sell, convey, transfer or lease all or substantially all its assets to another entity, unless (i) either the Company shall be the continuing entity, or the successor, transferee or lessee entity (if other than the Company) shall be organized and existing under the laws of the United States or any State thereof or the District of Columbia and expressly assume, by indenture supplemental hereto, executed and delivered by such entity prior to or simultaneously with such consolidation, merger, sale, conveyance, transfer or lease, the due and punctual payment of the principal of and interest and premium, if any, on all the Securities, according to their tenor, and the due and punctual performance and observance of all other obligations to the Holders and the Trustee under this Indenture or under the Securities to be performed or observed by the Company; and (ii) immediately after such consolidation, merger, sale, conveyance, transfer or lease the Company or the successor, transferee or lessee entity (if other than the Company) would not be in Default in the performance of any covenant or condition of this Indenture.</w:t>
      </w:r>
    </w:p>
    <w:p>
      <w:pPr>
        <w:spacing w:after="0" w:line="144" w:lineRule="exact"/>
        <w:rPr>
          <w:sz w:val="20"/>
          <w:szCs w:val="20"/>
          <w:color w:val="auto"/>
        </w:rPr>
      </w:pPr>
    </w:p>
    <w:p>
      <w:pPr>
        <w:ind w:firstLine="1271"/>
        <w:spacing w:after="0" w:line="257" w:lineRule="auto"/>
        <w:rPr>
          <w:sz w:val="20"/>
          <w:szCs w:val="20"/>
          <w:color w:val="auto"/>
        </w:rPr>
      </w:pPr>
      <w:r>
        <w:rPr>
          <w:rFonts w:ascii="Times New Roman" w:cs="Times New Roman" w:eastAsia="Times New Roman" w:hAnsi="Times New Roman"/>
          <w:sz w:val="14"/>
          <w:szCs w:val="14"/>
          <w:color w:val="auto"/>
        </w:rPr>
        <w:t>(b)          Upon any consolidation with or merger into any other entity, or any sale, conveyance or transfer lease of all or substantially all of the assets of the Company in accordance with this Section 6.04, the successor entity formed by such consolidation or into or with which the Company is merged or to which the Company is sold or to which such conveyance, transfer or lease is made shall succeed to, and be substituted for, and may exercise every right and power of, the Company under this Indenture with the same effect as if such successor entity had been named as the Company herein, and thereafter, except in the case of a lease, the predecessor Company shall be relieved of all obligations and covenants under this Indenture and the Securities, and from time to time such entity may exercise each and every right and power of the Company under this Indenture, in the name of the Company, or in its own name; and any act or proceeding by any provision of this Indenture required or permitted to be done by the Board of Directors or any officer of the Company may be done with like force and effect by the like board or officer of any entity that shall at the time be the successor of the Company hereunder. In the event of any such sale or conveyance, but not any such lease, the Company (or any successor entity which shall theretofore have become such in the manner described in this Section 6.04) shall be discharged from all obligations and covenants under this Indenture and the Securities and may thereupon be dissolved and liquidated.</w:t>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85" w:name="page86"/>
    <w:bookmarkEnd w:id="85"/>
    <w:p>
      <w:pPr>
        <w:ind w:right="120" w:firstLine="508"/>
        <w:spacing w:after="0" w:line="263" w:lineRule="auto"/>
        <w:rPr>
          <w:sz w:val="20"/>
          <w:szCs w:val="20"/>
          <w:color w:val="auto"/>
        </w:rPr>
      </w:pPr>
      <w:r>
        <w:rPr>
          <w:rFonts w:ascii="Times New Roman" w:cs="Times New Roman" w:eastAsia="Times New Roman" w:hAnsi="Times New Roman"/>
          <w:sz w:val="14"/>
          <w:szCs w:val="14"/>
          <w:color w:val="auto"/>
        </w:rPr>
        <w:t>Section 6.05   </w:t>
      </w:r>
      <w:r>
        <w:rPr>
          <w:rFonts w:ascii="Times New Roman" w:cs="Times New Roman" w:eastAsia="Times New Roman" w:hAnsi="Times New Roman"/>
          <w:sz w:val="14"/>
          <w:szCs w:val="14"/>
          <w:u w:val="single" w:color="auto"/>
          <w:color w:val="auto"/>
        </w:rPr>
        <w:t>  Compliance Certificate</w:t>
      </w:r>
      <w:r>
        <w:rPr>
          <w:rFonts w:ascii="Times New Roman" w:cs="Times New Roman" w:eastAsia="Times New Roman" w:hAnsi="Times New Roman"/>
          <w:sz w:val="14"/>
          <w:szCs w:val="14"/>
          <w:color w:val="auto"/>
        </w:rPr>
        <w:t>. Except as otherwise provided as contemplated by Section 3.01 with respect to any series of Securities, the Company shall furnish to the Trustee annually, within 120 days after the end of each fiscal year, a brief certificate from an Officer as to his or her knowledge of the Company’s compliance with all conditions and covenants under this Indenture (which compliance shall be determined without regard to any period of grace or requirement of notice provided under this Indenture) and, in the event of any Default, specifying each such Default and the nature and status thereof of which such person may have knowledge. Such certificates need not comply with Section 16.01 of this Indenture.</w:t>
      </w:r>
    </w:p>
    <w:p>
      <w:pPr>
        <w:spacing w:after="0" w:line="142" w:lineRule="exact"/>
        <w:rPr>
          <w:sz w:val="20"/>
          <w:szCs w:val="20"/>
          <w:color w:val="auto"/>
        </w:rPr>
      </w:pPr>
    </w:p>
    <w:p>
      <w:pPr>
        <w:ind w:right="20" w:firstLine="508"/>
        <w:spacing w:after="0" w:line="258" w:lineRule="auto"/>
        <w:rPr>
          <w:sz w:val="20"/>
          <w:szCs w:val="20"/>
          <w:color w:val="auto"/>
        </w:rPr>
      </w:pPr>
      <w:r>
        <w:rPr>
          <w:rFonts w:ascii="Times New Roman" w:cs="Times New Roman" w:eastAsia="Times New Roman" w:hAnsi="Times New Roman"/>
          <w:sz w:val="14"/>
          <w:szCs w:val="14"/>
          <w:color w:val="auto"/>
        </w:rPr>
        <w:t>Section 6.06   </w:t>
      </w:r>
      <w:r>
        <w:rPr>
          <w:rFonts w:ascii="Times New Roman" w:cs="Times New Roman" w:eastAsia="Times New Roman" w:hAnsi="Times New Roman"/>
          <w:sz w:val="14"/>
          <w:szCs w:val="14"/>
          <w:u w:val="single" w:color="auto"/>
          <w:color w:val="auto"/>
        </w:rPr>
        <w:t>  Conditional Waiver by Holders of Securities</w:t>
      </w:r>
      <w:r>
        <w:rPr>
          <w:rFonts w:ascii="Times New Roman" w:cs="Times New Roman" w:eastAsia="Times New Roman" w:hAnsi="Times New Roman"/>
          <w:sz w:val="14"/>
          <w:szCs w:val="14"/>
          <w:color w:val="auto"/>
        </w:rPr>
        <w:t>. Anything in this Indenture to the contrary notwithstanding, the Company may fail or omit in any particular instance to comply with a covenant or condition set forth herein with respect to any series of Securities if the Company shall have obtained and filed with the Trustee, prior to the time of such failure or omission, evidence (as provided in Article VIII) of the consent of the Holders of a majority in aggregate principal amount of the Securities of such series at the time Outstanding (except as to a covenant or condition which under Section 14.02 cannot be modified or amended without the consent of the Holder of each Outstanding Security of such series affected, in which case the consent of the Holder of each Outstanding Security of such series affected shall be required), either waiving such compliance in such instance or generally waiving compliance with such covenant or condition, but no such waiver shall extend to or affect such covenant or condition except to the extent so expressly waived, or impair any right consequent thereon and, until such waiver shall have become effective, the obligations of the Company and the duties of the Trustee in respect of any such covenant or condition shall remain in full force and effect.</w:t>
      </w:r>
    </w:p>
    <w:p>
      <w:pPr>
        <w:spacing w:after="0" w:line="144" w:lineRule="exact"/>
        <w:rPr>
          <w:sz w:val="20"/>
          <w:szCs w:val="20"/>
          <w:color w:val="auto"/>
        </w:rPr>
      </w:pPr>
    </w:p>
    <w:p>
      <w:pPr>
        <w:ind w:right="220" w:firstLine="508"/>
        <w:spacing w:after="0" w:line="269" w:lineRule="auto"/>
        <w:rPr>
          <w:sz w:val="20"/>
          <w:szCs w:val="20"/>
          <w:color w:val="auto"/>
        </w:rPr>
      </w:pPr>
      <w:r>
        <w:rPr>
          <w:rFonts w:ascii="Times New Roman" w:cs="Times New Roman" w:eastAsia="Times New Roman" w:hAnsi="Times New Roman"/>
          <w:sz w:val="14"/>
          <w:szCs w:val="14"/>
          <w:color w:val="auto"/>
        </w:rPr>
        <w:t>Section 6.07   </w:t>
      </w:r>
      <w:r>
        <w:rPr>
          <w:rFonts w:ascii="Times New Roman" w:cs="Times New Roman" w:eastAsia="Times New Roman" w:hAnsi="Times New Roman"/>
          <w:sz w:val="14"/>
          <w:szCs w:val="14"/>
          <w:u w:val="single" w:color="auto"/>
          <w:color w:val="auto"/>
        </w:rPr>
        <w:t>  Statement by Officers as to Default</w:t>
      </w:r>
      <w:r>
        <w:rPr>
          <w:rFonts w:ascii="Times New Roman" w:cs="Times New Roman" w:eastAsia="Times New Roman" w:hAnsi="Times New Roman"/>
          <w:sz w:val="14"/>
          <w:szCs w:val="14"/>
          <w:color w:val="auto"/>
        </w:rPr>
        <w:t>. The Company shall deliver to the Trustee as soon as possible and in any event within 30 days after the Company becomes aware of the occurrence of any Event of Default or an event which, with the giving of notice or the lapse of time or both, would constitute an Event of Default, an Officer’s Certificate setting forth the details of such Event of Default or Default and the action which the Company proposes to take with respect thereto.</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REMEDIES OF TRUSTEE AND SECURITYHOLDERS</w:t>
      </w:r>
    </w:p>
    <w:p>
      <w:pPr>
        <w:spacing w:after="0" w:line="180" w:lineRule="exact"/>
        <w:rPr>
          <w:sz w:val="20"/>
          <w:szCs w:val="20"/>
          <w:color w:val="auto"/>
        </w:rPr>
      </w:pPr>
    </w:p>
    <w:p>
      <w:pPr>
        <w:jc w:val="both"/>
        <w:ind w:right="240" w:firstLine="508"/>
        <w:spacing w:after="0" w:line="269" w:lineRule="auto"/>
        <w:rPr>
          <w:sz w:val="20"/>
          <w:szCs w:val="20"/>
          <w:color w:val="auto"/>
        </w:rPr>
      </w:pPr>
      <w:r>
        <w:rPr>
          <w:rFonts w:ascii="Times New Roman" w:cs="Times New Roman" w:eastAsia="Times New Roman" w:hAnsi="Times New Roman"/>
          <w:sz w:val="14"/>
          <w:szCs w:val="14"/>
          <w:color w:val="auto"/>
        </w:rPr>
        <w:t>Section 7.01   </w:t>
      </w:r>
      <w:r>
        <w:rPr>
          <w:rFonts w:ascii="Times New Roman" w:cs="Times New Roman" w:eastAsia="Times New Roman" w:hAnsi="Times New Roman"/>
          <w:sz w:val="14"/>
          <w:szCs w:val="14"/>
          <w:u w:val="single" w:color="auto"/>
          <w:color w:val="auto"/>
        </w:rPr>
        <w:t>  Events of Default</w:t>
      </w:r>
      <w:r>
        <w:rPr>
          <w:rFonts w:ascii="Times New Roman" w:cs="Times New Roman" w:eastAsia="Times New Roman" w:hAnsi="Times New Roman"/>
          <w:sz w:val="14"/>
          <w:szCs w:val="14"/>
          <w:color w:val="auto"/>
        </w:rPr>
        <w:t>. Except where otherwise indicated by the context or where the term is otherwise defined for a specific purpose, the term “Event of Default” as used in this Indenture with respect to Securities of any series shall mean any of the following described events unless it is either inapplicable to a particular series or it is specifically deleted or modified in the manner contemplated in Section 3.01:</w:t>
      </w:r>
    </w:p>
    <w:p>
      <w:pPr>
        <w:spacing w:after="0" w:line="136" w:lineRule="exact"/>
        <w:rPr>
          <w:sz w:val="20"/>
          <w:szCs w:val="20"/>
          <w:color w:val="auto"/>
        </w:rPr>
      </w:pPr>
    </w:p>
    <w:p>
      <w:pPr>
        <w:ind w:firstLine="1271"/>
        <w:spacing w:after="0" w:line="286" w:lineRule="auto"/>
        <w:rPr>
          <w:sz w:val="20"/>
          <w:szCs w:val="20"/>
          <w:color w:val="auto"/>
        </w:rPr>
      </w:pPr>
      <w:r>
        <w:rPr>
          <w:rFonts w:ascii="Times New Roman" w:cs="Times New Roman" w:eastAsia="Times New Roman" w:hAnsi="Times New Roman"/>
          <w:sz w:val="14"/>
          <w:szCs w:val="14"/>
          <w:color w:val="auto"/>
        </w:rPr>
        <w:t>(a)          the failure of the Company to pay any installment of interest on any Security of such series when and as the same shall become payable, which failure shall have continued unremedied for a period of 30 days;</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86" w:name="page87"/>
    <w:bookmarkEnd w:id="86"/>
    <w:p>
      <w:pPr>
        <w:ind w:right="80" w:firstLine="1271"/>
        <w:spacing w:after="0" w:line="286" w:lineRule="auto"/>
        <w:rPr>
          <w:sz w:val="20"/>
          <w:szCs w:val="20"/>
          <w:color w:val="auto"/>
        </w:rPr>
      </w:pPr>
      <w:r>
        <w:rPr>
          <w:rFonts w:ascii="Times New Roman" w:cs="Times New Roman" w:eastAsia="Times New Roman" w:hAnsi="Times New Roman"/>
          <w:sz w:val="14"/>
          <w:szCs w:val="14"/>
          <w:color w:val="auto"/>
        </w:rPr>
        <w:t>(b)          the failure of the Company to pay the principal of (and premium, if any, on) any Security of such series, when and as the same shall become payable, whether at Maturity as therein expressed, by call for redemption (otherwise than pursuant to a sinking fund), upon acceleration under this Indenture or otherwise;</w:t>
      </w:r>
    </w:p>
    <w:p>
      <w:pPr>
        <w:spacing w:after="0" w:line="125" w:lineRule="exact"/>
        <w:rPr>
          <w:sz w:val="20"/>
          <w:szCs w:val="20"/>
          <w:color w:val="auto"/>
        </w:rPr>
      </w:pPr>
    </w:p>
    <w:p>
      <w:pPr>
        <w:ind w:right="200" w:firstLine="1271"/>
        <w:spacing w:after="0" w:line="286" w:lineRule="auto"/>
        <w:rPr>
          <w:sz w:val="20"/>
          <w:szCs w:val="20"/>
          <w:color w:val="auto"/>
        </w:rPr>
      </w:pPr>
      <w:r>
        <w:rPr>
          <w:rFonts w:ascii="Times New Roman" w:cs="Times New Roman" w:eastAsia="Times New Roman" w:hAnsi="Times New Roman"/>
          <w:sz w:val="14"/>
          <w:szCs w:val="14"/>
          <w:color w:val="auto"/>
        </w:rPr>
        <w:t>(c)          the failure of the Company to pay a sinking fund installment, if any, when and as the same shall become payable by the terms of a Security of such series, which failure shall have continued unremedied for a period of 30 days;</w:t>
      </w:r>
    </w:p>
    <w:p>
      <w:pPr>
        <w:spacing w:after="0" w:line="125" w:lineRule="exact"/>
        <w:rPr>
          <w:sz w:val="20"/>
          <w:szCs w:val="20"/>
          <w:color w:val="auto"/>
        </w:rPr>
      </w:pPr>
    </w:p>
    <w:p>
      <w:pPr>
        <w:ind w:right="100" w:firstLine="1271"/>
        <w:spacing w:after="0" w:line="259" w:lineRule="auto"/>
        <w:rPr>
          <w:sz w:val="20"/>
          <w:szCs w:val="20"/>
          <w:color w:val="auto"/>
        </w:rPr>
      </w:pPr>
      <w:r>
        <w:rPr>
          <w:rFonts w:ascii="Times New Roman" w:cs="Times New Roman" w:eastAsia="Times New Roman" w:hAnsi="Times New Roman"/>
          <w:sz w:val="14"/>
          <w:szCs w:val="14"/>
          <w:color w:val="auto"/>
        </w:rPr>
        <w:t>(d)          the failure of the Company, subject to the provisions of Section 6.06, to perform any covenants or satisfy any conditions contained in this Indenture (or the terms of the Securities of such series or a supplemental indenture establishing such series) (other than a covenant or condition which has been expressly included in this Indenture solely for the benefit of a series of Securities other than that series and other than a covenant or condition a default in the performance of which is elsewhere in this Section 7.01 specifically addressed), which failure shall not have been remedied, or without provision deemed to be adequate for the remedying thereof having been made, for a period of 90 days after written notice shall have been given to the Company by the Trustee or shall have been given to the Company and the Trustee by Holders of 25% or more in aggregate principal amount of the Securities of such series then Outstanding, specifying such failure, requiring the Company to remedy the same and stating that such notice is a “Notice of Default” hereunder;</w:t>
      </w:r>
    </w:p>
    <w:p>
      <w:pPr>
        <w:spacing w:after="0" w:line="144" w:lineRule="exact"/>
        <w:rPr>
          <w:sz w:val="20"/>
          <w:szCs w:val="20"/>
          <w:color w:val="auto"/>
        </w:rPr>
      </w:pPr>
    </w:p>
    <w:p>
      <w:pPr>
        <w:ind w:right="100" w:firstLine="1271"/>
        <w:spacing w:after="0" w:line="263" w:lineRule="auto"/>
        <w:rPr>
          <w:sz w:val="20"/>
          <w:szCs w:val="20"/>
          <w:color w:val="auto"/>
        </w:rPr>
      </w:pPr>
      <w:r>
        <w:rPr>
          <w:rFonts w:ascii="Times New Roman" w:cs="Times New Roman" w:eastAsia="Times New Roman" w:hAnsi="Times New Roman"/>
          <w:sz w:val="14"/>
          <w:szCs w:val="14"/>
          <w:color w:val="auto"/>
        </w:rPr>
        <w:t>(e)          the entry by a court having jurisdiction in the premises of a decree or order for relief in respect of the Company in an involuntary case under the federal bankruptcy laws, as now or hereafter constituted, or any other applicable federal or state bankruptcy, insolvency or other similar law now or hereafter in effect, or appointing a receiver, liquidator, assignee, custodian, trustee or sequestrator (or similar official) of the Company or of substantially all the property of the Company or ordering the winding-up or liquidation of its affairs and such decree or order shall remain unstayed and in effect for a period of 90 consecutive days;</w:t>
      </w:r>
    </w:p>
    <w:p>
      <w:pPr>
        <w:spacing w:after="0" w:line="142" w:lineRule="exact"/>
        <w:rPr>
          <w:sz w:val="20"/>
          <w:szCs w:val="20"/>
          <w:color w:val="auto"/>
        </w:rPr>
      </w:pPr>
    </w:p>
    <w:p>
      <w:pPr>
        <w:ind w:firstLine="1271"/>
        <w:spacing w:after="0" w:line="261" w:lineRule="auto"/>
        <w:rPr>
          <w:sz w:val="20"/>
          <w:szCs w:val="20"/>
          <w:color w:val="auto"/>
        </w:rPr>
      </w:pPr>
      <w:r>
        <w:rPr>
          <w:rFonts w:ascii="Times New Roman" w:cs="Times New Roman" w:eastAsia="Times New Roman" w:hAnsi="Times New Roman"/>
          <w:sz w:val="14"/>
          <w:szCs w:val="14"/>
          <w:color w:val="auto"/>
        </w:rPr>
        <w:t>(f)          the commencement by the Company of a voluntary case under the federal bankruptcy laws, as now or hereafter constituted, or any other applicable federal or state bankruptcy, insolvency or other similar law now or hereafter in effect, or the consent by the Company to the entry of an order for relief in an involuntary case under any such law, or the consent by the Company to the appointment of or taking possession by a receiver, liquidator, assignee, trustee, custodian or sequestrator (or similar official) of the Company or of substantially all the property of the Company or the making by it of an assignment for the benefit of creditors or the admission by it in writing of its inability to pay its debts generally as they become due, or the taking of corporate action by the Company in furtherance of any action; or</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(g)          the occurrence of any other Event of Default with respect to Securities of such series as provided in Section 3.01;</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87" w:name="page88"/>
    <w:bookmarkEnd w:id="87"/>
    <w:p>
      <w:pPr>
        <w:ind w:right="140"/>
        <w:spacing w:after="0" w:line="269" w:lineRule="auto"/>
        <w:rPr>
          <w:sz w:val="20"/>
          <w:szCs w:val="20"/>
          <w:color w:val="auto"/>
        </w:rPr>
      </w:pPr>
      <w:r>
        <w:rPr>
          <w:rFonts w:ascii="Times New Roman" w:cs="Times New Roman" w:eastAsia="Times New Roman" w:hAnsi="Times New Roman"/>
          <w:sz w:val="14"/>
          <w:szCs w:val="14"/>
          <w:color w:val="auto"/>
        </w:rPr>
        <w:t>provided, however, that no event described in clause (d) or (other than with respect to a payment default) (g) above shall constitute an Event of Default hereunder until the Trustee or the Holders of 25% or more in aggregate principal amount of the Securities of such series then Outstanding, notify the Company (and the Trustee in case of notice by the Holders) of the Default, specifying the Default, requiring the Company to remedy the same and stating that such notice is a “Notice of Default” hereunder.</w:t>
      </w:r>
    </w:p>
    <w:p>
      <w:pPr>
        <w:spacing w:after="0" w:line="136" w:lineRule="exact"/>
        <w:rPr>
          <w:sz w:val="20"/>
          <w:szCs w:val="20"/>
          <w:color w:val="auto"/>
        </w:rPr>
      </w:pPr>
    </w:p>
    <w:p>
      <w:pPr>
        <w:ind w:right="20" w:firstLine="508"/>
        <w:spacing w:after="0" w:line="257" w:lineRule="auto"/>
        <w:rPr>
          <w:sz w:val="20"/>
          <w:szCs w:val="20"/>
          <w:color w:val="auto"/>
        </w:rPr>
      </w:pPr>
      <w:r>
        <w:rPr>
          <w:rFonts w:ascii="Times New Roman" w:cs="Times New Roman" w:eastAsia="Times New Roman" w:hAnsi="Times New Roman"/>
          <w:sz w:val="14"/>
          <w:szCs w:val="14"/>
          <w:color w:val="auto"/>
        </w:rPr>
        <w:t>Notwithstanding the foregoing provisions of this Section 7.01, if the principal or any premium or interest on any Security is payable in a Currency other than the Currency of the United States and such Currency is not available to the Company for making payment thereof due to the imposition of exchange controls or other circumstances beyond the control of the Company, the Company will be entitled to satisfy its obligations to Holders of the Securities by making such payment in the Currency of the United States in an amount equal to the Currency of the United States equivalent of the amount payable in such other Currency, as determined by the Company’s agent in accordance with Section 3.11(c) hereof by reference to the noon buying rate in The City of New York for cable transfers for such Currency (“Exchange Rate”), as such Exchange Rate is reported or otherwise made available by the Federal Reserve Bank of New York on the date of such payment, or, if such rate is not then available, on the basis of the most recently available Exchange Rate. Notwithstanding the foregoing provisions of this Section 7.01, any payment made under such circumstances in the Currency of the United States where the required payment is in a Currency other than the Currency of the United States will not constitute an Event of Default under this Indenture.</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7.02   </w:t>
      </w:r>
      <w:r>
        <w:rPr>
          <w:rFonts w:ascii="Times New Roman" w:cs="Times New Roman" w:eastAsia="Times New Roman" w:hAnsi="Times New Roman"/>
          <w:sz w:val="14"/>
          <w:szCs w:val="14"/>
          <w:u w:val="single" w:color="auto"/>
          <w:color w:val="auto"/>
        </w:rPr>
        <w:t>  Acceleration; Rescission and Annulment</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firstLine="1271"/>
        <w:spacing w:after="0" w:line="256" w:lineRule="auto"/>
        <w:rPr>
          <w:sz w:val="20"/>
          <w:szCs w:val="20"/>
          <w:color w:val="auto"/>
        </w:rPr>
      </w:pPr>
      <w:r>
        <w:rPr>
          <w:rFonts w:ascii="Times New Roman" w:cs="Times New Roman" w:eastAsia="Times New Roman" w:hAnsi="Times New Roman"/>
          <w:sz w:val="14"/>
          <w:szCs w:val="14"/>
          <w:color w:val="auto"/>
        </w:rPr>
        <w:t>(a)          Except as otherwise provided as contemplated by Section 3.01 with respect to any series of Securities, if any one or more of the above-described Events of Default (other than an Event of Default specified in Section 7.01(e) or 7.01(f)) shall happen with respect to Securities of any series at the time Outstanding, then, and in each and every such case, during the continuance of any such Event of Default, the Trustee or the Holders of 25% or more in principal amount of the Securities of such series then Outstanding may declare the principal (or, if the Securities of that series are Original Issue Discount Securities, such portion of the principal amount as may be specified in the terms of that series) of and all accrued and unpaid interest on all the Securities of such series then Outstanding to be due and payable immediately by a notice in writing to the Company (and to the Trustee if given by Holders), and upon any such acceleration such principal amount (or specified amount) and accrued and unpaid interest thereon shall become immediately due and payable. If an Event of Default specified in Section 7.01(e) or 7.01(f) occurs and is continuing, then in every such case, the principal amount (or, if the Securities of that series are Original Issue Discount Securities, such portion of the principal amount as may be specified by the terms of that series) of and accrued and unpaid interest on all of the Securities of that series then Outstanding shall automatically, and without any acceleration or any other action on the part of the Trustee or any Holder, become due and payable immediately. Upon payment of such amounts in the Currency in which such Securities are denominated (subject to the last paragraph of Section 7.01 and except as otherwise provided pursuant to Section 3.01), all obligations of the Company in respect of the payment of principal of and interest on the Securities of such series shall terminate.</w:t>
      </w: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20"/>
          </w:cols>
          <w:pgMar w:left="300" w:top="739" w:right="379" w:bottom="1440" w:gutter="0" w:footer="0" w:header="0"/>
        </w:sectPr>
      </w:pPr>
    </w:p>
    <w:bookmarkStart w:id="88" w:name="page89"/>
    <w:bookmarkEnd w:id="88"/>
    <w:p>
      <w:pPr>
        <w:ind w:right="40" w:firstLine="1271"/>
        <w:spacing w:after="0" w:line="263" w:lineRule="auto"/>
        <w:rPr>
          <w:sz w:val="20"/>
          <w:szCs w:val="20"/>
          <w:color w:val="auto"/>
        </w:rPr>
      </w:pPr>
      <w:r>
        <w:rPr>
          <w:rFonts w:ascii="Times New Roman" w:cs="Times New Roman" w:eastAsia="Times New Roman" w:hAnsi="Times New Roman"/>
          <w:sz w:val="14"/>
          <w:szCs w:val="14"/>
          <w:color w:val="auto"/>
        </w:rPr>
        <w:t>(b)          The provisions of Section 7.02(a), however, are subject to the condition that, at any time after the principal and accrued and unpaid interest on all the Securities of such series, to which any one or more of the above-described Events of Default is applicable, shall have been so declared to be or shall have automatically become due and payable, and before a judgment or decree for payment of the money due has been obtained by the Trustee as hereinafter provided in this Article, Holders of a majority in principal amount of the Securities of that series then Outstanding, by written notice to the Company and the Trustee, may rescind and annul such acceleration if:</w:t>
      </w:r>
    </w:p>
    <w:p>
      <w:pPr>
        <w:spacing w:after="0" w:line="142" w:lineRule="exact"/>
        <w:rPr>
          <w:sz w:val="20"/>
          <w:szCs w:val="20"/>
          <w:color w:val="auto"/>
        </w:rPr>
      </w:pPr>
    </w:p>
    <w:p>
      <w:pPr>
        <w:ind w:left="520" w:right="520" w:firstLine="1271"/>
        <w:spacing w:after="0" w:line="286" w:lineRule="auto"/>
        <w:rPr>
          <w:sz w:val="20"/>
          <w:szCs w:val="20"/>
          <w:color w:val="auto"/>
        </w:rPr>
      </w:pPr>
      <w:r>
        <w:rPr>
          <w:rFonts w:ascii="Times New Roman" w:cs="Times New Roman" w:eastAsia="Times New Roman" w:hAnsi="Times New Roman"/>
          <w:sz w:val="14"/>
          <w:szCs w:val="14"/>
          <w:color w:val="auto"/>
        </w:rPr>
        <w:t>(i)          the Company has paid or deposited with the Trustee or Paying Agent a sum in the Currency in which such Securities are denominated (subject to the last paragraph of Section 7.01 and except as otherwise provided pursuant to Section 3.01) sufficient to pay:</w:t>
      </w:r>
    </w:p>
    <w:p>
      <w:pPr>
        <w:spacing w:after="0" w:line="125" w:lineRule="exact"/>
        <w:rPr>
          <w:sz w:val="20"/>
          <w:szCs w:val="20"/>
          <w:color w:val="auto"/>
        </w:rPr>
      </w:pPr>
    </w:p>
    <w:p>
      <w:pPr>
        <w:ind w:left="1020" w:right="120" w:firstLine="1779"/>
        <w:spacing w:after="0" w:line="286" w:lineRule="auto"/>
        <w:rPr>
          <w:sz w:val="20"/>
          <w:szCs w:val="20"/>
          <w:color w:val="auto"/>
        </w:rPr>
      </w:pPr>
      <w:r>
        <w:rPr>
          <w:rFonts w:ascii="Times New Roman" w:cs="Times New Roman" w:eastAsia="Times New Roman" w:hAnsi="Times New Roman"/>
          <w:sz w:val="14"/>
          <w:szCs w:val="14"/>
          <w:color w:val="auto"/>
        </w:rPr>
        <w:t>(A)         all amounts owing the Trustee and any predecessor trustee hereunder under Section 11.01(a) (provided, however, that all sums payable under this clause (A) shall be paid in U.S. Dollars);</w:t>
      </w:r>
    </w:p>
    <w:p>
      <w:pPr>
        <w:spacing w:after="0" w:line="125" w:lineRule="exact"/>
        <w:rPr>
          <w:sz w:val="20"/>
          <w:szCs w:val="20"/>
          <w:color w:val="auto"/>
        </w:rPr>
      </w:pPr>
    </w:p>
    <w:p>
      <w:pPr>
        <w:ind w:left="1020" w:right="280" w:firstLine="1779"/>
        <w:spacing w:after="0" w:line="286" w:lineRule="auto"/>
        <w:rPr>
          <w:sz w:val="20"/>
          <w:szCs w:val="20"/>
          <w:color w:val="auto"/>
        </w:rPr>
      </w:pPr>
      <w:r>
        <w:rPr>
          <w:rFonts w:ascii="Times New Roman" w:cs="Times New Roman" w:eastAsia="Times New Roman" w:hAnsi="Times New Roman"/>
          <w:sz w:val="14"/>
          <w:szCs w:val="14"/>
          <w:color w:val="auto"/>
        </w:rPr>
        <w:t>(B)          all accrued and unpaid interest, if any, upon all the Securities of such series with interest thereon to the extent that interest thereon shall be legally enforceable, on any overdue installment of interest at the rate borne by or prescribed in such Securities; and</w:t>
      </w:r>
    </w:p>
    <w:p>
      <w:pPr>
        <w:spacing w:after="0" w:line="125" w:lineRule="exact"/>
        <w:rPr>
          <w:sz w:val="20"/>
          <w:szCs w:val="20"/>
          <w:color w:val="auto"/>
        </w:rPr>
      </w:pPr>
    </w:p>
    <w:p>
      <w:pPr>
        <w:ind w:left="1020" w:right="320" w:firstLine="1779"/>
        <w:spacing w:after="0" w:line="269" w:lineRule="auto"/>
        <w:rPr>
          <w:sz w:val="20"/>
          <w:szCs w:val="20"/>
          <w:color w:val="auto"/>
        </w:rPr>
      </w:pPr>
      <w:r>
        <w:rPr>
          <w:rFonts w:ascii="Times New Roman" w:cs="Times New Roman" w:eastAsia="Times New Roman" w:hAnsi="Times New Roman"/>
          <w:sz w:val="14"/>
          <w:szCs w:val="14"/>
          <w:color w:val="auto"/>
        </w:rPr>
        <w:t>(C)          the principal of and accrued and unpaid premium, if any, on any Securities of such series that have become due otherwise than by such acceleration with interest thereon to the extent that interest thereon shall be legally enforceable, on any overdue installment of interest at the rate borne by or prescribed in such Securities; and</w:t>
      </w:r>
    </w:p>
    <w:p>
      <w:pPr>
        <w:spacing w:after="0" w:line="136" w:lineRule="exact"/>
        <w:rPr>
          <w:sz w:val="20"/>
          <w:szCs w:val="20"/>
          <w:color w:val="auto"/>
        </w:rPr>
      </w:pPr>
    </w:p>
    <w:p>
      <w:pPr>
        <w:ind w:left="520" w:right="180" w:firstLine="1271"/>
        <w:spacing w:after="0" w:line="286" w:lineRule="auto"/>
        <w:rPr>
          <w:sz w:val="20"/>
          <w:szCs w:val="20"/>
          <w:color w:val="auto"/>
        </w:rPr>
      </w:pPr>
      <w:r>
        <w:rPr>
          <w:rFonts w:ascii="Times New Roman" w:cs="Times New Roman" w:eastAsia="Times New Roman" w:hAnsi="Times New Roman"/>
          <w:sz w:val="14"/>
          <w:szCs w:val="14"/>
          <w:color w:val="auto"/>
        </w:rPr>
        <w:t>(ii)          every other Default and Event of Default with respect to Securities of that series, other than the non-payment of the principal of Securities of that series which have become due solely by such acceleration, have been cured or waived as provided in Section 7.06.</w:t>
      </w:r>
    </w:p>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(c)          No such rescission shall affect any subsequent default or impair any right consequent thereon.</w:t>
      </w:r>
    </w:p>
    <w:p>
      <w:pPr>
        <w:spacing w:after="0" w:line="178" w:lineRule="exact"/>
        <w:rPr>
          <w:sz w:val="20"/>
          <w:szCs w:val="20"/>
          <w:color w:val="auto"/>
        </w:rPr>
      </w:pPr>
    </w:p>
    <w:p>
      <w:pPr>
        <w:ind w:firstLine="1271"/>
        <w:spacing w:after="0" w:line="261" w:lineRule="auto"/>
        <w:rPr>
          <w:sz w:val="20"/>
          <w:szCs w:val="20"/>
          <w:color w:val="auto"/>
        </w:rPr>
      </w:pPr>
      <w:r>
        <w:rPr>
          <w:rFonts w:ascii="Times New Roman" w:cs="Times New Roman" w:eastAsia="Times New Roman" w:hAnsi="Times New Roman"/>
          <w:sz w:val="14"/>
          <w:szCs w:val="14"/>
          <w:color w:val="auto"/>
        </w:rPr>
        <w:t>(d)          For all purposes under this Indenture, if a portion of the principal of any Original Issue Discount Securities shall have been accelerated and declared due and payable pursuant to the provisions hereof, then, from and after such acceleration, unless such acceleration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40"/>
          </w:cols>
          <w:pgMar w:left="300" w:top="739" w:right="359" w:bottom="1440" w:gutter="0" w:footer="0" w:header="0"/>
        </w:sectPr>
      </w:pPr>
    </w:p>
    <w:bookmarkStart w:id="89" w:name="page90"/>
    <w:bookmarkEnd w:id="89"/>
    <w:p>
      <w:pPr>
        <w:ind w:right="40" w:firstLine="508"/>
        <w:spacing w:after="0" w:line="259" w:lineRule="auto"/>
        <w:rPr>
          <w:sz w:val="20"/>
          <w:szCs w:val="20"/>
          <w:color w:val="auto"/>
        </w:rPr>
      </w:pPr>
      <w:r>
        <w:rPr>
          <w:rFonts w:ascii="Times New Roman" w:cs="Times New Roman" w:eastAsia="Times New Roman" w:hAnsi="Times New Roman"/>
          <w:sz w:val="14"/>
          <w:szCs w:val="14"/>
          <w:color w:val="auto"/>
        </w:rPr>
        <w:t>Section 7.03   </w:t>
      </w:r>
      <w:r>
        <w:rPr>
          <w:rFonts w:ascii="Times New Roman" w:cs="Times New Roman" w:eastAsia="Times New Roman" w:hAnsi="Times New Roman"/>
          <w:sz w:val="14"/>
          <w:szCs w:val="14"/>
          <w:u w:val="single" w:color="auto"/>
          <w:color w:val="auto"/>
        </w:rPr>
        <w:t>  Other Remedies</w:t>
      </w:r>
      <w:r>
        <w:rPr>
          <w:rFonts w:ascii="Times New Roman" w:cs="Times New Roman" w:eastAsia="Times New Roman" w:hAnsi="Times New Roman"/>
          <w:sz w:val="14"/>
          <w:szCs w:val="14"/>
          <w:color w:val="auto"/>
        </w:rPr>
        <w:t>. If the Company shall fail for a period of 30 days to pay any installment of interest on the Securities of any series or shall fail to pay any principal of and premium, if any, on any of the Securities of such series when and as the same shall become due and payable, whether at Maturity, or by call for redemption (other than pursuant to the sinking fund), by acceleration as authorized by this Indenture, or otherwise, or shall fail for a period of 30 days to make any required sinking fund payment as to a series of Securities, then, upon demand of the Trustee, the Company will pay to the Paying Agent for the benefit of the Holders of Securities of such series then Outstanding the whole amount which then shall have become due and payable on all the Securities of such series for principal, premium, if any, and accrued and unpaid interest, with interest (so far as the same may be legally enforceable) on the overdue principal and on the overdue premium, if any, and accrued and unpaid interest at the rate borne by or prescribed in such Securities, and all amounts owing the Trustee and any predecessor trustee hereunder under Section 11.01(a).</w:t>
      </w:r>
    </w:p>
    <w:p>
      <w:pPr>
        <w:spacing w:after="0" w:line="144" w:lineRule="exact"/>
        <w:rPr>
          <w:sz w:val="20"/>
          <w:szCs w:val="20"/>
          <w:color w:val="auto"/>
        </w:rPr>
      </w:pPr>
    </w:p>
    <w:p>
      <w:pPr>
        <w:ind w:right="40" w:firstLine="508"/>
        <w:spacing w:after="0" w:line="258" w:lineRule="auto"/>
        <w:rPr>
          <w:sz w:val="20"/>
          <w:szCs w:val="20"/>
          <w:color w:val="auto"/>
        </w:rPr>
      </w:pPr>
      <w:r>
        <w:rPr>
          <w:rFonts w:ascii="Times New Roman" w:cs="Times New Roman" w:eastAsia="Times New Roman" w:hAnsi="Times New Roman"/>
          <w:sz w:val="14"/>
          <w:szCs w:val="14"/>
          <w:color w:val="auto"/>
        </w:rPr>
        <w:t>In case the Company shall fail forthwith to pay such amounts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Company or any other obligor upon the Securities of such series, and collect the moneys adjudged or decreed to be payable out of the property of the Company or any other obligor upon the Securities of such series, wherever situated, in the manner provided by law. Every recovery of judgment in any such action or other proceeding, subject to the payment to the Trustee of all amounts owing the Trustee and any predecessor trustee hereunder under Section 11.01(a), shall be for the ratable benefit of the Holders of such series of Securities which shall be the subject of such action or proceeding. All rights of action upon or under any of the Securities or this Indenture may be enforced by the Trustee without the possession of any of the Securities and without the production of any thereof at any trial or any proceeding relative thereto.</w:t>
      </w:r>
    </w:p>
    <w:p>
      <w:pPr>
        <w:spacing w:after="0" w:line="144" w:lineRule="exact"/>
        <w:rPr>
          <w:sz w:val="20"/>
          <w:szCs w:val="20"/>
          <w:color w:val="auto"/>
        </w:rPr>
      </w:pPr>
    </w:p>
    <w:p>
      <w:pPr>
        <w:ind w:firstLine="508"/>
        <w:spacing w:after="0" w:line="255" w:lineRule="auto"/>
        <w:rPr>
          <w:sz w:val="20"/>
          <w:szCs w:val="20"/>
          <w:color w:val="auto"/>
        </w:rPr>
      </w:pPr>
      <w:r>
        <w:rPr>
          <w:rFonts w:ascii="Times New Roman" w:cs="Times New Roman" w:eastAsia="Times New Roman" w:hAnsi="Times New Roman"/>
          <w:sz w:val="14"/>
          <w:szCs w:val="14"/>
          <w:color w:val="auto"/>
        </w:rPr>
        <w:t>Section 7.04   </w:t>
      </w:r>
      <w:r>
        <w:rPr>
          <w:rFonts w:ascii="Times New Roman" w:cs="Times New Roman" w:eastAsia="Times New Roman" w:hAnsi="Times New Roman"/>
          <w:sz w:val="14"/>
          <w:szCs w:val="14"/>
          <w:u w:val="single" w:color="auto"/>
          <w:color w:val="auto"/>
        </w:rPr>
        <w:t>  Trustee as Attorney-in-Fact</w:t>
      </w:r>
      <w:r>
        <w:rPr>
          <w:rFonts w:ascii="Times New Roman" w:cs="Times New Roman" w:eastAsia="Times New Roman" w:hAnsi="Times New Roman"/>
          <w:sz w:val="14"/>
          <w:szCs w:val="14"/>
          <w:color w:val="auto"/>
        </w:rPr>
        <w:t>. The Trustee is hereby appointed, and each and every Holder of the Securities, by receiving and holding the same, shall be conclusively deemed to have appointed the Trustee, the true and lawful attorney-in-fact of such Holder, with authority to make or file (whether or not the Company shall be in Default in respect of the payment of the principal of, premium, if any, or interest on, any of the Securities), in its own name and as trustee of an express trust or otherwise as it shall deem advisable, in any receivership, insolvency, liquidation, bankruptcy, reorganization or other judicial proceeding relative to the Company or any other obligor upon the Securities or to their respective creditors or property, any and all claims, proofs of claim, proofs of debt, petitions, consents, other papers and documents and amendments of any thereof, as may be necessary or advisable in order to have the claims of the Trustee and any predecessor trustee hereunder and of the Holders of the Securities allowed in any such proceeding and to collect and receive any moneys or other property payable or deliverable on any such claim, and to execute and deliver any and all other papers and documents and to do and perform any and all other acts and things, as it may deem necessary or advisable in order to enforce in any such proceeding any of the claims of the Trustee and any predecessor trustee hereunder and of any of such Holders in respect of any of the Securities; and any receiver, assignee, trustee, custodian or debtor in any such proceeding is hereby authorized, and each and every taker or Holder of the Securities, by receiving and holding the same, shall be conclusively deemed to have authorized any such receiver, assignee, trustee, custodian or debtor, to make any such payment or delivery only to or on the order of the Trustee, and to pay to the Trustee any amount due it and any predecessor trustee hereunder under Section 11.01(a); provided, however, that nothing herein contained shall be deemed to authorize or empower the Trustee to consent to or accept or adopt, on behalf of any Holder of Securities, any plan of reorganization or readjustment affecting the Securities or the rights of any Holder thereof, or to authorize or empower the Trustee to vote in respect of the claim of any Holder of any Securities in any such proceeding.</w:t>
      </w:r>
    </w:p>
    <w:p>
      <w:pPr>
        <w:spacing w:after="0" w:line="3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90" w:name="page91"/>
    <w:bookmarkEnd w:id="90"/>
    <w:p>
      <w:pPr>
        <w:ind w:firstLine="508"/>
        <w:spacing w:after="0" w:line="269" w:lineRule="auto"/>
        <w:rPr>
          <w:sz w:val="20"/>
          <w:szCs w:val="20"/>
          <w:color w:val="auto"/>
        </w:rPr>
      </w:pPr>
      <w:r>
        <w:rPr>
          <w:rFonts w:ascii="Times New Roman" w:cs="Times New Roman" w:eastAsia="Times New Roman" w:hAnsi="Times New Roman"/>
          <w:sz w:val="14"/>
          <w:szCs w:val="14"/>
          <w:color w:val="auto"/>
        </w:rPr>
        <w:t>Section 7.05   </w:t>
      </w:r>
      <w:r>
        <w:rPr>
          <w:rFonts w:ascii="Times New Roman" w:cs="Times New Roman" w:eastAsia="Times New Roman" w:hAnsi="Times New Roman"/>
          <w:sz w:val="14"/>
          <w:szCs w:val="14"/>
          <w:u w:val="single" w:color="auto"/>
          <w:color w:val="auto"/>
        </w:rPr>
        <w:t>  Priorities</w:t>
      </w:r>
      <w:r>
        <w:rPr>
          <w:rFonts w:ascii="Times New Roman" w:cs="Times New Roman" w:eastAsia="Times New Roman" w:hAnsi="Times New Roman"/>
          <w:sz w:val="14"/>
          <w:szCs w:val="14"/>
          <w:color w:val="auto"/>
        </w:rPr>
        <w:t>. Any moneys or properties collected by the Trustee with respect to a series of Securities under this Article VII shall be applied in the order following, at the date or dates fixed by the Trustee for the distribution of such moneys or properties and, in the case of the distribution of such moneys or properties on account of the Securities of any series, upon presentation of the Securities of such series, and stamping thereon the payment, if only partially paid, and upon surrender thereof, if fully paid:</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First: To the payment of all amounts due to the Trustee and any predecessor trustee hereunder under Section 11.01(a).</w:t>
      </w:r>
    </w:p>
    <w:p>
      <w:pPr>
        <w:spacing w:after="0" w:line="178" w:lineRule="exact"/>
        <w:rPr>
          <w:sz w:val="20"/>
          <w:szCs w:val="20"/>
          <w:color w:val="auto"/>
        </w:rPr>
      </w:pPr>
    </w:p>
    <w:p>
      <w:pPr>
        <w:ind w:left="520" w:right="60" w:firstLine="508"/>
        <w:spacing w:after="0" w:line="269" w:lineRule="auto"/>
        <w:rPr>
          <w:sz w:val="20"/>
          <w:szCs w:val="20"/>
          <w:color w:val="auto"/>
        </w:rPr>
      </w:pPr>
      <w:r>
        <w:rPr>
          <w:rFonts w:ascii="Times New Roman" w:cs="Times New Roman" w:eastAsia="Times New Roman" w:hAnsi="Times New Roman"/>
          <w:sz w:val="14"/>
          <w:szCs w:val="14"/>
          <w:color w:val="auto"/>
        </w:rPr>
        <w:t>Second: Subject to Article XV (to the extent applicable to any series of Securities then outstanding), to the payment of the amounts then due and unpaid for principal of and any premium and interest on the Outstanding Securities of such series in respect of which or for the benefit of which such money has been collected, ratably, without preference or priority of any kind, according to the amounts due and payable on such Outstanding Securities for principal and any premium and interest,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surplus then remaining shall be paid to the Company or as directed by a court of competent jurisdiction.</w:t>
      </w:r>
    </w:p>
    <w:p>
      <w:pPr>
        <w:spacing w:after="0" w:line="178" w:lineRule="exact"/>
        <w:rPr>
          <w:sz w:val="20"/>
          <w:szCs w:val="20"/>
          <w:color w:val="auto"/>
        </w:rPr>
      </w:pPr>
    </w:p>
    <w:p>
      <w:pPr>
        <w:ind w:right="20" w:firstLine="508"/>
        <w:spacing w:after="0" w:line="255" w:lineRule="auto"/>
        <w:rPr>
          <w:sz w:val="20"/>
          <w:szCs w:val="20"/>
          <w:color w:val="auto"/>
        </w:rPr>
      </w:pPr>
      <w:r>
        <w:rPr>
          <w:rFonts w:ascii="Times New Roman" w:cs="Times New Roman" w:eastAsia="Times New Roman" w:hAnsi="Times New Roman"/>
          <w:sz w:val="14"/>
          <w:szCs w:val="14"/>
          <w:color w:val="auto"/>
        </w:rPr>
        <w:t>Section 7.06   </w:t>
      </w:r>
      <w:r>
        <w:rPr>
          <w:rFonts w:ascii="Times New Roman" w:cs="Times New Roman" w:eastAsia="Times New Roman" w:hAnsi="Times New Roman"/>
          <w:sz w:val="14"/>
          <w:szCs w:val="14"/>
          <w:u w:val="single" w:color="auto"/>
          <w:color w:val="auto"/>
        </w:rPr>
        <w:t>  Control by Securityholders; Waiver of Past Defaults</w:t>
      </w:r>
      <w:r>
        <w:rPr>
          <w:rFonts w:ascii="Times New Roman" w:cs="Times New Roman" w:eastAsia="Times New Roman" w:hAnsi="Times New Roman"/>
          <w:sz w:val="14"/>
          <w:szCs w:val="14"/>
          <w:color w:val="auto"/>
        </w:rPr>
        <w:t>. The Holders of a majority in principal amount of the Securities of any series at the time Outstanding may direct the time, method and place of conducting any proceeding for any remedy available to the Trustee hereunder, or of exercising any trust or power hereby conferred upon the Trustee with respect to the Securities of such series, provided, however, that, subject to the provisions of Sections 11.01 and 11.02, the Trustee shall have the right to decline to follow any such direction if the Trustee being advised by counsel determines that the action so directed may not lawfully be taken or would be unduly prejudicial to Holders not joining in such direction or would involve the Trustee in personal liability (it being understood that the Trustee has no affirmative duty to determine whether any action is unduly prejudicial to any Holder of a Security). Prior to any acceleration of the Maturity of the Securities of any series, the Holders of a majority in aggregate principal amount of such series of Securities at the time Outstanding may on behalf of the Holders of all of the Securities of such series waive any past Default or Event of Default hereunder and its consequences except a Default in the payment of interest or any premium on or the principal of the Securities of such series and except as to a covenant or condition which under Section 14.02 cannot be modified or amended without the consent of the Holder of each Outstanding Security of such series affected, in which case the consent of the Holder of each Outstanding Security of such series affected shall be required for such waiver. Upon any such waiver the Company, the Trustee and the Holders of the Securities of such series shall be restored to their former positions and rights hereunder, respectively; but no such waiver shall extend to any subsequent or other Default or Event of Default or impair any right consequent thereon. Whenever any Default or Event of Default hereunder shall have been waived as permitted by this Section 7.06, said Default or Event of Default shall for all purposes of the Securities of such series and this Indenture be deemed to have been cured and to be not continuing.</w:t>
      </w:r>
    </w:p>
    <w:p>
      <w:pPr>
        <w:spacing w:after="0" w:line="3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91" w:name="page92"/>
    <w:bookmarkEnd w:id="91"/>
    <w:p>
      <w:pPr>
        <w:ind w:firstLine="508"/>
        <w:spacing w:after="0" w:line="255" w:lineRule="auto"/>
        <w:rPr>
          <w:sz w:val="20"/>
          <w:szCs w:val="20"/>
          <w:color w:val="auto"/>
        </w:rPr>
      </w:pPr>
      <w:r>
        <w:rPr>
          <w:rFonts w:ascii="Times New Roman" w:cs="Times New Roman" w:eastAsia="Times New Roman" w:hAnsi="Times New Roman"/>
          <w:sz w:val="14"/>
          <w:szCs w:val="14"/>
          <w:color w:val="auto"/>
        </w:rPr>
        <w:t>Section 7.07   </w:t>
      </w:r>
      <w:r>
        <w:rPr>
          <w:rFonts w:ascii="Times New Roman" w:cs="Times New Roman" w:eastAsia="Times New Roman" w:hAnsi="Times New Roman"/>
          <w:sz w:val="14"/>
          <w:szCs w:val="14"/>
          <w:u w:val="single" w:color="auto"/>
          <w:color w:val="auto"/>
        </w:rPr>
        <w:t>  Limitation on Suits</w:t>
      </w:r>
      <w:r>
        <w:rPr>
          <w:rFonts w:ascii="Times New Roman" w:cs="Times New Roman" w:eastAsia="Times New Roman" w:hAnsi="Times New Roman"/>
          <w:sz w:val="14"/>
          <w:szCs w:val="14"/>
          <w:color w:val="auto"/>
        </w:rPr>
        <w:t>. No Holder of any Security of any series shall have any right to institute any action, suit or proceeding at law or in equity for the execution of any trust hereunder or for the appointment of a receiver or for any other remedy hereunder, in each case with respect to an Event of Default with respect to such series of Securities, unless such Holder previously shall have given to the Trustee written notice of one or more of the Events of Default herein specified with respect to such series of Securities, and unless also the Holders of 25% or more in principal amount of the Securities of such series then Outstanding shall have requested the Trustee in writing to take action in respect of the matter complained of, and unless also there shall have been offered (and, if requested, provided) to the Trustee security and indemnity satisfactory to it against the costs, expenses and liabilities to be incurred therein or thereby, and the Trustee, for 60 days after receipt of such notification, request and offer of security or indemnity, shall have neglected or refused to institute any such action, suit or proceeding; and such notification, request and offer of security or indemnity are hereby declared in every such case to be conditions precedent to any such action, suit or proceeding by any Holder of any Security of such series; it being understood and intended that no one or more of the Holders of Securities of such series shall have any right in any manner whatsoever by his, her, its or their action to enforce any right hereunder, except in the manner herein provided, and that every action, suit or proceeding at law or in equity shall be instituted, had and maintained in the manner herein provided and for the equal benefit of all Holders of the Outstanding Securities of such series; provided, however, that nothing in this Indenture or in the Securities of such series shall affect or impair the obligation of the Company, which is absolute and unconditional, to pay the principal of, premium, if any, and interest on the Securities of such series to the respective Holders of such Securities at the respective due dates in such Securities stated, or affect or impair the right, which is also absolute and unconditional, of such Holders to institute suit to enforce the payment thereof.</w:t>
      </w:r>
    </w:p>
    <w:p>
      <w:pPr>
        <w:spacing w:after="0" w:line="150" w:lineRule="exact"/>
        <w:rPr>
          <w:sz w:val="20"/>
          <w:szCs w:val="20"/>
          <w:color w:val="auto"/>
        </w:rPr>
      </w:pPr>
    </w:p>
    <w:p>
      <w:pPr>
        <w:ind w:right="40" w:firstLine="508"/>
        <w:spacing w:after="0" w:line="257" w:lineRule="auto"/>
        <w:rPr>
          <w:sz w:val="20"/>
          <w:szCs w:val="20"/>
          <w:color w:val="auto"/>
        </w:rPr>
      </w:pPr>
      <w:r>
        <w:rPr>
          <w:rFonts w:ascii="Times New Roman" w:cs="Times New Roman" w:eastAsia="Times New Roman" w:hAnsi="Times New Roman"/>
          <w:sz w:val="14"/>
          <w:szCs w:val="14"/>
          <w:color w:val="auto"/>
        </w:rPr>
        <w:t>Section 7.08   </w:t>
      </w:r>
      <w:r>
        <w:rPr>
          <w:rFonts w:ascii="Times New Roman" w:cs="Times New Roman" w:eastAsia="Times New Roman" w:hAnsi="Times New Roman"/>
          <w:sz w:val="14"/>
          <w:szCs w:val="14"/>
          <w:u w:val="single" w:color="auto"/>
          <w:color w:val="auto"/>
        </w:rPr>
        <w:t>  Undertaking for Costs</w:t>
      </w:r>
      <w:r>
        <w:rPr>
          <w:rFonts w:ascii="Times New Roman" w:cs="Times New Roman" w:eastAsia="Times New Roman" w:hAnsi="Times New Roman"/>
          <w:sz w:val="14"/>
          <w:szCs w:val="14"/>
          <w:color w:val="auto"/>
        </w:rPr>
        <w:t>. All parties to this Indenture and each Holder of any Security, by such Holder’s acceptance thereof, shall be deemed to have agreed that any court may in its discretion require, in any action, suit or proceeding for the enforcement of any right or remedy under this Indenture, or in any action, suit or proceeding against the Trustee for any action taken or omitted by it as Trustee, the filing by any party litigant in such action, suit or proceeding of an undertaking to pay the costs of such action, suit or proceeding, and that such court may in its discretion assess reasonable costs, including reasonable attorneys’ fees and expenses, against any party litigant in such action, suit or proceeding, having due regard to the merits and good faith of the claims or defenses made by such party litigant; provided, however, that the provisions of this Section 7.08 shall not apply to any action, suit or proceeding instituted by the Trustee, to any action, suit or proceeding instituted by any one or more Holders of Securities holding in the aggregate more than 10% in principal amount of the Securities of any series Outstanding, or to any action, suit or proceeding instituted by any Holder of Securities of any series for the enforcement of the payment of the principal of or premium, if any, or the interest on, any of the Securities of such series, on or after the respective due dates expressed in such Securities.</w:t>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92" w:name="page93"/>
    <w:bookmarkEnd w:id="92"/>
    <w:p>
      <w:pPr>
        <w:ind w:right="60" w:firstLine="508"/>
        <w:spacing w:after="0" w:line="256" w:lineRule="auto"/>
        <w:rPr>
          <w:sz w:val="20"/>
          <w:szCs w:val="20"/>
          <w:color w:val="auto"/>
        </w:rPr>
      </w:pPr>
      <w:r>
        <w:rPr>
          <w:rFonts w:ascii="Times New Roman" w:cs="Times New Roman" w:eastAsia="Times New Roman" w:hAnsi="Times New Roman"/>
          <w:sz w:val="14"/>
          <w:szCs w:val="14"/>
          <w:color w:val="auto"/>
        </w:rPr>
        <w:t>Section 7.09   </w:t>
      </w:r>
      <w:r>
        <w:rPr>
          <w:rFonts w:ascii="Times New Roman" w:cs="Times New Roman" w:eastAsia="Times New Roman" w:hAnsi="Times New Roman"/>
          <w:sz w:val="14"/>
          <w:szCs w:val="14"/>
          <w:u w:val="single" w:color="auto"/>
          <w:color w:val="auto"/>
        </w:rPr>
        <w:t>  Remedies Cumulative</w:t>
      </w:r>
      <w:r>
        <w:rPr>
          <w:rFonts w:ascii="Times New Roman" w:cs="Times New Roman" w:eastAsia="Times New Roman" w:hAnsi="Times New Roman"/>
          <w:sz w:val="14"/>
          <w:szCs w:val="14"/>
          <w:color w:val="auto"/>
        </w:rPr>
        <w:t>. No remedy herein conferred upon or reserved to the Trustee or to the Holders of Securities of any series is intended to be exclusive of any other remedy or remedies, and each and every remedy shall be cumulative and shall be in addition to every other remedy given hereunder or now or hereafter existing at law or in equity or by statute. No delay or omission of the Trustee or of any Holder of the Securities of any series to exercise any right or power accruing upon any Default or Event of Default shall impair any such right or power or shall be construed to be a waiver of any such Default or Event of Default or an acquiescence therein; and every power and remedy given by this Article VII to the Trustee and to the Holders of Securities of any series, respectively, may be exercised from time to time and as often as may be deemed expedient by the Trustee or by the Holders of Securities of such series, as the case may be. In case the Trustee or any Holder of Securities of any series shall have proceeded to enforce any right under this Indenture and the proceedings for the enforcement thereof shall have been discontinued or abandoned because of waiver or for any other reason or shall have been adjudicated adversely to the Trustee or to such Holder of Securities, then and in every such case the Company, the Trustee and the Holders of the Securities of such series shall severally and respectively be restored to their former positions and rights hereunder, and thereafter all rights, remedies and powers of the Trustee and the Holders of the Securities of such series shall continue as though no such proceedings had been taken, except as to any matters so waived or adjudicated.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CONCERNING THE SECURITYHOLDERS</w:t>
      </w:r>
    </w:p>
    <w:p>
      <w:pPr>
        <w:spacing w:after="0" w:line="180" w:lineRule="exact"/>
        <w:rPr>
          <w:sz w:val="20"/>
          <w:szCs w:val="20"/>
          <w:color w:val="auto"/>
        </w:rPr>
      </w:pPr>
    </w:p>
    <w:p>
      <w:pPr>
        <w:ind w:firstLine="508"/>
        <w:spacing w:after="0" w:line="258" w:lineRule="auto"/>
        <w:rPr>
          <w:sz w:val="20"/>
          <w:szCs w:val="20"/>
          <w:color w:val="auto"/>
        </w:rPr>
      </w:pPr>
      <w:r>
        <w:rPr>
          <w:rFonts w:ascii="Times New Roman" w:cs="Times New Roman" w:eastAsia="Times New Roman" w:hAnsi="Times New Roman"/>
          <w:sz w:val="14"/>
          <w:szCs w:val="14"/>
          <w:color w:val="auto"/>
        </w:rPr>
        <w:t>Section 8.01   </w:t>
      </w:r>
      <w:r>
        <w:rPr>
          <w:rFonts w:ascii="Times New Roman" w:cs="Times New Roman" w:eastAsia="Times New Roman" w:hAnsi="Times New Roman"/>
          <w:sz w:val="14"/>
          <w:szCs w:val="14"/>
          <w:u w:val="single" w:color="auto"/>
          <w:color w:val="auto"/>
        </w:rPr>
        <w:t>  Evidence of Action of Securityholders</w:t>
      </w:r>
      <w:r>
        <w:rPr>
          <w:rFonts w:ascii="Times New Roman" w:cs="Times New Roman" w:eastAsia="Times New Roman" w:hAnsi="Times New Roman"/>
          <w:sz w:val="14"/>
          <w:szCs w:val="14"/>
          <w:color w:val="auto"/>
        </w:rPr>
        <w:t>. Whenever in this Indenture it is provided that the Holders of a specified percentage or a majority in aggregate principal amount of the Securities or of any series of Securities may take any action (including the making of any demand or request, the giving of any notice, consent or waiver or the taking of any other action), the fact that at the time of taking any such action the Holders of such specified percentage or majority have joined therein may be evidenced by (a) any instrument or any number of instruments of similar tenor executed by Securityholders in person, by an agent or by a proxy appointed in writing, including through an electronic system for tabulating consents operated by the Depositary for such series or otherwise (such action becoming effective, except as herein otherwise expressly provided, when such instruments or evidence of electronic consents are delivered to the Trustee and, where it is hereby expressly required, to the Company), or (b) by the record of the Holders of Securities voting in favor thereof at any meeting of Securityholders duly called and held in accordance with the provisions of Article IX, or (c) by a combination of such instrument or instruments and any such record of such a meeting of Securityholders.</w:t>
      </w: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93" w:name="page94"/>
    <w:bookmarkEnd w:id="93"/>
    <w:p>
      <w:pPr>
        <w:ind w:left="520"/>
        <w:spacing w:after="0"/>
        <w:rPr>
          <w:sz w:val="20"/>
          <w:szCs w:val="20"/>
          <w:color w:val="auto"/>
        </w:rPr>
      </w:pPr>
      <w:r>
        <w:rPr>
          <w:rFonts w:ascii="Times New Roman" w:cs="Times New Roman" w:eastAsia="Times New Roman" w:hAnsi="Times New Roman"/>
          <w:sz w:val="14"/>
          <w:szCs w:val="14"/>
          <w:color w:val="auto"/>
        </w:rPr>
        <w:t>Section 8.02   </w:t>
      </w:r>
      <w:r>
        <w:rPr>
          <w:rFonts w:ascii="Times New Roman" w:cs="Times New Roman" w:eastAsia="Times New Roman" w:hAnsi="Times New Roman"/>
          <w:sz w:val="14"/>
          <w:szCs w:val="14"/>
          <w:u w:val="single" w:color="auto"/>
          <w:color w:val="auto"/>
        </w:rPr>
        <w:t>  Proof of Execution or Holding of Securities</w:t>
      </w:r>
      <w:r>
        <w:rPr>
          <w:rFonts w:ascii="Times New Roman" w:cs="Times New Roman" w:eastAsia="Times New Roman" w:hAnsi="Times New Roman"/>
          <w:sz w:val="14"/>
          <w:szCs w:val="14"/>
          <w:color w:val="auto"/>
        </w:rPr>
        <w:t>. Proof of the execution of any instrument by a Securityholder or his, her or its agent or proxy and proof of the holding by 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Person of any of the Securities shall be sufficient if made in the following manner:</w:t>
      </w:r>
    </w:p>
    <w:p>
      <w:pPr>
        <w:spacing w:after="0" w:line="164" w:lineRule="exact"/>
        <w:rPr>
          <w:sz w:val="20"/>
          <w:szCs w:val="20"/>
          <w:color w:val="auto"/>
        </w:rPr>
      </w:pPr>
    </w:p>
    <w:p>
      <w:pPr>
        <w:ind w:right="40" w:firstLine="1271"/>
        <w:spacing w:after="0" w:line="263" w:lineRule="auto"/>
        <w:rPr>
          <w:sz w:val="20"/>
          <w:szCs w:val="20"/>
          <w:color w:val="auto"/>
        </w:rPr>
      </w:pPr>
      <w:r>
        <w:rPr>
          <w:rFonts w:ascii="Times New Roman" w:cs="Times New Roman" w:eastAsia="Times New Roman" w:hAnsi="Times New Roman"/>
          <w:sz w:val="14"/>
          <w:szCs w:val="14"/>
          <w:color w:val="auto"/>
        </w:rPr>
        <w:t>(a)          The fact and date of the execution by any Person of any such instrument may be proved (i) by the certificate of any notary public or other officer in any jurisdiction who, by the laws thereof, has power to take acknowledgments or proof of deeds to be recorded within such jurisdiction, that the Person who signed such instrument did acknowledge before such notary public or other officer the execution thereof, or (ii) by the affidavit of a witness of such execution sworn to before any such notary or other officer. Where such execution is by a Person acting in other than his or her individual capacity, such certificate or affidavit shall also constitute sufficient proof of his or her authority.</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(b)          The ownership of Securities of any series shall be proved by the Register of such Securities or by a certificate of the Registrar for such series.</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(c)          The record of any Holders’ meeting shall be proved in the manner provided in Section 9.06.</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(d)          The Trustee may require such additional proof of any matter referred to in this Section 8.02 as it shall deem appropriate or necessary, so long as the request is a reasonable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one.</w:t>
      </w:r>
    </w:p>
    <w:p>
      <w:pPr>
        <w:spacing w:after="0" w:line="164" w:lineRule="exact"/>
        <w:rPr>
          <w:sz w:val="20"/>
          <w:szCs w:val="20"/>
          <w:color w:val="auto"/>
        </w:rPr>
      </w:pPr>
    </w:p>
    <w:p>
      <w:pPr>
        <w:ind w:right="80" w:firstLine="1271"/>
        <w:spacing w:after="0" w:line="261" w:lineRule="auto"/>
        <w:rPr>
          <w:sz w:val="20"/>
          <w:szCs w:val="20"/>
          <w:color w:val="auto"/>
        </w:rPr>
      </w:pPr>
      <w:r>
        <w:rPr>
          <w:rFonts w:ascii="Times New Roman" w:cs="Times New Roman" w:eastAsia="Times New Roman" w:hAnsi="Times New Roman"/>
          <w:sz w:val="14"/>
          <w:szCs w:val="14"/>
          <w:color w:val="auto"/>
        </w:rPr>
        <w:t>(e)          If the Company shall solicit from the Holders of Securities of any series any action, the Company may, at its option fix in advance a record date for the determination of Holders of Securities entitled to take such action, but the Company shall have no obligation to do so. Any such record date shall be fixed at the Company’s discretion. If such a record date is fixed, such action may be sought or given before or after the record date, but only the Holders of Securities of record at the close of business on such record date shall be deemed to be Holders of Securities for the purpose of determining whether Holders of the requisite proportion of Outstanding Securities of such series have authorized or agreed or consented to such action, and for that purpose the Outstanding Securities of such series shall be computed as of such record date.</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8.03   </w:t>
      </w:r>
      <w:r>
        <w:rPr>
          <w:rFonts w:ascii="Times New Roman" w:cs="Times New Roman" w:eastAsia="Times New Roman" w:hAnsi="Times New Roman"/>
          <w:sz w:val="14"/>
          <w:szCs w:val="14"/>
          <w:u w:val="single" w:color="auto"/>
          <w:color w:val="auto"/>
        </w:rPr>
        <w:t>  Persons Deemed Owners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firstLine="1271"/>
        <w:spacing w:after="0" w:line="263" w:lineRule="auto"/>
        <w:rPr>
          <w:sz w:val="20"/>
          <w:szCs w:val="20"/>
          <w:color w:val="auto"/>
        </w:rPr>
      </w:pPr>
      <w:r>
        <w:rPr>
          <w:rFonts w:ascii="Times New Roman" w:cs="Times New Roman" w:eastAsia="Times New Roman" w:hAnsi="Times New Roman"/>
          <w:sz w:val="14"/>
          <w:szCs w:val="14"/>
          <w:color w:val="auto"/>
        </w:rPr>
        <w:t>(a)          The Company, the Trustee or any of their agents shall treat the Person in whose name any Security is registered as the owner of such Security for the purpose of receiving payment of principal of and premium, if any, and (subject to Section 3.08) interest, if any, on, such Security and for all other purposes whatsoever, whether or not such Security be overdue, and neither the Company, the Trustee nor any of their agents shall be affected by notice to the contrary. All payments made to any Holder, or upon his, her or its order, shall be valid, and, to the extent of the sum or sums paid, effectual to satisfy and discharge the liability for moneys payable upon such Security.</w:t>
      </w:r>
    </w:p>
    <w:p>
      <w:pPr>
        <w:spacing w:after="0" w:line="142" w:lineRule="exact"/>
        <w:rPr>
          <w:sz w:val="20"/>
          <w:szCs w:val="20"/>
          <w:color w:val="auto"/>
        </w:rPr>
      </w:pPr>
    </w:p>
    <w:p>
      <w:pPr>
        <w:ind w:right="20" w:firstLine="1271"/>
        <w:spacing w:after="0" w:line="286" w:lineRule="auto"/>
        <w:rPr>
          <w:sz w:val="20"/>
          <w:szCs w:val="20"/>
          <w:color w:val="auto"/>
        </w:rPr>
      </w:pPr>
      <w:r>
        <w:rPr>
          <w:rFonts w:ascii="Times New Roman" w:cs="Times New Roman" w:eastAsia="Times New Roman" w:hAnsi="Times New Roman"/>
          <w:sz w:val="14"/>
          <w:szCs w:val="14"/>
          <w:color w:val="auto"/>
        </w:rPr>
        <w:t>(b)          None of the Company, the Trustee, the Paying Agent, the Registrar or any of their agents will have any responsibility or liability for any aspect of the records relating to or payments made on account of beneficial ownership interests in a Global Security or for maintaining, supervising or reviewing any records relating to such beneficial ownership interests.</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94" w:name="page95"/>
    <w:bookmarkEnd w:id="94"/>
    <w:p>
      <w:pPr>
        <w:ind w:firstLine="508"/>
        <w:spacing w:after="0" w:line="269" w:lineRule="auto"/>
        <w:rPr>
          <w:sz w:val="20"/>
          <w:szCs w:val="20"/>
          <w:color w:val="auto"/>
        </w:rPr>
      </w:pPr>
      <w:r>
        <w:rPr>
          <w:rFonts w:ascii="Times New Roman" w:cs="Times New Roman" w:eastAsia="Times New Roman" w:hAnsi="Times New Roman"/>
          <w:sz w:val="14"/>
          <w:szCs w:val="14"/>
          <w:color w:val="auto"/>
        </w:rPr>
        <w:t>Section 8.04   </w:t>
      </w:r>
      <w:r>
        <w:rPr>
          <w:rFonts w:ascii="Times New Roman" w:cs="Times New Roman" w:eastAsia="Times New Roman" w:hAnsi="Times New Roman"/>
          <w:sz w:val="14"/>
          <w:szCs w:val="14"/>
          <w:u w:val="single" w:color="auto"/>
          <w:color w:val="auto"/>
        </w:rPr>
        <w:t>  Effect of Consents</w:t>
      </w:r>
      <w:r>
        <w:rPr>
          <w:rFonts w:ascii="Times New Roman" w:cs="Times New Roman" w:eastAsia="Times New Roman" w:hAnsi="Times New Roman"/>
          <w:sz w:val="14"/>
          <w:szCs w:val="14"/>
          <w:color w:val="auto"/>
        </w:rPr>
        <w:t>. After an amendment, supplement, waiver or other action becomes effective as to any series of Securities, a consent to it by a Holder of such series of Securities is a continuing consent conclusive and binding upon such Holder and every subsequent Holder of the same Securities or portion thereof, and of any Security issued upon the transfer thereof or in exchange therefor or in place thereof, even if notation of the consent is not made on any such Security.</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SECURITYHOLDERS’ MEETINGS</w:t>
      </w:r>
    </w:p>
    <w:p>
      <w:pPr>
        <w:spacing w:after="0" w:line="180" w:lineRule="exact"/>
        <w:rPr>
          <w:sz w:val="20"/>
          <w:szCs w:val="20"/>
          <w:color w:val="auto"/>
        </w:rPr>
      </w:pPr>
    </w:p>
    <w:p>
      <w:pPr>
        <w:ind w:right="80" w:firstLine="508"/>
        <w:spacing w:after="0" w:line="286" w:lineRule="auto"/>
        <w:rPr>
          <w:sz w:val="20"/>
          <w:szCs w:val="20"/>
          <w:color w:val="auto"/>
        </w:rPr>
      </w:pPr>
      <w:r>
        <w:rPr>
          <w:rFonts w:ascii="Times New Roman" w:cs="Times New Roman" w:eastAsia="Times New Roman" w:hAnsi="Times New Roman"/>
          <w:sz w:val="14"/>
          <w:szCs w:val="14"/>
          <w:color w:val="auto"/>
        </w:rPr>
        <w:t>Section 9.01   </w:t>
      </w:r>
      <w:r>
        <w:rPr>
          <w:rFonts w:ascii="Times New Roman" w:cs="Times New Roman" w:eastAsia="Times New Roman" w:hAnsi="Times New Roman"/>
          <w:sz w:val="14"/>
          <w:szCs w:val="14"/>
          <w:u w:val="single" w:color="auto"/>
          <w:color w:val="auto"/>
        </w:rPr>
        <w:t>  Purposes of Meetings</w:t>
      </w:r>
      <w:r>
        <w:rPr>
          <w:rFonts w:ascii="Times New Roman" w:cs="Times New Roman" w:eastAsia="Times New Roman" w:hAnsi="Times New Roman"/>
          <w:sz w:val="14"/>
          <w:szCs w:val="14"/>
          <w:color w:val="auto"/>
        </w:rPr>
        <w:t>. A meeting of Securityholders of any or all series may be called at any time and from time to time pursuant to the provisions of this Article IX for any of the following purposes:</w:t>
      </w:r>
    </w:p>
    <w:p>
      <w:pPr>
        <w:spacing w:after="0" w:line="125" w:lineRule="exact"/>
        <w:rPr>
          <w:sz w:val="20"/>
          <w:szCs w:val="20"/>
          <w:color w:val="auto"/>
        </w:rPr>
      </w:pPr>
    </w:p>
    <w:p>
      <w:pPr>
        <w:ind w:right="40" w:firstLine="1271"/>
        <w:spacing w:after="0" w:line="286" w:lineRule="auto"/>
        <w:rPr>
          <w:sz w:val="20"/>
          <w:szCs w:val="20"/>
          <w:color w:val="auto"/>
        </w:rPr>
      </w:pPr>
      <w:r>
        <w:rPr>
          <w:rFonts w:ascii="Times New Roman" w:cs="Times New Roman" w:eastAsia="Times New Roman" w:hAnsi="Times New Roman"/>
          <w:sz w:val="14"/>
          <w:szCs w:val="14"/>
          <w:color w:val="auto"/>
        </w:rPr>
        <w:t>(a)          to give any notice to the Company or to the Trustee, or to give any directions to the Trustee, or to consent to the waiving of any Default or Event of Default hereunder and its consequences, or to take any other action authorized to be taken by Securityholders pursuant to any of the provisions of Article VIII;</w:t>
      </w:r>
    </w:p>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(b)          to remove the Trustee and nominate a successor trustee pursuant to the provisions of Article XI;</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(c)          to consent to the execution of an Indenture or of indentures supplemental hereto pursuant to the provisions of Section 14.02; or</w:t>
      </w:r>
    </w:p>
    <w:p>
      <w:pPr>
        <w:spacing w:after="0" w:line="178" w:lineRule="exact"/>
        <w:rPr>
          <w:sz w:val="20"/>
          <w:szCs w:val="20"/>
          <w:color w:val="auto"/>
        </w:rPr>
      </w:pPr>
    </w:p>
    <w:p>
      <w:pPr>
        <w:ind w:firstLine="1271"/>
        <w:spacing w:after="0" w:line="286" w:lineRule="auto"/>
        <w:rPr>
          <w:sz w:val="20"/>
          <w:szCs w:val="20"/>
          <w:color w:val="auto"/>
        </w:rPr>
      </w:pPr>
      <w:r>
        <w:rPr>
          <w:rFonts w:ascii="Times New Roman" w:cs="Times New Roman" w:eastAsia="Times New Roman" w:hAnsi="Times New Roman"/>
          <w:sz w:val="14"/>
          <w:szCs w:val="14"/>
          <w:color w:val="auto"/>
        </w:rPr>
        <w:t>(d)          to take any other action authorized to be taken by or on behalf of the Holders of any specified aggregate principal amount of the Securities of any one or more or all series, as the case may be, under any other provision of this Indenture or under applicable law.</w:t>
      </w:r>
    </w:p>
    <w:p>
      <w:pPr>
        <w:spacing w:after="0" w:line="125" w:lineRule="exact"/>
        <w:rPr>
          <w:sz w:val="20"/>
          <w:szCs w:val="20"/>
          <w:color w:val="auto"/>
        </w:rPr>
      </w:pPr>
    </w:p>
    <w:p>
      <w:pPr>
        <w:ind w:right="20" w:firstLine="508"/>
        <w:spacing w:after="0" w:line="263" w:lineRule="auto"/>
        <w:rPr>
          <w:sz w:val="20"/>
          <w:szCs w:val="20"/>
          <w:color w:val="auto"/>
        </w:rPr>
      </w:pPr>
      <w:r>
        <w:rPr>
          <w:rFonts w:ascii="Times New Roman" w:cs="Times New Roman" w:eastAsia="Times New Roman" w:hAnsi="Times New Roman"/>
          <w:sz w:val="14"/>
          <w:szCs w:val="14"/>
          <w:color w:val="auto"/>
        </w:rPr>
        <w:t>Section 9.02   </w:t>
      </w:r>
      <w:r>
        <w:rPr>
          <w:rFonts w:ascii="Times New Roman" w:cs="Times New Roman" w:eastAsia="Times New Roman" w:hAnsi="Times New Roman"/>
          <w:sz w:val="14"/>
          <w:szCs w:val="14"/>
          <w:u w:val="single" w:color="auto"/>
          <w:color w:val="auto"/>
        </w:rPr>
        <w:t>  Call of Meetings by Trustee</w:t>
      </w:r>
      <w:r>
        <w:rPr>
          <w:rFonts w:ascii="Times New Roman" w:cs="Times New Roman" w:eastAsia="Times New Roman" w:hAnsi="Times New Roman"/>
          <w:sz w:val="14"/>
          <w:szCs w:val="14"/>
          <w:color w:val="auto"/>
        </w:rPr>
        <w:t>. The Trustee may at any time call a meeting of all Securityholders of any or all series that may be affected by the action proposed to be taken, to take any action specified in Section 9.01, to be held at such time and at such place as the Trustee shall determine. Notice of every meeting of the Securityholders of a series, setting forth the time and the place of such meeting and in general terms the action proposed to be taken at such meeting, shall be mailed at the expense of the Company to Holders of Securities of such series at their addresses as they shall appear on the Register of the Company. Such notice shall be mailed not less than 20 nor more than 90 days prior to the date fixed for the meeting.</w:t>
      </w:r>
    </w:p>
    <w:p>
      <w:pPr>
        <w:spacing w:after="0" w:line="142" w:lineRule="exact"/>
        <w:rPr>
          <w:sz w:val="20"/>
          <w:szCs w:val="20"/>
          <w:color w:val="auto"/>
        </w:rPr>
      </w:pPr>
    </w:p>
    <w:p>
      <w:pPr>
        <w:ind w:right="100" w:firstLine="508"/>
        <w:spacing w:after="0" w:line="261" w:lineRule="auto"/>
        <w:rPr>
          <w:sz w:val="20"/>
          <w:szCs w:val="20"/>
          <w:color w:val="auto"/>
        </w:rPr>
      </w:pPr>
      <w:r>
        <w:rPr>
          <w:rFonts w:ascii="Times New Roman" w:cs="Times New Roman" w:eastAsia="Times New Roman" w:hAnsi="Times New Roman"/>
          <w:sz w:val="14"/>
          <w:szCs w:val="14"/>
          <w:color w:val="auto"/>
        </w:rPr>
        <w:t>Section 9.03   </w:t>
      </w:r>
      <w:r>
        <w:rPr>
          <w:rFonts w:ascii="Times New Roman" w:cs="Times New Roman" w:eastAsia="Times New Roman" w:hAnsi="Times New Roman"/>
          <w:sz w:val="14"/>
          <w:szCs w:val="14"/>
          <w:u w:val="single" w:color="auto"/>
          <w:color w:val="auto"/>
        </w:rPr>
        <w:t>  Call of Meetings by Company or Securityholders</w:t>
      </w:r>
      <w:r>
        <w:rPr>
          <w:rFonts w:ascii="Times New Roman" w:cs="Times New Roman" w:eastAsia="Times New Roman" w:hAnsi="Times New Roman"/>
          <w:sz w:val="14"/>
          <w:szCs w:val="14"/>
          <w:color w:val="auto"/>
        </w:rPr>
        <w:t>. In case at any time the Company or the Holders of at least 10% in aggregate principal amount of the Securities of any or all series then Outstanding that may be affected by the action proposed to be taken, shall have requested the Trustee to call a meeting of Securityholders of such series, by written request setting forth in reasonable detail the action proposed to be taken at the meeting, and the Trustee shall not have mailed the notice of such meeting within 20 days after receipt of such request, then the Company or such Securityholders may determine the time and the place for such meeting and may call such meeting to take any action authorized in Section 9.01, by mailing notice thereof as provided in Section 9.02.</w:t>
      </w: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95" w:name="page96"/>
    <w:bookmarkEnd w:id="95"/>
    <w:p>
      <w:pPr>
        <w:ind w:firstLine="508"/>
        <w:spacing w:after="0" w:line="261" w:lineRule="auto"/>
        <w:rPr>
          <w:sz w:val="20"/>
          <w:szCs w:val="20"/>
          <w:color w:val="auto"/>
        </w:rPr>
      </w:pPr>
      <w:r>
        <w:rPr>
          <w:rFonts w:ascii="Times New Roman" w:cs="Times New Roman" w:eastAsia="Times New Roman" w:hAnsi="Times New Roman"/>
          <w:sz w:val="14"/>
          <w:szCs w:val="14"/>
          <w:color w:val="auto"/>
        </w:rPr>
        <w:t>Section 9.04   </w:t>
      </w:r>
      <w:r>
        <w:rPr>
          <w:rFonts w:ascii="Times New Roman" w:cs="Times New Roman" w:eastAsia="Times New Roman" w:hAnsi="Times New Roman"/>
          <w:sz w:val="14"/>
          <w:szCs w:val="14"/>
          <w:u w:val="single" w:color="auto"/>
          <w:color w:val="auto"/>
        </w:rPr>
        <w:t>  Qualifications for Voting</w:t>
      </w:r>
      <w:r>
        <w:rPr>
          <w:rFonts w:ascii="Times New Roman" w:cs="Times New Roman" w:eastAsia="Times New Roman" w:hAnsi="Times New Roman"/>
          <w:sz w:val="14"/>
          <w:szCs w:val="14"/>
          <w:color w:val="auto"/>
        </w:rPr>
        <w:t>. To be entitled to vote at any meeting of Securityholders, a Person shall (a) be a Holder of one or more Securities affected by the action proposed to be taken at the meeting or (b) be a Person appointed by an instrument in writing as proxy by a Holder of one or more such Securities. The only Persons who shall be entitled to be present or to speak at any meeting of Securityholders shall be the Persons entitled to vote at such meeting and their counsel and any representatives of the Trustee and its counsel and any representatives of the Company and its counsel. Unless otherwise expressly provided pursuant to Section 3.01 with respect to the Securities of any series, any vote, consent, waiver or other action given or taken by the Holders of any series of Securities at a meeting shall be given or taken, as the case may be, by the Holders of such series of Securities as a separate class.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9.05   </w:t>
      </w:r>
      <w:r>
        <w:rPr>
          <w:rFonts w:ascii="Times New Roman" w:cs="Times New Roman" w:eastAsia="Times New Roman" w:hAnsi="Times New Roman"/>
          <w:sz w:val="14"/>
          <w:szCs w:val="14"/>
          <w:u w:val="single" w:color="auto"/>
          <w:color w:val="auto"/>
        </w:rPr>
        <w:t>  Regulation of Meetings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right="20" w:firstLine="1271"/>
        <w:spacing w:after="0" w:line="269" w:lineRule="auto"/>
        <w:rPr>
          <w:sz w:val="20"/>
          <w:szCs w:val="20"/>
          <w:color w:val="auto"/>
        </w:rPr>
      </w:pPr>
      <w:r>
        <w:rPr>
          <w:rFonts w:ascii="Times New Roman" w:cs="Times New Roman" w:eastAsia="Times New Roman" w:hAnsi="Times New Roman"/>
          <w:sz w:val="14"/>
          <w:szCs w:val="14"/>
          <w:color w:val="auto"/>
        </w:rPr>
        <w:t>(a)          Notwithstanding any other provisions of this Indenture, the Trustee may make such reasonable regulations as it may deem advisable for any meeting of Securityholders,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fit.</w:t>
      </w:r>
    </w:p>
    <w:p>
      <w:pPr>
        <w:spacing w:after="0" w:line="136" w:lineRule="exact"/>
        <w:rPr>
          <w:sz w:val="20"/>
          <w:szCs w:val="20"/>
          <w:color w:val="auto"/>
        </w:rPr>
      </w:pPr>
    </w:p>
    <w:p>
      <w:pPr>
        <w:ind w:right="200" w:firstLine="1271"/>
        <w:spacing w:after="0" w:line="269" w:lineRule="auto"/>
        <w:rPr>
          <w:sz w:val="20"/>
          <w:szCs w:val="20"/>
          <w:color w:val="auto"/>
        </w:rPr>
      </w:pPr>
      <w:r>
        <w:rPr>
          <w:rFonts w:ascii="Times New Roman" w:cs="Times New Roman" w:eastAsia="Times New Roman" w:hAnsi="Times New Roman"/>
          <w:sz w:val="14"/>
          <w:szCs w:val="14"/>
          <w:color w:val="auto"/>
        </w:rPr>
        <w:t>(b)          The Trustee shall, by an instrument in writing, appoint a temporary chairman of the meeting, unless the meeting shall have been called by the Company or by Securityholders as provided in Section 9.03, in which case the Company or the Securityholders calling the meeting, as the case may be, shall in like manner appoint a temporary chair. A permanent chairman and a permanent secretary of the meeting shall be elected by majority vote of the meeting.</w:t>
      </w:r>
    </w:p>
    <w:p>
      <w:pPr>
        <w:spacing w:after="0" w:line="136" w:lineRule="exact"/>
        <w:rPr>
          <w:sz w:val="20"/>
          <w:szCs w:val="20"/>
          <w:color w:val="auto"/>
        </w:rPr>
      </w:pPr>
    </w:p>
    <w:p>
      <w:pPr>
        <w:ind w:firstLine="1271"/>
        <w:spacing w:after="0" w:line="256" w:lineRule="auto"/>
        <w:rPr>
          <w:sz w:val="20"/>
          <w:szCs w:val="20"/>
          <w:color w:val="auto"/>
        </w:rPr>
      </w:pPr>
      <w:r>
        <w:rPr>
          <w:rFonts w:ascii="Times New Roman" w:cs="Times New Roman" w:eastAsia="Times New Roman" w:hAnsi="Times New Roman"/>
          <w:sz w:val="14"/>
          <w:szCs w:val="14"/>
          <w:color w:val="auto"/>
        </w:rPr>
        <w:t>(c)          At any meeting of Securityholders of a series, each Securityholder of such series or such Securityholder’s proxy shall be entitled to one vote for each $1,000 principal amount of Securities of such series Outstanding held or represented by him; provided, however, that no vote shall be cast or counted at any meeting in respect of any Security challenged as not Outstanding and ruled by the chairman of the meeting to be not Outstanding. If the Securities of any series are issuable in minimum denominations of less than $1,000, then a Holder of such a Security in a principal amount of less than $1,000 shall be entitled to a fraction of one vote which is equal to the fraction that the principal amount of such Security bears to $1,000. The chairman of the meeting shall have no right to vote other than by virtue of Securities of such series held by him or her or instruments in writing as aforesaid duly designating him or her as the Person to vote on behalf of other Securityholders. At any meeting of the Securityholders of any series duly called pursuant to the provisions of Section 9.02 or 9.03, the presence of Persons holding or representing Securities of such series in an aggregate principal amount sufficient to take action as it concerns the Securities of such series upon the business for the transaction of which such meeting was called shall be necessary to constitute a quorum, and any such meeting may be adjourned from time to time by a majority of those present, whether or not constituting a quorum, and the meeting may be held as so adjourned without further notice.</w:t>
      </w:r>
    </w:p>
    <w:p>
      <w:pPr>
        <w:spacing w:after="0" w:line="3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96" w:name="page97"/>
    <w:bookmarkEnd w:id="96"/>
    <w:p>
      <w:pPr>
        <w:ind w:right="20" w:firstLine="508"/>
        <w:spacing w:after="0" w:line="257" w:lineRule="auto"/>
        <w:rPr>
          <w:sz w:val="20"/>
          <w:szCs w:val="20"/>
          <w:color w:val="auto"/>
        </w:rPr>
      </w:pPr>
      <w:r>
        <w:rPr>
          <w:rFonts w:ascii="Times New Roman" w:cs="Times New Roman" w:eastAsia="Times New Roman" w:hAnsi="Times New Roman"/>
          <w:sz w:val="14"/>
          <w:szCs w:val="14"/>
          <w:color w:val="auto"/>
        </w:rPr>
        <w:t>Section 9.06   </w:t>
      </w:r>
      <w:r>
        <w:rPr>
          <w:rFonts w:ascii="Times New Roman" w:cs="Times New Roman" w:eastAsia="Times New Roman" w:hAnsi="Times New Roman"/>
          <w:sz w:val="14"/>
          <w:szCs w:val="14"/>
          <w:u w:val="single" w:color="auto"/>
          <w:color w:val="auto"/>
        </w:rPr>
        <w:t>  Voting</w:t>
      </w:r>
      <w:r>
        <w:rPr>
          <w:rFonts w:ascii="Times New Roman" w:cs="Times New Roman" w:eastAsia="Times New Roman" w:hAnsi="Times New Roman"/>
          <w:sz w:val="14"/>
          <w:szCs w:val="14"/>
          <w:color w:val="auto"/>
        </w:rPr>
        <w:t>. The vote upon any resolution submitted to any meeting of Securityholders of a series shall be by written ballots on which shall be subscribed the signatures of the Holders of Securities of such series or of their representatives by proxy and the principal amounts of the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Securityholders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principal amounts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record so signed and verified shall be conclusive evidence of the matters therein stated.</w:t>
      </w:r>
    </w:p>
    <w:p>
      <w:pPr>
        <w:spacing w:after="0" w:line="178"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Section 9.07   </w:t>
      </w:r>
      <w:r>
        <w:rPr>
          <w:rFonts w:ascii="Times New Roman" w:cs="Times New Roman" w:eastAsia="Times New Roman" w:hAnsi="Times New Roman"/>
          <w:sz w:val="14"/>
          <w:szCs w:val="14"/>
          <w:u w:val="single" w:color="auto"/>
          <w:color w:val="auto"/>
        </w:rPr>
        <w:t>  No Delay of Rights by Meeting</w:t>
      </w:r>
      <w:r>
        <w:rPr>
          <w:rFonts w:ascii="Times New Roman" w:cs="Times New Roman" w:eastAsia="Times New Roman" w:hAnsi="Times New Roman"/>
          <w:sz w:val="14"/>
          <w:szCs w:val="14"/>
          <w:color w:val="auto"/>
        </w:rPr>
        <w:t>. Nothing contained in this Article IX shall be deemed or construed to authorize or permit, by reason of any call of a meeting of Securityholders of any series or any rights expressly or impliedly conferred hereunder to make such call, any hindrance or delay in the exercise of any right or rights conferred upon or reserved to the Trustee or to the Securityholders of such series under any of the provisions of this Indenture or of the Securities of such series.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X</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REPORTS BY THE COMPANY AND THE TRUSTEE AND</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SECURITYHOLDERS’ LISTS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10.01   </w:t>
      </w:r>
      <w:r>
        <w:rPr>
          <w:rFonts w:ascii="Times New Roman" w:cs="Times New Roman" w:eastAsia="Times New Roman" w:hAnsi="Times New Roman"/>
          <w:sz w:val="14"/>
          <w:szCs w:val="14"/>
          <w:u w:val="single" w:color="auto"/>
          <w:color w:val="auto"/>
        </w:rPr>
        <w:t>  Reports by Trustee</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right="20" w:firstLine="1271"/>
        <w:spacing w:after="0" w:line="269" w:lineRule="auto"/>
        <w:rPr>
          <w:sz w:val="20"/>
          <w:szCs w:val="20"/>
          <w:color w:val="auto"/>
        </w:rPr>
      </w:pPr>
      <w:r>
        <w:rPr>
          <w:rFonts w:ascii="Times New Roman" w:cs="Times New Roman" w:eastAsia="Times New Roman" w:hAnsi="Times New Roman"/>
          <w:sz w:val="14"/>
          <w:szCs w:val="14"/>
          <w:color w:val="auto"/>
        </w:rPr>
        <w:t>(a)          So long as any Securities are outstanding, the Trustee shall transmit to Holders such reports concerning the Trustee and its actions under this Indenture as may be required pursuant to the Trust Indenture Act at the times and in the manner provided therein. If required by Section 313(a) of the Trust Indenture Act, the Trustee shall, within 60 days after each anniversary following the date of this Indenture deliver to Holders a brief report which complies with the provisions of such Section 313(a).</w:t>
      </w:r>
    </w:p>
    <w:p>
      <w:pPr>
        <w:spacing w:after="0" w:line="136" w:lineRule="exact"/>
        <w:rPr>
          <w:sz w:val="20"/>
          <w:szCs w:val="20"/>
          <w:color w:val="auto"/>
        </w:rPr>
      </w:pPr>
    </w:p>
    <w:p>
      <w:pPr>
        <w:jc w:val="both"/>
        <w:ind w:right="60" w:firstLine="1271"/>
        <w:spacing w:after="0" w:line="269" w:lineRule="auto"/>
        <w:rPr>
          <w:sz w:val="20"/>
          <w:szCs w:val="20"/>
          <w:color w:val="auto"/>
        </w:rPr>
      </w:pPr>
      <w:r>
        <w:rPr>
          <w:rFonts w:ascii="Times New Roman" w:cs="Times New Roman" w:eastAsia="Times New Roman" w:hAnsi="Times New Roman"/>
          <w:sz w:val="14"/>
          <w:szCs w:val="14"/>
          <w:color w:val="auto"/>
        </w:rPr>
        <w:t>(b)          The Trustee shall, at the time of the transmission to the Holders of Securities of any report pursuant to the provisions of this Section 10.01, file a copy of such report with each stock exchange upon which the Securities are listed, if any, and also with the SEC in respect of a Security listed and registered on a national securities exchange, if any. The Company agrees to notify the Trustee when, as and if the Securities become listed on any stock exchange or any delisting thereof.</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40"/>
          </w:cols>
          <w:pgMar w:left="300" w:top="739" w:right="359" w:bottom="1440" w:gutter="0" w:footer="0" w:header="0"/>
        </w:sectPr>
      </w:pPr>
    </w:p>
    <w:bookmarkStart w:id="97" w:name="page98"/>
    <w:bookmarkEnd w:id="97"/>
    <w:p>
      <w:pPr>
        <w:ind w:left="1280"/>
        <w:spacing w:after="0"/>
        <w:rPr>
          <w:sz w:val="20"/>
          <w:szCs w:val="20"/>
          <w:color w:val="auto"/>
        </w:rPr>
      </w:pPr>
      <w:r>
        <w:rPr>
          <w:rFonts w:ascii="Times New Roman" w:cs="Times New Roman" w:eastAsia="Times New Roman" w:hAnsi="Times New Roman"/>
          <w:sz w:val="13"/>
          <w:szCs w:val="13"/>
          <w:color w:val="auto"/>
        </w:rPr>
        <w:t>(c)          The Company will reimburse the Trustee for all expenses incurred in the preparation and transmission of any report pursuant to the provisions of this Section 10.01 and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10.02.</w:t>
      </w:r>
    </w:p>
    <w:p>
      <w:pPr>
        <w:spacing w:after="0" w:line="164" w:lineRule="exact"/>
        <w:rPr>
          <w:sz w:val="20"/>
          <w:szCs w:val="20"/>
          <w:color w:val="auto"/>
        </w:rPr>
      </w:pPr>
    </w:p>
    <w:p>
      <w:pPr>
        <w:jc w:val="both"/>
        <w:ind w:right="60" w:firstLine="508"/>
        <w:spacing w:after="0" w:line="269" w:lineRule="auto"/>
        <w:rPr>
          <w:sz w:val="20"/>
          <w:szCs w:val="20"/>
          <w:color w:val="auto"/>
        </w:rPr>
      </w:pPr>
      <w:r>
        <w:rPr>
          <w:rFonts w:ascii="Times New Roman" w:cs="Times New Roman" w:eastAsia="Times New Roman" w:hAnsi="Times New Roman"/>
          <w:sz w:val="14"/>
          <w:szCs w:val="14"/>
          <w:color w:val="auto"/>
        </w:rPr>
        <w:t>Section 10.02   </w:t>
      </w:r>
      <w:r>
        <w:rPr>
          <w:rFonts w:ascii="Times New Roman" w:cs="Times New Roman" w:eastAsia="Times New Roman" w:hAnsi="Times New Roman"/>
          <w:sz w:val="14"/>
          <w:szCs w:val="14"/>
          <w:u w:val="single" w:color="auto"/>
          <w:color w:val="auto"/>
        </w:rPr>
        <w:t>  Reports by the Company</w:t>
      </w:r>
      <w:r>
        <w:rPr>
          <w:rFonts w:ascii="Times New Roman" w:cs="Times New Roman" w:eastAsia="Times New Roman" w:hAnsi="Times New Roman"/>
          <w:sz w:val="14"/>
          <w:szCs w:val="14"/>
          <w:color w:val="auto"/>
        </w:rPr>
        <w:t>. The Company shall file with the Trustee and the SEC, and transmit to Holders, such information, documents and other reports, and such summaries thereof, as may be required pursuant to the Trust Indenture Act at the times and in the manner provided in the Trust Indenture Act; provided that, unless available on EDGAR, any such information, documents or reports required to be filed with the SEC pursuant to Section 13 or 15(d) of the Exchange Act shall be filed with the Trustee within 30 days after the same is filed with the SEC.</w:t>
      </w:r>
    </w:p>
    <w:p>
      <w:pPr>
        <w:spacing w:after="0" w:line="136" w:lineRule="exact"/>
        <w:rPr>
          <w:sz w:val="20"/>
          <w:szCs w:val="20"/>
          <w:color w:val="auto"/>
        </w:rPr>
      </w:pPr>
    </w:p>
    <w:p>
      <w:pPr>
        <w:jc w:val="both"/>
        <w:ind w:firstLine="508"/>
        <w:spacing w:after="0" w:line="263" w:lineRule="auto"/>
        <w:rPr>
          <w:sz w:val="20"/>
          <w:szCs w:val="20"/>
          <w:color w:val="auto"/>
        </w:rPr>
      </w:pPr>
      <w:r>
        <w:rPr>
          <w:rFonts w:ascii="Times New Roman" w:cs="Times New Roman" w:eastAsia="Times New Roman" w:hAnsi="Times New Roman"/>
          <w:sz w:val="14"/>
          <w:szCs w:val="14"/>
          <w:color w:val="auto"/>
        </w:rPr>
        <w:t>Delivery of such reports, information and documents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Officer’s Certificates). The Trustee shall not be obligated to monitor or confirm, on a continuing basis or otherwise, the Company’s compliance with the covenants under this Indenture or with respect to any reports or other documents filed with the SEC or posted on the Company’s website pursuant to the Indenture, or determine whether any reports have been filed or posted.</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10.03   </w:t>
      </w:r>
      <w:r>
        <w:rPr>
          <w:rFonts w:ascii="Times New Roman" w:cs="Times New Roman" w:eastAsia="Times New Roman" w:hAnsi="Times New Roman"/>
          <w:sz w:val="14"/>
          <w:szCs w:val="14"/>
          <w:u w:val="single" w:color="auto"/>
          <w:color w:val="auto"/>
        </w:rPr>
        <w:t>  Securityholders’ Lists</w:t>
      </w:r>
      <w:r>
        <w:rPr>
          <w:rFonts w:ascii="Times New Roman" w:cs="Times New Roman" w:eastAsia="Times New Roman" w:hAnsi="Times New Roman"/>
          <w:sz w:val="14"/>
          <w:szCs w:val="14"/>
          <w:color w:val="auto"/>
        </w:rPr>
        <w:t>. The Company covenants and agrees that it will furnish or cause to be furnished to the Trustee:</w:t>
      </w:r>
    </w:p>
    <w:p>
      <w:pPr>
        <w:spacing w:after="0" w:line="178" w:lineRule="exact"/>
        <w:rPr>
          <w:sz w:val="20"/>
          <w:szCs w:val="20"/>
          <w:color w:val="auto"/>
        </w:rPr>
      </w:pPr>
    </w:p>
    <w:p>
      <w:pPr>
        <w:ind w:right="200" w:firstLine="1271"/>
        <w:spacing w:after="0" w:line="286" w:lineRule="auto"/>
        <w:rPr>
          <w:sz w:val="20"/>
          <w:szCs w:val="20"/>
          <w:color w:val="auto"/>
        </w:rPr>
      </w:pPr>
      <w:r>
        <w:rPr>
          <w:rFonts w:ascii="Times New Roman" w:cs="Times New Roman" w:eastAsia="Times New Roman" w:hAnsi="Times New Roman"/>
          <w:sz w:val="14"/>
          <w:szCs w:val="14"/>
          <w:color w:val="auto"/>
        </w:rPr>
        <w:t>(a)          semi-annually, within 7 business days after each Record Date, but in any event not less frequently than semi-annually, a list in such form as the Trustee may reasonably require of the names and addresses of the Holders of Securities to which such Record Date applies, as of such Record Date, and</w:t>
      </w:r>
    </w:p>
    <w:p>
      <w:pPr>
        <w:spacing w:after="0" w:line="125" w:lineRule="exact"/>
        <w:rPr>
          <w:sz w:val="20"/>
          <w:szCs w:val="20"/>
          <w:color w:val="auto"/>
        </w:rPr>
      </w:pPr>
    </w:p>
    <w:p>
      <w:pPr>
        <w:ind w:right="160" w:firstLine="1271"/>
        <w:spacing w:after="0" w:line="286" w:lineRule="auto"/>
        <w:rPr>
          <w:sz w:val="20"/>
          <w:szCs w:val="20"/>
          <w:color w:val="auto"/>
        </w:rPr>
      </w:pPr>
      <w:r>
        <w:rPr>
          <w:rFonts w:ascii="Times New Roman" w:cs="Times New Roman" w:eastAsia="Times New Roman" w:hAnsi="Times New Roman"/>
          <w:sz w:val="14"/>
          <w:szCs w:val="14"/>
          <w:color w:val="auto"/>
        </w:rPr>
        <w:t>(b)          at such other times as the Trustee may request in writing, within 30 days after receipt by the Company of any such request, a list of similar form and content as of a date not more than 15 days prior to the time such list is furnished;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provided, however, that so long as the Trustee shall be the Registrar, such lists shall not be required to be furnished.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XI</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CONCERNING THE TRUSTEE</w:t>
      </w:r>
    </w:p>
    <w:p>
      <w:pPr>
        <w:spacing w:after="0" w:line="180" w:lineRule="exact"/>
        <w:rPr>
          <w:sz w:val="20"/>
          <w:szCs w:val="20"/>
          <w:color w:val="auto"/>
        </w:rPr>
      </w:pPr>
    </w:p>
    <w:p>
      <w:pPr>
        <w:ind w:right="60" w:firstLine="508"/>
        <w:spacing w:after="0" w:line="286" w:lineRule="auto"/>
        <w:rPr>
          <w:sz w:val="20"/>
          <w:szCs w:val="20"/>
          <w:color w:val="auto"/>
        </w:rPr>
      </w:pPr>
      <w:r>
        <w:rPr>
          <w:rFonts w:ascii="Times New Roman" w:cs="Times New Roman" w:eastAsia="Times New Roman" w:hAnsi="Times New Roman"/>
          <w:sz w:val="14"/>
          <w:szCs w:val="14"/>
          <w:color w:val="auto"/>
        </w:rPr>
        <w:t>Section 11.01   </w:t>
      </w:r>
      <w:r>
        <w:rPr>
          <w:rFonts w:ascii="Times New Roman" w:cs="Times New Roman" w:eastAsia="Times New Roman" w:hAnsi="Times New Roman"/>
          <w:sz w:val="14"/>
          <w:szCs w:val="14"/>
          <w:u w:val="single" w:color="auto"/>
          <w:color w:val="auto"/>
        </w:rPr>
        <w:t>  Rights of Trustees; Compensation and Indemnity</w:t>
      </w:r>
      <w:r>
        <w:rPr>
          <w:rFonts w:ascii="Times New Roman" w:cs="Times New Roman" w:eastAsia="Times New Roman" w:hAnsi="Times New Roman"/>
          <w:sz w:val="14"/>
          <w:szCs w:val="14"/>
          <w:color w:val="auto"/>
        </w:rPr>
        <w:t>. The Trustee accepts the trusts created by this Indenture upon the terms and conditions hereof, including the following, to all of which the parties hereto and the Holders from time to time of the Securities agree:</w:t>
      </w:r>
    </w:p>
    <w:p>
      <w:pPr>
        <w:spacing w:after="0" w:line="125" w:lineRule="exact"/>
        <w:rPr>
          <w:sz w:val="20"/>
          <w:szCs w:val="20"/>
          <w:color w:val="auto"/>
        </w:rPr>
      </w:pPr>
    </w:p>
    <w:p>
      <w:pPr>
        <w:ind w:firstLine="1271"/>
        <w:spacing w:after="0" w:line="261" w:lineRule="auto"/>
        <w:rPr>
          <w:sz w:val="20"/>
          <w:szCs w:val="20"/>
          <w:color w:val="auto"/>
        </w:rPr>
      </w:pPr>
      <w:r>
        <w:rPr>
          <w:rFonts w:ascii="Times New Roman" w:cs="Times New Roman" w:eastAsia="Times New Roman" w:hAnsi="Times New Roman"/>
          <w:sz w:val="14"/>
          <w:szCs w:val="14"/>
          <w:color w:val="auto"/>
        </w:rPr>
        <w:t>(a)          The Trustee shall be entitled to such compensation as the Company and the Trustee shall from time to time agree in writing for all services rendered by it hereunder (including in any agent capacity in which it acts). The compensation of the Trustee shall not be limited by any provision of law in regard to the compensation of a trustee of an express trust. The Company shall reimburse the Trustee promptly upon its request for all reasonable and documented out-of-pocket expenses, disbursements and advances incurred or made by the Trustee (including the reasonable documented expenses and disbursements of its agents and counsel), except any such expense, disbursement or advance as may be attributable to its own gross negligence or willful misconduct, as determined by a final nonappealable order of a court of competent jurisdiction.</w:t>
      </w: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98" w:name="page99"/>
    <w:bookmarkEnd w:id="98"/>
    <w:p>
      <w:pPr>
        <w:ind w:right="100" w:firstLine="508"/>
        <w:spacing w:after="0" w:line="256" w:lineRule="auto"/>
        <w:rPr>
          <w:sz w:val="20"/>
          <w:szCs w:val="20"/>
          <w:color w:val="auto"/>
        </w:rPr>
      </w:pPr>
      <w:r>
        <w:rPr>
          <w:rFonts w:ascii="Times New Roman" w:cs="Times New Roman" w:eastAsia="Times New Roman" w:hAnsi="Times New Roman"/>
          <w:sz w:val="14"/>
          <w:szCs w:val="14"/>
          <w:color w:val="auto"/>
        </w:rPr>
        <w:t>The Company also agrees to indemnify each of the Trustee and the Trustee’s officers, employees, directors and agents, and any predecessor Trustee hereunder for, and to hold it harmless against, any and all loss, liability, damage, claim, or expense incurred without its own gross negligence or willful misconduct, as determined by a final nonappealable order of a court of competent jurisdiction, arising out of or in connection with the acceptance or administration of the trust or trusts hereunder and the performance of its duties (including in any agent capacity in which it acts), as well as the reasonable and documented costs and expenses of defending itself against any claim or liability in connection with the exercise or performance of any of its powers or duties hereunder, except those attributable to its gross negligence or willful misconduct, as determined by a final nonappealable order of a court of competent jurisdiction. The Trustee shall notify the Company promptly of any claim for which it may seek indemnity but the Trustee’s failure to so notify the Company will not relieve the Company of its obligations under this Section 11.01(a), except to the extent the Company is materially prejudiced by such failure. The Company shall defend the claim and the Trustee shall cooperate in the defense. The Trustee may have one separate counsel of its selection and the Company shall pay the reasonable and documented fees and expenses of such counsel. The Company need not pay for any settlement made without its consent, which consent shall not be unreasonably withheld.</w:t>
      </w:r>
    </w:p>
    <w:p>
      <w:pPr>
        <w:spacing w:after="0" w:line="149" w:lineRule="exact"/>
        <w:rPr>
          <w:sz w:val="20"/>
          <w:szCs w:val="20"/>
          <w:color w:val="auto"/>
        </w:rPr>
      </w:pPr>
    </w:p>
    <w:p>
      <w:pPr>
        <w:ind w:right="60" w:firstLine="508"/>
        <w:spacing w:after="0" w:line="261" w:lineRule="auto"/>
        <w:rPr>
          <w:sz w:val="20"/>
          <w:szCs w:val="20"/>
          <w:color w:val="auto"/>
        </w:rPr>
      </w:pPr>
      <w:r>
        <w:rPr>
          <w:rFonts w:ascii="Times New Roman" w:cs="Times New Roman" w:eastAsia="Times New Roman" w:hAnsi="Times New Roman"/>
          <w:sz w:val="14"/>
          <w:szCs w:val="14"/>
          <w:color w:val="auto"/>
        </w:rPr>
        <w:t>As security for the performance of the obligations of the Company under this Section 11.01(a), the Trustee shall have a lien prior to the Securities upon all property and funds held or collected by the Trustee as such, except funds held in trust by the Trustee to pay principal of, premium and interest on any Securities. Notwithstanding any provisions of this Indenture to the contrary, the obligations of the Company to compensate and indemnify the Trustee under this Section 11.01(a) shall survive the resignation or removal of the Trustee, the termination of this Indenture and any satisfaction and discharge under Article XII. When the Trustee incurs expenses or renders services after an Event of Default specified in clause (e) or (f) of Section 7.01 occurs, the expenses and compensation for the services are intended to constitute expenses of administration under any applicable federal or state bankruptcy, insolvency or similar laws.</w:t>
      </w:r>
    </w:p>
    <w:p>
      <w:pPr>
        <w:spacing w:after="0" w:line="141" w:lineRule="exact"/>
        <w:rPr>
          <w:sz w:val="20"/>
          <w:szCs w:val="20"/>
          <w:color w:val="auto"/>
        </w:rPr>
      </w:pPr>
    </w:p>
    <w:p>
      <w:pPr>
        <w:ind w:right="160" w:firstLine="1271"/>
        <w:spacing w:after="0" w:line="286" w:lineRule="auto"/>
        <w:rPr>
          <w:sz w:val="20"/>
          <w:szCs w:val="20"/>
          <w:color w:val="auto"/>
        </w:rPr>
      </w:pPr>
      <w:r>
        <w:rPr>
          <w:rFonts w:ascii="Times New Roman" w:cs="Times New Roman" w:eastAsia="Times New Roman" w:hAnsi="Times New Roman"/>
          <w:sz w:val="14"/>
          <w:szCs w:val="14"/>
          <w:color w:val="auto"/>
        </w:rPr>
        <w:t>(b)          The Trustee may execute any of the trusts or powers hereof and perform any duty hereunder either directly or by its agents and attorneys and shall not be responsible for any misconduct or negligence on the part of any agent or attorney appointed with due care by it hereunder.</w:t>
      </w:r>
    </w:p>
    <w:p>
      <w:pPr>
        <w:spacing w:after="0" w:line="125" w:lineRule="exact"/>
        <w:rPr>
          <w:sz w:val="20"/>
          <w:szCs w:val="20"/>
          <w:color w:val="auto"/>
        </w:rPr>
      </w:pPr>
    </w:p>
    <w:p>
      <w:pPr>
        <w:ind w:firstLine="1271"/>
        <w:spacing w:after="0" w:line="259" w:lineRule="auto"/>
        <w:rPr>
          <w:sz w:val="20"/>
          <w:szCs w:val="20"/>
          <w:color w:val="auto"/>
        </w:rPr>
      </w:pPr>
      <w:r>
        <w:rPr>
          <w:rFonts w:ascii="Times New Roman" w:cs="Times New Roman" w:eastAsia="Times New Roman" w:hAnsi="Times New Roman"/>
          <w:sz w:val="14"/>
          <w:szCs w:val="14"/>
          <w:color w:val="auto"/>
        </w:rPr>
        <w:t>(c)          The Trustee shall not be responsible in any manner whatsoever for the correctness of the recitals herein or in the Securities (except its certificates of authentication thereon) contained, all of which are made solely by the Company; and the Trustee shall not be responsible or accountable in any manner whatsoever for or with respect to the validity or execution or sufficiency of this Indenture or of the Securities (except its certificates of authentication thereon), and the Trustee makes no representation with respect thereto,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The Trustee shall not be accountable for the use or application by the Company of any Securities, or the proceeds of any Securities, authenticated and delivered by the Trustee in conformity with the provisions of this Indenture.</w:t>
      </w: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99" w:name="page100"/>
    <w:bookmarkEnd w:id="99"/>
    <w:p>
      <w:pPr>
        <w:ind w:right="200" w:firstLine="1271"/>
        <w:spacing w:after="0" w:line="269" w:lineRule="auto"/>
        <w:rPr>
          <w:sz w:val="20"/>
          <w:szCs w:val="20"/>
          <w:color w:val="auto"/>
        </w:rPr>
      </w:pPr>
      <w:r>
        <w:rPr>
          <w:rFonts w:ascii="Times New Roman" w:cs="Times New Roman" w:eastAsia="Times New Roman" w:hAnsi="Times New Roman"/>
          <w:sz w:val="14"/>
          <w:szCs w:val="14"/>
          <w:color w:val="auto"/>
        </w:rPr>
        <w:t>(d)          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selection, and advice of counsel shall be full and complete authorization and protection in respect of any action taken or suffered by the Trustee hereunder in good faith and in accordance with such advice of counsel.</w:t>
      </w:r>
    </w:p>
    <w:p>
      <w:pPr>
        <w:spacing w:after="0" w:line="136" w:lineRule="exact"/>
        <w:rPr>
          <w:sz w:val="20"/>
          <w:szCs w:val="20"/>
          <w:color w:val="auto"/>
        </w:rPr>
      </w:pPr>
    </w:p>
    <w:p>
      <w:pPr>
        <w:ind w:firstLine="1271"/>
        <w:spacing w:after="0" w:line="263" w:lineRule="auto"/>
        <w:rPr>
          <w:sz w:val="20"/>
          <w:szCs w:val="20"/>
          <w:color w:val="auto"/>
        </w:rPr>
      </w:pPr>
      <w:r>
        <w:rPr>
          <w:rFonts w:ascii="Times New Roman" w:cs="Times New Roman" w:eastAsia="Times New Roman" w:hAnsi="Times New Roman"/>
          <w:sz w:val="14"/>
          <w:szCs w:val="14"/>
          <w:color w:val="auto"/>
        </w:rPr>
        <w:t>(e)          The Trustee may rely upon the certificate of the Secretary or one of the Assistant Secretaries of the Company as to the adoption of any Board Resolution or resolution of the stockholders of the Company, and any request, direction, order or demand of the Company mentioned herein shall be sufficiently evidenced by, and whenever in the administration of this Indenture the Trustee shall deem it desirable that a matter be proved or established prior to taking, suffering or omitting any action hereunder, the Trustee may rely upon, an Officer’s Certificate of the Company (unless other evidence in respect thereof be herein specifically prescribed).</w:t>
      </w:r>
    </w:p>
    <w:p>
      <w:pPr>
        <w:spacing w:after="0" w:line="142" w:lineRule="exact"/>
        <w:rPr>
          <w:sz w:val="20"/>
          <w:szCs w:val="20"/>
          <w:color w:val="auto"/>
        </w:rPr>
      </w:pPr>
    </w:p>
    <w:p>
      <w:pPr>
        <w:ind w:right="80" w:firstLine="1271"/>
        <w:spacing w:after="0" w:line="286" w:lineRule="auto"/>
        <w:rPr>
          <w:sz w:val="20"/>
          <w:szCs w:val="20"/>
          <w:color w:val="auto"/>
        </w:rPr>
      </w:pPr>
      <w:r>
        <w:rPr>
          <w:rFonts w:ascii="Times New Roman" w:cs="Times New Roman" w:eastAsia="Times New Roman" w:hAnsi="Times New Roman"/>
          <w:sz w:val="14"/>
          <w:szCs w:val="14"/>
          <w:color w:val="auto"/>
        </w:rPr>
        <w:t>(f)           The Trustee or any agent of the Trustee, in its individual or any other capacity, may become the owner or pledgee of Securities and, subject to Sections 310(b) and 311 of the Trust Indenture Act, may otherwise deal with the Company with the same rights it would have had if it were not the Trustee or such agent.</w:t>
      </w:r>
    </w:p>
    <w:p>
      <w:pPr>
        <w:spacing w:after="0" w:line="125" w:lineRule="exact"/>
        <w:rPr>
          <w:sz w:val="20"/>
          <w:szCs w:val="20"/>
          <w:color w:val="auto"/>
        </w:rPr>
      </w:pPr>
    </w:p>
    <w:p>
      <w:pPr>
        <w:ind w:right="300" w:firstLine="1271"/>
        <w:spacing w:after="0" w:line="286" w:lineRule="auto"/>
        <w:rPr>
          <w:sz w:val="20"/>
          <w:szCs w:val="20"/>
          <w:color w:val="auto"/>
        </w:rPr>
      </w:pPr>
      <w:r>
        <w:rPr>
          <w:rFonts w:ascii="Times New Roman" w:cs="Times New Roman" w:eastAsia="Times New Roman" w:hAnsi="Times New Roman"/>
          <w:sz w:val="14"/>
          <w:szCs w:val="14"/>
          <w:color w:val="auto"/>
        </w:rPr>
        <w:t>(g)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25" w:lineRule="exact"/>
        <w:rPr>
          <w:sz w:val="20"/>
          <w:szCs w:val="20"/>
          <w:color w:val="auto"/>
        </w:rPr>
      </w:pPr>
    </w:p>
    <w:p>
      <w:pPr>
        <w:jc w:val="both"/>
        <w:ind w:right="160" w:firstLine="1271"/>
        <w:spacing w:after="0" w:line="269" w:lineRule="auto"/>
        <w:rPr>
          <w:sz w:val="20"/>
          <w:szCs w:val="20"/>
          <w:color w:val="auto"/>
        </w:rPr>
      </w:pPr>
      <w:r>
        <w:rPr>
          <w:rFonts w:ascii="Times New Roman" w:cs="Times New Roman" w:eastAsia="Times New Roman" w:hAnsi="Times New Roman"/>
          <w:sz w:val="14"/>
          <w:szCs w:val="14"/>
          <w:color w:val="auto"/>
        </w:rPr>
        <w:t>(h)          Any action taken by the Trustee pursuant to any provision hereof at the request or with the consent of any Person who at the time is the Holder of any Security shall be conclusive and binding in respect of such Security upon all future Holders thereof or of any Security or Securities which may be issued for or in lieu thereof in whole or in part, whether or not such Security shall have noted thereon the fact that such request or consent had been made or given.</w:t>
      </w:r>
    </w:p>
    <w:p>
      <w:pPr>
        <w:spacing w:after="0" w:line="136" w:lineRule="exact"/>
        <w:rPr>
          <w:sz w:val="20"/>
          <w:szCs w:val="20"/>
          <w:color w:val="auto"/>
        </w:rPr>
      </w:pPr>
    </w:p>
    <w:p>
      <w:pPr>
        <w:ind w:right="20" w:firstLine="1271"/>
        <w:spacing w:after="0" w:line="286" w:lineRule="auto"/>
        <w:rPr>
          <w:sz w:val="20"/>
          <w:szCs w:val="20"/>
          <w:color w:val="auto"/>
        </w:rPr>
      </w:pPr>
      <w:r>
        <w:rPr>
          <w:rFonts w:ascii="Times New Roman" w:cs="Times New Roman" w:eastAsia="Times New Roman" w:hAnsi="Times New Roman"/>
          <w:sz w:val="14"/>
          <w:szCs w:val="14"/>
          <w:color w:val="auto"/>
        </w:rPr>
        <w:t>(i)           The Trustee may conclusively rely and shall be protected in acting or refraining from acting upon any resolution, certificate, statement, instrument, opinion, report, notice, request, consent, order, approval, bond, debenture or other paper or document reasonably believed by it to be genuine and to have been signed or presented by the proper party or parties.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40"/>
          </w:cols>
          <w:pgMar w:left="300" w:top="739" w:right="359" w:bottom="1440" w:gutter="0" w:footer="0" w:header="0"/>
        </w:sectPr>
      </w:pPr>
    </w:p>
    <w:bookmarkStart w:id="100" w:name="page101"/>
    <w:bookmarkEnd w:id="100"/>
    <w:p>
      <w:pPr>
        <w:ind w:firstLine="1271"/>
        <w:spacing w:after="0" w:line="269" w:lineRule="auto"/>
        <w:rPr>
          <w:sz w:val="20"/>
          <w:szCs w:val="20"/>
          <w:color w:val="auto"/>
        </w:rPr>
      </w:pPr>
      <w:r>
        <w:rPr>
          <w:rFonts w:ascii="Times New Roman" w:cs="Times New Roman" w:eastAsia="Times New Roman" w:hAnsi="Times New Roman"/>
          <w:sz w:val="14"/>
          <w:szCs w:val="14"/>
          <w:color w:val="auto"/>
        </w:rPr>
        <w:t>(j)          The Trustee shall not be under any obligation to exercise any of the rights or powers vested in it by this Indenture at the request, order or direction of any of the Holders of the Securities, pursuant to any provision of this Indenture, unless one or more of the Holders of the Securities shall have offered, and, if requested, provided to the Trustee security or indemnity satisfactory to it against the costs, expenses and liabilities which may be incurred by it therein or thereby.</w:t>
      </w:r>
    </w:p>
    <w:p>
      <w:pPr>
        <w:spacing w:after="0" w:line="136" w:lineRule="exact"/>
        <w:rPr>
          <w:sz w:val="20"/>
          <w:szCs w:val="20"/>
          <w:color w:val="auto"/>
        </w:rPr>
      </w:pPr>
    </w:p>
    <w:p>
      <w:pPr>
        <w:ind w:right="60" w:firstLine="1271"/>
        <w:spacing w:after="0" w:line="286" w:lineRule="auto"/>
        <w:rPr>
          <w:sz w:val="20"/>
          <w:szCs w:val="20"/>
          <w:color w:val="auto"/>
        </w:rPr>
      </w:pPr>
      <w:r>
        <w:rPr>
          <w:rFonts w:ascii="Times New Roman" w:cs="Times New Roman" w:eastAsia="Times New Roman" w:hAnsi="Times New Roman"/>
          <w:sz w:val="14"/>
          <w:szCs w:val="14"/>
          <w:color w:val="auto"/>
        </w:rPr>
        <w:t>(k)          The Trustee shall not be liable for any action taken or omitted by it in good faith and believed by it to be authorized or within its discretion or within the rights or powers conferred upon it by this Indenture.</w:t>
      </w:r>
    </w:p>
    <w:p>
      <w:pPr>
        <w:spacing w:after="0" w:line="125" w:lineRule="exact"/>
        <w:rPr>
          <w:sz w:val="20"/>
          <w:szCs w:val="20"/>
          <w:color w:val="auto"/>
        </w:rPr>
      </w:pPr>
    </w:p>
    <w:p>
      <w:pPr>
        <w:ind w:right="20" w:firstLine="1271"/>
        <w:spacing w:after="0" w:line="286" w:lineRule="auto"/>
        <w:rPr>
          <w:sz w:val="20"/>
          <w:szCs w:val="20"/>
          <w:color w:val="auto"/>
        </w:rPr>
      </w:pPr>
      <w:r>
        <w:rPr>
          <w:rFonts w:ascii="Times New Roman" w:cs="Times New Roman" w:eastAsia="Times New Roman" w:hAnsi="Times New Roman"/>
          <w:sz w:val="14"/>
          <w:szCs w:val="14"/>
          <w:color w:val="auto"/>
        </w:rPr>
        <w:t>(l)           The Trustee shall not be deemed to have knowledge or notice of any Default or Event of Default unless a Responsible Officer of the Trustee has actual knowledge thereof or unless the Company or Holders of not less than 25% of the Outstanding Securities notify the Trustee in writing at the Corporate Trust Office thereof.</w:t>
      </w:r>
    </w:p>
    <w:p>
      <w:pPr>
        <w:spacing w:after="0" w:line="125" w:lineRule="exact"/>
        <w:rPr>
          <w:sz w:val="20"/>
          <w:szCs w:val="20"/>
          <w:color w:val="auto"/>
        </w:rPr>
      </w:pPr>
    </w:p>
    <w:p>
      <w:pPr>
        <w:ind w:right="340" w:firstLine="1271"/>
        <w:spacing w:after="0" w:line="269" w:lineRule="auto"/>
        <w:rPr>
          <w:sz w:val="20"/>
          <w:szCs w:val="20"/>
          <w:color w:val="auto"/>
        </w:rPr>
      </w:pPr>
      <w:r>
        <w:rPr>
          <w:rFonts w:ascii="Times New Roman" w:cs="Times New Roman" w:eastAsia="Times New Roman" w:hAnsi="Times New Roman"/>
          <w:sz w:val="14"/>
          <w:szCs w:val="14"/>
          <w:color w:val="auto"/>
        </w:rPr>
        <w:t>(m)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may, but shall not be required to, make further inquiry or investigation into such facts or matters as it may see fit.</w:t>
      </w:r>
    </w:p>
    <w:p>
      <w:pPr>
        <w:spacing w:after="0" w:line="136" w:lineRule="exact"/>
        <w:rPr>
          <w:sz w:val="20"/>
          <w:szCs w:val="20"/>
          <w:color w:val="auto"/>
        </w:rPr>
      </w:pPr>
    </w:p>
    <w:p>
      <w:pPr>
        <w:ind w:right="220" w:firstLine="1271"/>
        <w:spacing w:after="0" w:line="286" w:lineRule="auto"/>
        <w:rPr>
          <w:sz w:val="20"/>
          <w:szCs w:val="20"/>
          <w:color w:val="auto"/>
        </w:rPr>
      </w:pPr>
      <w:r>
        <w:rPr>
          <w:rFonts w:ascii="Times New Roman" w:cs="Times New Roman" w:eastAsia="Times New Roman" w:hAnsi="Times New Roman"/>
          <w:sz w:val="14"/>
          <w:szCs w:val="14"/>
          <w:color w:val="auto"/>
        </w:rPr>
        <w:t>(n)          The rights, privileges, protections, immunities and benefits given to the Trustee, including, without limitation, its right to be indemnified, are extended to, and shall be enforceable by, the Trustee in each of its capacities hereunder.</w:t>
      </w:r>
    </w:p>
    <w:p>
      <w:pPr>
        <w:spacing w:after="0" w:line="125" w:lineRule="exact"/>
        <w:rPr>
          <w:sz w:val="20"/>
          <w:szCs w:val="20"/>
          <w:color w:val="auto"/>
        </w:rPr>
      </w:pPr>
    </w:p>
    <w:p>
      <w:pPr>
        <w:jc w:val="both"/>
        <w:ind w:right="80" w:firstLine="1271"/>
        <w:spacing w:after="0" w:line="269" w:lineRule="auto"/>
        <w:rPr>
          <w:sz w:val="20"/>
          <w:szCs w:val="20"/>
          <w:color w:val="auto"/>
        </w:rPr>
      </w:pPr>
      <w:r>
        <w:rPr>
          <w:rFonts w:ascii="Times New Roman" w:cs="Times New Roman" w:eastAsia="Times New Roman" w:hAnsi="Times New Roman"/>
          <w:sz w:val="14"/>
          <w:szCs w:val="14"/>
          <w:color w:val="auto"/>
        </w:rPr>
        <w:t>(o)          In no event shall the Trustee be responsible or liable for special, indirect, punitive, incidental or consequential loss or damage of any kind whatsoever (including, but not limited to, loss of profit, goodwill or opportunity), whether or not foreseeable, even if the Trustee has been advised of the possibility of such loss or damage and regardless of the form of action. The provisions of this Section 11.01(o) shall survive the termination or discharge of this Indenture and the resignation or removal of the Trustee.</w:t>
      </w:r>
    </w:p>
    <w:p>
      <w:pPr>
        <w:spacing w:after="0" w:line="136" w:lineRule="exact"/>
        <w:rPr>
          <w:sz w:val="20"/>
          <w:szCs w:val="20"/>
          <w:color w:val="auto"/>
        </w:rPr>
      </w:pPr>
    </w:p>
    <w:p>
      <w:pPr>
        <w:ind w:right="20" w:firstLine="1271"/>
        <w:spacing w:after="0" w:line="269" w:lineRule="auto"/>
        <w:rPr>
          <w:sz w:val="20"/>
          <w:szCs w:val="20"/>
          <w:color w:val="auto"/>
        </w:rPr>
      </w:pPr>
      <w:r>
        <w:rPr>
          <w:rFonts w:ascii="Times New Roman" w:cs="Times New Roman" w:eastAsia="Times New Roman" w:hAnsi="Times New Roman"/>
          <w:sz w:val="14"/>
          <w:szCs w:val="14"/>
          <w:color w:val="auto"/>
        </w:rPr>
        <w:t>(p)          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(q)          The permissive right of the Trustee to take or refrain from taking action hereunder shall not be construed as a duty.</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          The Trustee is not required to give any bond or surety with respect to the performance of its duties or the exercise of its powers under this Indenture.</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20"/>
          </w:cols>
          <w:pgMar w:left="300" w:top="739" w:right="379" w:bottom="1440" w:gutter="0" w:footer="0" w:header="0"/>
        </w:sectPr>
      </w:pPr>
    </w:p>
    <w:bookmarkStart w:id="101" w:name="page102"/>
    <w:bookmarkEnd w:id="101"/>
    <w:p>
      <w:pPr>
        <w:ind w:firstLine="1271"/>
        <w:spacing w:after="0" w:line="259" w:lineRule="auto"/>
        <w:rPr>
          <w:sz w:val="20"/>
          <w:szCs w:val="20"/>
          <w:color w:val="auto"/>
        </w:rPr>
      </w:pPr>
      <w:r>
        <w:rPr>
          <w:rFonts w:ascii="Times New Roman" w:cs="Times New Roman" w:eastAsia="Times New Roman" w:hAnsi="Times New Roman"/>
          <w:sz w:val="14"/>
          <w:szCs w:val="14"/>
          <w:color w:val="auto"/>
        </w:rPr>
        <w:t>(s)          The Trustee may refrain from taking any action in any jurisdiction if taking such action in that jurisdiction would, in the reasonable opinion of the Trustee based on written legal advice received from qualified legal counsel in the relevant jurisdiction, be contrary to any law of that jurisdiction or, to the extent applicable, the State of New York. Furthermore, the Trustee may refrain from taking such action if, in the reasonable opinion of the Trustee based on such legal advice, it would otherwise render the Trustee liable to any person in that jurisdiction or the State of New York and there has not been offered to the Trustee pre-funding, security and/or indemnity satisfactory to it against the liabilities to be incurred therein or thereby, or the Trustee would not have the legal capacity to take such action in that jurisdiction by virtue of applicable law in that jurisdiction or the State of New York or by virtue of a written order of any court or other competent authority in that jurisdiction that the Trustee does not have such legal capacity.</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11.02   </w:t>
      </w:r>
      <w:r>
        <w:rPr>
          <w:rFonts w:ascii="Times New Roman" w:cs="Times New Roman" w:eastAsia="Times New Roman" w:hAnsi="Times New Roman"/>
          <w:sz w:val="14"/>
          <w:szCs w:val="14"/>
          <w:u w:val="single" w:color="auto"/>
          <w:color w:val="auto"/>
        </w:rPr>
        <w:t>  Duties of Trustee</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right="60" w:firstLine="1271"/>
        <w:spacing w:after="0" w:line="269" w:lineRule="auto"/>
        <w:rPr>
          <w:sz w:val="20"/>
          <w:szCs w:val="20"/>
          <w:color w:val="auto"/>
        </w:rPr>
      </w:pPr>
      <w:r>
        <w:rPr>
          <w:rFonts w:ascii="Times New Roman" w:cs="Times New Roman" w:eastAsia="Times New Roman" w:hAnsi="Times New Roman"/>
          <w:sz w:val="14"/>
          <w:szCs w:val="14"/>
          <w:color w:val="auto"/>
        </w:rPr>
        <w:t>(a)          If one or more of the Events of Default specified in Section 7.01 with respect to the Securities of any series shall have happened, then, during the continuance thereof, the Trustee shall, with respect to such Securities, exercise such of the rights and powers vested in it by this Indenture, and shall use the same degree of care and skill in their exercise, as a prudent person would exercise or use under the circumstances in the conduct of such person’s own affairs.</w:t>
      </w:r>
    </w:p>
    <w:p>
      <w:pPr>
        <w:spacing w:after="0" w:line="136" w:lineRule="exact"/>
        <w:rPr>
          <w:sz w:val="20"/>
          <w:szCs w:val="20"/>
          <w:color w:val="auto"/>
        </w:rPr>
      </w:pPr>
    </w:p>
    <w:p>
      <w:pPr>
        <w:ind w:right="20" w:firstLine="1271"/>
        <w:spacing w:after="0" w:line="286" w:lineRule="auto"/>
        <w:rPr>
          <w:sz w:val="20"/>
          <w:szCs w:val="20"/>
          <w:color w:val="auto"/>
        </w:rPr>
      </w:pPr>
      <w:r>
        <w:rPr>
          <w:rFonts w:ascii="Times New Roman" w:cs="Times New Roman" w:eastAsia="Times New Roman" w:hAnsi="Times New Roman"/>
          <w:sz w:val="14"/>
          <w:szCs w:val="14"/>
          <w:color w:val="auto"/>
        </w:rPr>
        <w:t>(b)          None of the provisions of this Indenture shall be construed as relieving the Trustee from liability for its own grossly negligent action, grossly negligent failure to act, or its own willful misconduct, except that, anything in this Indenture contained to the contrary notwithstanding,</w:t>
      </w:r>
    </w:p>
    <w:p>
      <w:pPr>
        <w:spacing w:after="0" w:line="1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(i)          unless and until an Event of Default specified in Section 7.01 with respect to the Securities of any series shall have happened which at the time is continuing,</w:t>
      </w:r>
    </w:p>
    <w:p>
      <w:pPr>
        <w:spacing w:after="0" w:line="178" w:lineRule="exact"/>
        <w:rPr>
          <w:sz w:val="20"/>
          <w:szCs w:val="20"/>
          <w:color w:val="auto"/>
        </w:rPr>
      </w:pPr>
    </w:p>
    <w:p>
      <w:pPr>
        <w:ind w:left="1020" w:right="60" w:firstLine="1779"/>
        <w:spacing w:after="0" w:line="269" w:lineRule="auto"/>
        <w:rPr>
          <w:sz w:val="20"/>
          <w:szCs w:val="20"/>
          <w:color w:val="auto"/>
        </w:rPr>
      </w:pPr>
      <w:r>
        <w:rPr>
          <w:rFonts w:ascii="Times New Roman" w:cs="Times New Roman" w:eastAsia="Times New Roman" w:hAnsi="Times New Roman"/>
          <w:sz w:val="14"/>
          <w:szCs w:val="14"/>
          <w:color w:val="auto"/>
        </w:rPr>
        <w:t>(A)          the Trustee undertakes to perform such duties and only such duties with respect to the Securities of that series as are specifically set out in this Indenture, and no implied covenants or obligations shall be read into this Indenture against the Trustee, whose duties and obligations shall be determined solely by the express provisions of this Indenture; and</w:t>
      </w:r>
    </w:p>
    <w:p>
      <w:pPr>
        <w:spacing w:after="0" w:line="136" w:lineRule="exact"/>
        <w:rPr>
          <w:sz w:val="20"/>
          <w:szCs w:val="20"/>
          <w:color w:val="auto"/>
        </w:rPr>
      </w:pPr>
    </w:p>
    <w:p>
      <w:pPr>
        <w:ind w:left="1020" w:firstLine="1779"/>
        <w:spacing w:after="0" w:line="261" w:lineRule="auto"/>
        <w:rPr>
          <w:sz w:val="20"/>
          <w:szCs w:val="20"/>
          <w:color w:val="auto"/>
        </w:rPr>
      </w:pPr>
      <w:r>
        <w:rPr>
          <w:rFonts w:ascii="Times New Roman" w:cs="Times New Roman" w:eastAsia="Times New Roman" w:hAnsi="Times New Roman"/>
          <w:sz w:val="14"/>
          <w:szCs w:val="14"/>
          <w:color w:val="auto"/>
        </w:rPr>
        <w:t>(B)          the Trustee may conclusively rely, as to the truth of the statements and the correctness of the opinions expressed therein, in the absence of gross negligence or willful misconduct on the part of the Trustee, upon certificates and opinions furnished to it pursuant to the express provisions of this Indenture; but in the case of any such certificates or opinions which, by the provisions of this Indenture,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102" w:name="page103"/>
    <w:bookmarkEnd w:id="102"/>
    <w:p>
      <w:pPr>
        <w:ind w:left="520" w:right="20" w:firstLine="1271"/>
        <w:spacing w:after="0" w:line="286" w:lineRule="auto"/>
        <w:rPr>
          <w:sz w:val="20"/>
          <w:szCs w:val="20"/>
          <w:color w:val="auto"/>
        </w:rPr>
      </w:pPr>
      <w:r>
        <w:rPr>
          <w:rFonts w:ascii="Times New Roman" w:cs="Times New Roman" w:eastAsia="Times New Roman" w:hAnsi="Times New Roman"/>
          <w:sz w:val="14"/>
          <w:szCs w:val="14"/>
          <w:color w:val="auto"/>
        </w:rPr>
        <w:t>(ii)         the Trustee shall not be liable to any Holder of Securities or to any other Person for any error of judgment made in good faith by a Responsible Officer or Officers of the Trustee, unless it shall be proved that the Trustee was negligent in ascertaining the pertinent facts; and</w:t>
      </w:r>
    </w:p>
    <w:p>
      <w:pPr>
        <w:spacing w:after="0" w:line="125" w:lineRule="exact"/>
        <w:rPr>
          <w:sz w:val="20"/>
          <w:szCs w:val="20"/>
          <w:color w:val="auto"/>
        </w:rPr>
      </w:pPr>
    </w:p>
    <w:p>
      <w:pPr>
        <w:jc w:val="both"/>
        <w:ind w:left="520" w:right="320" w:firstLine="1271"/>
        <w:spacing w:after="0" w:line="269" w:lineRule="auto"/>
        <w:rPr>
          <w:sz w:val="20"/>
          <w:szCs w:val="20"/>
          <w:color w:val="auto"/>
        </w:rPr>
      </w:pPr>
      <w:r>
        <w:rPr>
          <w:rFonts w:ascii="Times New Roman" w:cs="Times New Roman" w:eastAsia="Times New Roman" w:hAnsi="Times New Roman"/>
          <w:sz w:val="14"/>
          <w:szCs w:val="14"/>
          <w:color w:val="auto"/>
        </w:rPr>
        <w:t>(iii)        the Trustee shall not be liable to any Holder of Securities or to any other Person with respect to any action taken or omitted to be taken by it in good faith, in accordance with the direction of Securityholders given as provided in Section 7.06, relating to the time, method and place of conducting any proceeding for any remedy available to it or exercising any trust or power conferred upon it by this Indenture.</w:t>
      </w:r>
    </w:p>
    <w:p>
      <w:pPr>
        <w:spacing w:after="0" w:line="136" w:lineRule="exact"/>
        <w:rPr>
          <w:sz w:val="20"/>
          <w:szCs w:val="20"/>
          <w:color w:val="auto"/>
        </w:rPr>
      </w:pPr>
    </w:p>
    <w:p>
      <w:pPr>
        <w:jc w:val="both"/>
        <w:ind w:right="120" w:firstLine="1271"/>
        <w:spacing w:after="0" w:line="269" w:lineRule="auto"/>
        <w:rPr>
          <w:sz w:val="20"/>
          <w:szCs w:val="20"/>
          <w:color w:val="auto"/>
        </w:rPr>
      </w:pPr>
      <w:r>
        <w:rPr>
          <w:rFonts w:ascii="Times New Roman" w:cs="Times New Roman" w:eastAsia="Times New Roman" w:hAnsi="Times New Roman"/>
          <w:sz w:val="14"/>
          <w:szCs w:val="14"/>
          <w:color w:val="auto"/>
        </w:rPr>
        <w:t>(c)          None of the provisions of this Indenture shall require the Trustee to expend or risk its own funds or otherwise to incur any financial liability in the performance of any of its duties hereunder, or in the exercise of any of its rights or powers, if it shall have reasonable grounds for believing that repayment of such funds or adequate indemnity or security against such risk or liability is not reasonably assured to it.</w:t>
      </w:r>
    </w:p>
    <w:p>
      <w:pPr>
        <w:spacing w:after="0" w:line="136" w:lineRule="exact"/>
        <w:rPr>
          <w:sz w:val="20"/>
          <w:szCs w:val="20"/>
          <w:color w:val="auto"/>
        </w:rPr>
      </w:pPr>
    </w:p>
    <w:p>
      <w:pPr>
        <w:ind w:right="240" w:firstLine="1271"/>
        <w:spacing w:after="0" w:line="286" w:lineRule="auto"/>
        <w:rPr>
          <w:sz w:val="20"/>
          <w:szCs w:val="20"/>
          <w:color w:val="auto"/>
        </w:rPr>
      </w:pPr>
      <w:r>
        <w:rPr>
          <w:rFonts w:ascii="Times New Roman" w:cs="Times New Roman" w:eastAsia="Times New Roman" w:hAnsi="Times New Roman"/>
          <w:sz w:val="14"/>
          <w:szCs w:val="14"/>
          <w:color w:val="auto"/>
        </w:rPr>
        <w:t>(d)          Whether or not therein expressly so provided, every provision of this Indenture relating to the conduct or affecting the liability of or affording protection to the Trustee shall be subject to the provisions of this Section 11.02.</w:t>
      </w:r>
    </w:p>
    <w:p>
      <w:pPr>
        <w:spacing w:after="0" w:line="125" w:lineRule="exact"/>
        <w:rPr>
          <w:sz w:val="20"/>
          <w:szCs w:val="20"/>
          <w:color w:val="auto"/>
        </w:rPr>
      </w:pPr>
    </w:p>
    <w:p>
      <w:pPr>
        <w:ind w:right="20" w:firstLine="508"/>
        <w:spacing w:after="0" w:line="257" w:lineRule="auto"/>
        <w:rPr>
          <w:sz w:val="20"/>
          <w:szCs w:val="20"/>
          <w:color w:val="auto"/>
        </w:rPr>
      </w:pPr>
      <w:r>
        <w:rPr>
          <w:rFonts w:ascii="Times New Roman" w:cs="Times New Roman" w:eastAsia="Times New Roman" w:hAnsi="Times New Roman"/>
          <w:sz w:val="14"/>
          <w:szCs w:val="14"/>
          <w:color w:val="auto"/>
        </w:rPr>
        <w:t>Section 11.03   </w:t>
      </w:r>
      <w:r>
        <w:rPr>
          <w:rFonts w:ascii="Times New Roman" w:cs="Times New Roman" w:eastAsia="Times New Roman" w:hAnsi="Times New Roman"/>
          <w:sz w:val="14"/>
          <w:szCs w:val="14"/>
          <w:u w:val="single" w:color="auto"/>
          <w:color w:val="auto"/>
        </w:rPr>
        <w:t>  Notice of Defaults</w:t>
      </w:r>
      <w:r>
        <w:rPr>
          <w:rFonts w:ascii="Times New Roman" w:cs="Times New Roman" w:eastAsia="Times New Roman" w:hAnsi="Times New Roman"/>
          <w:sz w:val="14"/>
          <w:szCs w:val="14"/>
          <w:color w:val="auto"/>
        </w:rPr>
        <w:t>. Within the later of 90 days after the occurrence thereof, and if known to the Trustee, promptly after obtaining knowledge thereof, the Trustee shall give to the Holders of the Securities of a series notice of each Default or Event of Default with respect to the Securities of such series known to the Trustee, by transmitting such notice to Holders at their addresses as the same shall then appear on the Register of the Company, unless such Default shall have been cured or waived before the giving of such notice (the term “Default” being hereby defined to be the events specified in Section 7.01, which are, or after notice or lapse of time or both would become, Events of Default as defined in said Section). Except in the case of a Default or Event of Default in payment of the principal of, premium, if any, or interest on any of the Securities of such series when and as the same shall become payable, or to make any sinking fund payment as to Securities of the same series, the Trustee shall be protected in withholding such notice, if and so long as a Responsible Officer or Responsible Officers of the Trustee in good faith determines that the withholding of such notice is in the interests of the Holders of the Securities of such series (it being understood that the Trustee does not have an affirmative duty to ascertain whether or not any such notice is in the interests of such Holders).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11.04   </w:t>
      </w:r>
      <w:r>
        <w:rPr>
          <w:rFonts w:ascii="Times New Roman" w:cs="Times New Roman" w:eastAsia="Times New Roman" w:hAnsi="Times New Roman"/>
          <w:sz w:val="14"/>
          <w:szCs w:val="14"/>
          <w:u w:val="single" w:color="auto"/>
          <w:color w:val="auto"/>
        </w:rPr>
        <w:t>  Eligibility; Disqualification</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1271"/>
        <w:spacing w:after="0" w:line="269" w:lineRule="auto"/>
        <w:rPr>
          <w:sz w:val="20"/>
          <w:szCs w:val="20"/>
          <w:color w:val="auto"/>
        </w:rPr>
      </w:pPr>
      <w:r>
        <w:rPr>
          <w:rFonts w:ascii="Times New Roman" w:cs="Times New Roman" w:eastAsia="Times New Roman" w:hAnsi="Times New Roman"/>
          <w:sz w:val="14"/>
          <w:szCs w:val="14"/>
          <w:color w:val="auto"/>
        </w:rPr>
        <w:t>(a)          The Trustee shall at all times satisfy the requirements of TIA Section 310(a). The Trustee shall have a combined capital and surplus of at least $50 million as set forth in its most recent published annual report of condition, and shall have a Corporate Trust Office. If at any time the Trustee shall cease to be eligible in accordance with the provisions of this Section 11.04, it shall resign immediately in the manner and with the effect hereinafter specified in this Article.</w:t>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03" w:name="page104"/>
    <w:bookmarkEnd w:id="103"/>
    <w:p>
      <w:pPr>
        <w:ind w:left="1280"/>
        <w:spacing w:after="0"/>
        <w:rPr>
          <w:sz w:val="20"/>
          <w:szCs w:val="20"/>
          <w:color w:val="auto"/>
        </w:rPr>
      </w:pPr>
      <w:r>
        <w:rPr>
          <w:rFonts w:ascii="Times New Roman" w:cs="Times New Roman" w:eastAsia="Times New Roman" w:hAnsi="Times New Roman"/>
          <w:sz w:val="14"/>
          <w:szCs w:val="14"/>
          <w:color w:val="auto"/>
        </w:rPr>
        <w:t>(b)          The Trustee shall comply with TIA Section 310(b); provided, however, that there shall be excluded from the operation of TIA Section 310(b)(i) any indenture 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indentures under which other securities or certificates of interest or participation in other securities of the Company are outstanding if the requirements for such exclusion set forth in TIA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310(b)(i) are met. If the Trustee has or shall acquire a conflicting interest within the meaning of Section 310(b) of the Trust Indenture Act, the Trustee shall either eliminate such interest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resign, to the extent and in the manner provided by, and subject to the provisions of, the Trust Indenture Act and this Indenture. If Section 310(b) of the Trust Indenture Act is amended any time after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date of this Indenture to change the circumstances under which a Trustee shall be deemed to have a conflicting interest with respect to the Securities of any series or to change any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definitions in connection therewith, this Section 11.04 shall be automatically amended to incorporate such changes.</w:t>
      </w:r>
    </w:p>
    <w:p>
      <w:pPr>
        <w:spacing w:after="0" w:line="164" w:lineRule="exact"/>
        <w:rPr>
          <w:sz w:val="20"/>
          <w:szCs w:val="20"/>
          <w:color w:val="auto"/>
        </w:rPr>
      </w:pPr>
    </w:p>
    <w:p>
      <w:pPr>
        <w:ind w:right="20" w:firstLine="508"/>
        <w:spacing w:after="0" w:line="261" w:lineRule="auto"/>
        <w:rPr>
          <w:sz w:val="20"/>
          <w:szCs w:val="20"/>
          <w:color w:val="auto"/>
        </w:rPr>
      </w:pPr>
      <w:r>
        <w:rPr>
          <w:rFonts w:ascii="Times New Roman" w:cs="Times New Roman" w:eastAsia="Times New Roman" w:hAnsi="Times New Roman"/>
          <w:sz w:val="14"/>
          <w:szCs w:val="14"/>
          <w:color w:val="auto"/>
        </w:rPr>
        <w:t>Section 11.05   </w:t>
      </w:r>
      <w:r>
        <w:rPr>
          <w:rFonts w:ascii="Times New Roman" w:cs="Times New Roman" w:eastAsia="Times New Roman" w:hAnsi="Times New Roman"/>
          <w:sz w:val="14"/>
          <w:szCs w:val="14"/>
          <w:u w:val="single" w:color="auto"/>
          <w:color w:val="auto"/>
        </w:rPr>
        <w:t>  Resignation and Notice; Removal</w:t>
      </w:r>
      <w:r>
        <w:rPr>
          <w:rFonts w:ascii="Times New Roman" w:cs="Times New Roman" w:eastAsia="Times New Roman" w:hAnsi="Times New Roman"/>
          <w:sz w:val="14"/>
          <w:szCs w:val="14"/>
          <w:color w:val="auto"/>
        </w:rPr>
        <w:t>. The Trustee, or any successor to it hereafter appointed, may at any time resign and be discharged of the trusts hereby created with respect to any one or more or all series of Securities by giving to the Company notice in writing. Such resignation shall take effect upon the appointment of a successor Trustee and the acceptance of such appointment by such successor Trustee. Any Trustee hereunder may be removed with respect to any series of Securities at any time by the filing with such Trustee and the delivery to the Company of an instrument or instruments in writing signed by the Holders of a majority in principal amount of the Securities of such series then Outstanding, specifying such removal and the date when it shall become effective.</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at any time:</w:t>
      </w:r>
    </w:p>
    <w:p>
      <w:pPr>
        <w:spacing w:after="0" w:line="178" w:lineRule="exact"/>
        <w:rPr>
          <w:sz w:val="20"/>
          <w:szCs w:val="20"/>
          <w:color w:val="auto"/>
        </w:rPr>
      </w:pPr>
    </w:p>
    <w:p>
      <w:pPr>
        <w:ind w:right="500" w:firstLine="508"/>
        <w:spacing w:after="0" w:line="286" w:lineRule="auto"/>
        <w:rPr>
          <w:sz w:val="20"/>
          <w:szCs w:val="20"/>
          <w:color w:val="auto"/>
        </w:rPr>
      </w:pPr>
      <w:r>
        <w:rPr>
          <w:rFonts w:ascii="Times New Roman" w:cs="Times New Roman" w:eastAsia="Times New Roman" w:hAnsi="Times New Roman"/>
          <w:sz w:val="14"/>
          <w:szCs w:val="14"/>
          <w:color w:val="auto"/>
        </w:rPr>
        <w:t>(1)          the Trustee shall fail to comply with the provisions of TIA Section 310(b) after written request therefor by the Company or by any Holder who has been a bona fide Holder of a Security for at least six months (or, if it is a shorter period, the period since the initial issuance of the Securities of such series), or</w:t>
      </w:r>
    </w:p>
    <w:p>
      <w:pPr>
        <w:spacing w:after="0" w:line="125" w:lineRule="exact"/>
        <w:rPr>
          <w:sz w:val="20"/>
          <w:szCs w:val="20"/>
          <w:color w:val="auto"/>
        </w:rPr>
      </w:pPr>
    </w:p>
    <w:p>
      <w:pPr>
        <w:ind w:right="180" w:firstLine="508"/>
        <w:spacing w:after="0" w:line="286" w:lineRule="auto"/>
        <w:rPr>
          <w:sz w:val="20"/>
          <w:szCs w:val="20"/>
          <w:color w:val="auto"/>
        </w:rPr>
      </w:pPr>
      <w:r>
        <w:rPr>
          <w:rFonts w:ascii="Times New Roman" w:cs="Times New Roman" w:eastAsia="Times New Roman" w:hAnsi="Times New Roman"/>
          <w:sz w:val="14"/>
          <w:szCs w:val="14"/>
          <w:color w:val="auto"/>
        </w:rPr>
        <w:t>(2)          the Trustee shall cease to be eligible under Section 11.04 and shall fail to resign after written request therefor by the Company or by any Holder who has been a bona fide Holder of a Security for at least six months (or, if it is a shorter period, the period since the initial issuance of the Securities of such series), or</w:t>
      </w:r>
    </w:p>
    <w:p>
      <w:pPr>
        <w:spacing w:after="0" w:line="125" w:lineRule="exact"/>
        <w:rPr>
          <w:sz w:val="20"/>
          <w:szCs w:val="20"/>
          <w:color w:val="auto"/>
        </w:rPr>
      </w:pPr>
    </w:p>
    <w:p>
      <w:pPr>
        <w:ind w:right="40" w:firstLine="508"/>
        <w:spacing w:after="0" w:line="286" w:lineRule="auto"/>
        <w:rPr>
          <w:sz w:val="20"/>
          <w:szCs w:val="20"/>
          <w:color w:val="auto"/>
        </w:rPr>
      </w:pPr>
      <w:r>
        <w:rPr>
          <w:rFonts w:ascii="Times New Roman" w:cs="Times New Roman" w:eastAsia="Times New Roman" w:hAnsi="Times New Roman"/>
          <w:sz w:val="14"/>
          <w:szCs w:val="14"/>
          <w:color w:val="auto"/>
        </w:rPr>
        <w:t>(3)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2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then, in any such case, (i) the Company by written notice to the Trustee may remove the Trustee and appoint a successor Trustee with respect to all Securities, or (ii) subject to TIA Section 315(e), any Securityholder who has been a bona fide Holder of a Security for at least six months (or, if it is a shorter period, the period since the initial issuance of the Securities of such series) may, on behalf of himself and all others similarly situated, petition any court of competent jurisdiction for the removal of the Trustee with respect to all Securities and the appointment of a successor Trustee or Trustees.</w:t>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04" w:name="page105"/>
    <w:bookmarkEnd w:id="104"/>
    <w:p>
      <w:pPr>
        <w:ind w:right="100" w:firstLine="508"/>
        <w:spacing w:after="0" w:line="286" w:lineRule="auto"/>
        <w:rPr>
          <w:sz w:val="20"/>
          <w:szCs w:val="20"/>
          <w:color w:val="auto"/>
        </w:rPr>
      </w:pPr>
      <w:r>
        <w:rPr>
          <w:rFonts w:ascii="Times New Roman" w:cs="Times New Roman" w:eastAsia="Times New Roman" w:hAnsi="Times New Roman"/>
          <w:sz w:val="14"/>
          <w:szCs w:val="14"/>
          <w:color w:val="auto"/>
        </w:rPr>
        <w:t>In addition, the Company may remove the Trustee with respect to Securities of any series without cause if the Company gives written notice to the Trustee of such proposed removal at least three months in advance of the proposed effective date of such removal.</w:t>
      </w:r>
    </w:p>
    <w:p>
      <w:pPr>
        <w:spacing w:after="0" w:line="125" w:lineRule="exact"/>
        <w:rPr>
          <w:sz w:val="20"/>
          <w:szCs w:val="20"/>
          <w:color w:val="auto"/>
        </w:rPr>
      </w:pPr>
    </w:p>
    <w:p>
      <w:pPr>
        <w:jc w:val="both"/>
        <w:ind w:right="440" w:firstLine="508"/>
        <w:spacing w:after="0" w:line="269" w:lineRule="auto"/>
        <w:rPr>
          <w:sz w:val="20"/>
          <w:szCs w:val="20"/>
          <w:color w:val="auto"/>
        </w:rPr>
      </w:pPr>
      <w:r>
        <w:rPr>
          <w:rFonts w:ascii="Times New Roman" w:cs="Times New Roman" w:eastAsia="Times New Roman" w:hAnsi="Times New Roman"/>
          <w:sz w:val="14"/>
          <w:szCs w:val="14"/>
          <w:color w:val="auto"/>
        </w:rPr>
        <w:t>Upon its resignation or removal, any Trustee shall be entitled to the payment of reasonable compensation for the services rendered hereunder by such Trustee and to the payment of all reasonable and documented expenses incurred hereunder and all moneys then due to it hereunder. The Trustee’s rights to indemnification and its lien provided in this Indenture shall survive its resignation or removal, the satisfaction and discharge of this Indenture or the termination of this Indenture for any reason.</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11.06   </w:t>
      </w:r>
      <w:r>
        <w:rPr>
          <w:rFonts w:ascii="Times New Roman" w:cs="Times New Roman" w:eastAsia="Times New Roman" w:hAnsi="Times New Roman"/>
          <w:sz w:val="14"/>
          <w:szCs w:val="14"/>
          <w:u w:val="single" w:color="auto"/>
          <w:color w:val="auto"/>
        </w:rPr>
        <w:t>  Successor Trustee by Appointment</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firstLine="1271"/>
        <w:spacing w:after="0" w:line="257" w:lineRule="auto"/>
        <w:rPr>
          <w:sz w:val="20"/>
          <w:szCs w:val="20"/>
          <w:color w:val="auto"/>
        </w:rPr>
      </w:pPr>
      <w:r>
        <w:rPr>
          <w:rFonts w:ascii="Times New Roman" w:cs="Times New Roman" w:eastAsia="Times New Roman" w:hAnsi="Times New Roman"/>
          <w:sz w:val="14"/>
          <w:szCs w:val="14"/>
          <w:color w:val="auto"/>
        </w:rPr>
        <w:t>(a)          In case at any time the Trustee shall resign, or shall be removed or if a vacancy exists in the office of the Trustee for any reason, with respect to Securities of any or all series, the Company shall promptly appoint a successor Trustee. However, if all or substantially all the assets of the Company shall be in the possession of one or more custodians or receivers lawfully appointed, or of trustees in bankruptcy or reorganization proceedings (including a trustee or trustees appointed under the provisions of the federal bankruptcy laws, as now or hereafter constituted), or of assignees for the benefit of creditors, such receivers, custodians, trustees or assignees, as the case may be, shall promptly appoint a successor Trustee with respect to the Securities of any or all series. Subject to the provisions of Sections 11.04 and 11.05, upon the appointment as aforesaid of a successor Trustee with respect to the Securities of any series, the Trustee with respect to the Securities of such series shall cease to be Trustee hereunder. After any such appointment other than by the Holders of Securities of any such series, the Person making such appointment shall forthwith cause notice thereof to be mailed to the Holders of Securities of such series at their addresses as the same shall then appear on the Register of the Company. Any failure of the Company to mail such notice, or any defect therein, shall not, however, in any way impair or affect the validity of such appointment.</w:t>
      </w:r>
    </w:p>
    <w:p>
      <w:pPr>
        <w:spacing w:after="0" w:line="146" w:lineRule="exact"/>
        <w:rPr>
          <w:sz w:val="20"/>
          <w:szCs w:val="20"/>
          <w:color w:val="auto"/>
        </w:rPr>
      </w:pPr>
    </w:p>
    <w:p>
      <w:pPr>
        <w:ind w:right="20" w:firstLine="1271"/>
        <w:spacing w:after="0" w:line="259" w:lineRule="auto"/>
        <w:rPr>
          <w:sz w:val="20"/>
          <w:szCs w:val="20"/>
          <w:color w:val="auto"/>
        </w:rPr>
      </w:pPr>
      <w:r>
        <w:rPr>
          <w:rFonts w:ascii="Times New Roman" w:cs="Times New Roman" w:eastAsia="Times New Roman" w:hAnsi="Times New Roman"/>
          <w:sz w:val="14"/>
          <w:szCs w:val="14"/>
          <w:color w:val="auto"/>
        </w:rPr>
        <w:t>(b)          If any Trustee with respect to the Securities of any series shall resign or be removed and a successor Trustee shall not have been appointed by the Company or, if any successor Trustee so appointed shall not have accepted its appointment within 30 days after such appointment shall have been made, the resigning Trustee at the expense of the Company may apply to any court of competent jurisdiction for the appointment of a successor Trustee. If in any other case a successor Trustee shall not be appointed pursuant to the foregoing provisions of this Section 11.06 within three months after such appointment might have been made hereunder, the Holder of any Security of the applicable series or any retiring Trustee at the expense of the Company may apply to any court of competent jurisdiction to appoint a successor Trustee. Such court may thereupon, in any such case, after such notice, if any, as such court may deem proper and prescribe, appoint a successor Trustee.</w:t>
      </w: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05" w:name="page106"/>
    <w:bookmarkEnd w:id="105"/>
    <w:p>
      <w:pPr>
        <w:ind w:firstLine="1271"/>
        <w:spacing w:after="0" w:line="256" w:lineRule="auto"/>
        <w:rPr>
          <w:sz w:val="20"/>
          <w:szCs w:val="20"/>
          <w:color w:val="auto"/>
        </w:rPr>
      </w:pPr>
      <w:r>
        <w:rPr>
          <w:rFonts w:ascii="Times New Roman" w:cs="Times New Roman" w:eastAsia="Times New Roman" w:hAnsi="Times New Roman"/>
          <w:sz w:val="14"/>
          <w:szCs w:val="14"/>
          <w:color w:val="auto"/>
        </w:rPr>
        <w:t>(c)          Any successor Trustee appointed hereunder with respect to the Securities of one or more series shall execute, acknowledge and deliver to its predecessor Trustee and to the Company, or to the receivers, trustees, assignees or court appointing it, as the case may be, an instrument accepting such appointment hereunder, and thereupon such successor Trustee, without any further act, deed or conveyance, shall become vested with all the authority, rights, powers, trusts, immunities, duties and obligations with respect to such series of such predecessor Trustee with like effect as if originally named as Trustee hereunder, and such predecessor Trustee, upon payment of its charges and disbursements then unpaid, shall thereupon become obligated to pay over, and such successor Trustee shall be entitled to receive, all moneys and properties held by such predecessor Trustee as Trustee hereunder with respect to the Securities of such series, subject nevertheless to its lien provided for in Section 11.01(a). Nevertheless, on the written request of the Company or of the successor Trustee or of the Holders of at least 10% in principal amount of the Securities of any such series then Outstanding, such predecessor Trustee, upon payment of its said charges and disbursements, shall execute and deliver an instrument transferring to such successor Trustee upon the trusts herein expressed all the rights, powers and trusts of such predecessor Trustee with respect to the Securities of such series and shall assign, transfer and deliver to the successor Trustee all moneys and properties held by such predecessor Trustee with respect to the Securities of such series, subject nevertheless to its lien provided for in Section 11.01(a); and, upon request of any such successor Trustee or the Company shall make, execute, acknowledge and deliver any and all instruments in writing for more fully and effectually vesting in and confirming to such successor Trustee all such authority, rights, powers, trusts, immunities, duties and obligations.</w:t>
      </w:r>
    </w:p>
    <w:p>
      <w:pPr>
        <w:spacing w:after="0" w:line="144" w:lineRule="exact"/>
        <w:rPr>
          <w:sz w:val="20"/>
          <w:szCs w:val="20"/>
          <w:color w:val="auto"/>
        </w:rPr>
      </w:pPr>
    </w:p>
    <w:p>
      <w:pPr>
        <w:ind w:right="20" w:firstLine="508"/>
        <w:spacing w:after="0" w:line="256" w:lineRule="auto"/>
        <w:rPr>
          <w:sz w:val="20"/>
          <w:szCs w:val="20"/>
          <w:color w:val="auto"/>
        </w:rPr>
      </w:pPr>
      <w:r>
        <w:rPr>
          <w:rFonts w:ascii="Times New Roman" w:cs="Times New Roman" w:eastAsia="Times New Roman" w:hAnsi="Times New Roman"/>
          <w:sz w:val="14"/>
          <w:szCs w:val="14"/>
          <w:color w:val="auto"/>
        </w:rPr>
        <w:t>Section 11.07 </w:t>
      </w:r>
      <w:r>
        <w:rPr>
          <w:rFonts w:ascii="Times New Roman" w:cs="Times New Roman" w:eastAsia="Times New Roman" w:hAnsi="Times New Roman"/>
          <w:sz w:val="14"/>
          <w:szCs w:val="14"/>
          <w:u w:val="single" w:color="auto"/>
          <w:color w:val="auto"/>
        </w:rPr>
        <w:t>  Successor Trustee by Merger</w:t>
      </w:r>
      <w:r>
        <w:rPr>
          <w:rFonts w:ascii="Times New Roman" w:cs="Times New Roman" w:eastAsia="Times New Roman" w:hAnsi="Times New Roman"/>
          <w:sz w:val="14"/>
          <w:szCs w:val="14"/>
          <w:color w:val="auto"/>
        </w:rPr>
        <w:t>. 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provided that such Person shall be otherwise qualified and eligible under this Article. In case at the time such successor to the Trustee shall succeed to the trusts created by this Indenture with respect to one or more series of Securities, any of such Securities shall have been authenticated but not delivered by the Trustee then in office, any successor to such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certificates shall have the full force which it is anywhere in the Securities or in this Indenture provided that the certificate of the Trustee shall have; provided, however, that the right to adopt the certificate of authentication of any predecessor Trustee or authenticate Securities in the name of any predecessor Trustee shall apply only to its successor or successors by merger, conversion or consolidation.</w:t>
      </w:r>
    </w:p>
    <w:p>
      <w:pPr>
        <w:spacing w:after="0" w:line="147" w:lineRule="exact"/>
        <w:rPr>
          <w:sz w:val="20"/>
          <w:szCs w:val="20"/>
          <w:color w:val="auto"/>
        </w:rPr>
      </w:pPr>
    </w:p>
    <w:p>
      <w:pPr>
        <w:ind w:right="100" w:firstLine="508"/>
        <w:spacing w:after="0" w:line="261" w:lineRule="auto"/>
        <w:rPr>
          <w:sz w:val="20"/>
          <w:szCs w:val="20"/>
          <w:color w:val="auto"/>
        </w:rPr>
      </w:pPr>
      <w:r>
        <w:rPr>
          <w:rFonts w:ascii="Times New Roman" w:cs="Times New Roman" w:eastAsia="Times New Roman" w:hAnsi="Times New Roman"/>
          <w:sz w:val="14"/>
          <w:szCs w:val="14"/>
          <w:color w:val="auto"/>
        </w:rPr>
        <w:t>Section 11.08 </w:t>
      </w:r>
      <w:r>
        <w:rPr>
          <w:rFonts w:ascii="Times New Roman" w:cs="Times New Roman" w:eastAsia="Times New Roman" w:hAnsi="Times New Roman"/>
          <w:sz w:val="14"/>
          <w:szCs w:val="14"/>
          <w:u w:val="single" w:color="auto"/>
          <w:color w:val="auto"/>
        </w:rPr>
        <w:t>  Right to Rely on Officer’s Certificate</w:t>
      </w:r>
      <w:r>
        <w:rPr>
          <w:rFonts w:ascii="Times New Roman" w:cs="Times New Roman" w:eastAsia="Times New Roman" w:hAnsi="Times New Roman"/>
          <w:sz w:val="14"/>
          <w:szCs w:val="14"/>
          <w:color w:val="auto"/>
        </w:rPr>
        <w:t xml:space="preserve"> and Opinion of Counsel. Whenever in the administration of the provisions of this Indenture the Trustee shall deem it necessary or desirable that a matter be proved or established prior to taking or suffering any action hereunder, such matter (unless other evidence in respect thereof be herein specifically prescribed) may, in the absence of gross negligence or willful misconduct on the part of the Trustee, be deemed to be conclusively proved and established by an Officer’s Certificate and an Opinion of Counsel with respect thereto delivered to the Trustee, and such Officer’s Certificate and Opinion of Counsel, in the absence of gross negligence or willful misconduct on the part of the Trustee, shall be full warrant to the Trustee for any action taken, suffered or omitted by it under the provisions of this Indenture upon the faith thereof.</w:t>
      </w: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106" w:name="page107"/>
    <w:bookmarkEnd w:id="106"/>
    <w:p>
      <w:pPr>
        <w:ind w:right="80" w:firstLine="508"/>
        <w:spacing w:after="0" w:line="263" w:lineRule="auto"/>
        <w:rPr>
          <w:sz w:val="20"/>
          <w:szCs w:val="20"/>
          <w:color w:val="auto"/>
        </w:rPr>
      </w:pPr>
      <w:r>
        <w:rPr>
          <w:rFonts w:ascii="Times New Roman" w:cs="Times New Roman" w:eastAsia="Times New Roman" w:hAnsi="Times New Roman"/>
          <w:sz w:val="14"/>
          <w:szCs w:val="14"/>
          <w:color w:val="auto"/>
        </w:rPr>
        <w:t>Section 11.09 </w:t>
      </w:r>
      <w:r>
        <w:rPr>
          <w:rFonts w:ascii="Times New Roman" w:cs="Times New Roman" w:eastAsia="Times New Roman" w:hAnsi="Times New Roman"/>
          <w:sz w:val="14"/>
          <w:szCs w:val="14"/>
          <w:u w:val="single" w:color="auto"/>
          <w:color w:val="auto"/>
        </w:rPr>
        <w:t>  Appointment of Authenticating Agent</w:t>
      </w:r>
      <w:r>
        <w:rPr>
          <w:rFonts w:ascii="Times New Roman" w:cs="Times New Roman" w:eastAsia="Times New Roman" w:hAnsi="Times New Roman"/>
          <w:sz w:val="14"/>
          <w:szCs w:val="14"/>
          <w:color w:val="auto"/>
        </w:rPr>
        <w:t>. The Trustee may appoint an agent (the “Authenticating Agent”) acceptable to the Company to authenticate the Securities, and the Trustee shall give written notice of such appointment to all Holders of Securities of the series with respect to which such Authenticating Agent will serve. Unless limited by the terms of such appointment, any such Authenticating Agent may authenticate Securities whenever the Trustee may do so. Each reference in this Indenture to authentication by the Trustee includes authentication by the Authenticating Agent. Securities so authenticated shall be entitled to the benefits of this Indenture and shall be valid and obligatory for all purposes as if authenticated by the Trustee hereunder.</w:t>
      </w:r>
    </w:p>
    <w:p>
      <w:pPr>
        <w:spacing w:after="0" w:line="142" w:lineRule="exact"/>
        <w:rPr>
          <w:sz w:val="20"/>
          <w:szCs w:val="20"/>
          <w:color w:val="auto"/>
        </w:rPr>
      </w:pPr>
    </w:p>
    <w:p>
      <w:pPr>
        <w:ind w:right="20" w:firstLine="508"/>
        <w:spacing w:after="0" w:line="261" w:lineRule="auto"/>
        <w:rPr>
          <w:sz w:val="20"/>
          <w:szCs w:val="20"/>
          <w:color w:val="auto"/>
        </w:rPr>
      </w:pPr>
      <w:r>
        <w:rPr>
          <w:rFonts w:ascii="Times New Roman" w:cs="Times New Roman" w:eastAsia="Times New Roman" w:hAnsi="Times New Roman"/>
          <w:sz w:val="14"/>
          <w:szCs w:val="14"/>
          <w:color w:val="auto"/>
        </w:rPr>
        <w:t>Each Authenticating Agent shall at all times be a corporation organized and doing business and in good standing under the laws of the United States, any State thereof or the District of Columbia, authorized under such laws to act as Authenticating Agent, having a combined capital and surplus of not less than $50,000,000 and subject to supervision or examination by Federal or State authority. If such corporation publishes reports of condition at least annually, pursuant to law or to the requirements of said supervising or examining authority, then for the purposes of this Article XI,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Article XI, it shall resign immediately in the manner and with the effect specified in this Article XI.</w:t>
      </w:r>
    </w:p>
    <w:p>
      <w:pPr>
        <w:spacing w:after="0" w:line="141" w:lineRule="exact"/>
        <w:rPr>
          <w:sz w:val="20"/>
          <w:szCs w:val="20"/>
          <w:color w:val="auto"/>
        </w:rPr>
      </w:pPr>
    </w:p>
    <w:p>
      <w:pPr>
        <w:ind w:firstLine="508"/>
        <w:spacing w:after="0" w:line="269" w:lineRule="auto"/>
        <w:rPr>
          <w:sz w:val="20"/>
          <w:szCs w:val="20"/>
          <w:color w:val="auto"/>
        </w:rPr>
      </w:pPr>
      <w:r>
        <w:rPr>
          <w:rFonts w:ascii="Times New Roman" w:cs="Times New Roman" w:eastAsia="Times New Roman" w:hAnsi="Times New Roman"/>
          <w:sz w:val="14"/>
          <w:szCs w:val="14"/>
          <w:color w:val="auto"/>
        </w:rPr>
        <w:t>Any Person into which an Authenticating Agent may be merged or converted or with which it may be consolidated, or any Person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Article XI, without the execution or filing of any paper or any further act on the part of the Trustee or the Authenticating Agent.</w:t>
      </w:r>
    </w:p>
    <w:p>
      <w:pPr>
        <w:spacing w:after="0" w:line="136" w:lineRule="exact"/>
        <w:rPr>
          <w:sz w:val="20"/>
          <w:szCs w:val="20"/>
          <w:color w:val="auto"/>
        </w:rPr>
      </w:pPr>
    </w:p>
    <w:p>
      <w:pPr>
        <w:ind w:right="100" w:firstLine="508"/>
        <w:spacing w:after="0" w:line="259" w:lineRule="auto"/>
        <w:rPr>
          <w:sz w:val="20"/>
          <w:szCs w:val="20"/>
          <w:color w:val="auto"/>
        </w:rPr>
      </w:pPr>
      <w:r>
        <w:rPr>
          <w:rFonts w:ascii="Times New Roman" w:cs="Times New Roman" w:eastAsia="Times New Roman" w:hAnsi="Times New Roman"/>
          <w:sz w:val="14"/>
          <w:szCs w:val="14"/>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11.09, the Trustee may appoint a successor Authenticating Agent which shall be acceptable to the Company and shall give written notice of such appointment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11.09.</w:t>
      </w: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107" w:name="page108"/>
    <w:bookmarkEnd w:id="107"/>
    <w:p>
      <w:pPr>
        <w:ind w:left="520"/>
        <w:spacing w:after="0"/>
        <w:rPr>
          <w:sz w:val="20"/>
          <w:szCs w:val="20"/>
          <w:color w:val="auto"/>
        </w:rPr>
      </w:pPr>
      <w:r>
        <w:rPr>
          <w:rFonts w:ascii="Times New Roman" w:cs="Times New Roman" w:eastAsia="Times New Roman" w:hAnsi="Times New Roman"/>
          <w:sz w:val="14"/>
          <w:szCs w:val="14"/>
          <w:color w:val="auto"/>
        </w:rPr>
        <w:t>The Company agrees to pay to each Authenticating Agent from time to time reasonable compensation for its services under this Section 11.09.</w:t>
      </w:r>
    </w:p>
    <w:p>
      <w:pPr>
        <w:spacing w:after="0" w:line="178" w:lineRule="exact"/>
        <w:rPr>
          <w:sz w:val="20"/>
          <w:szCs w:val="20"/>
          <w:color w:val="auto"/>
        </w:rPr>
      </w:pPr>
    </w:p>
    <w:p>
      <w:pPr>
        <w:ind w:right="140" w:firstLine="508"/>
        <w:spacing w:after="0" w:line="269" w:lineRule="auto"/>
        <w:rPr>
          <w:sz w:val="20"/>
          <w:szCs w:val="20"/>
          <w:color w:val="auto"/>
        </w:rPr>
      </w:pPr>
      <w:r>
        <w:rPr>
          <w:rFonts w:ascii="Times New Roman" w:cs="Times New Roman" w:eastAsia="Times New Roman" w:hAnsi="Times New Roman"/>
          <w:sz w:val="14"/>
          <w:szCs w:val="14"/>
          <w:color w:val="auto"/>
        </w:rPr>
        <w:t>Section 11.10 </w:t>
      </w:r>
      <w:r>
        <w:rPr>
          <w:rFonts w:ascii="Times New Roman" w:cs="Times New Roman" w:eastAsia="Times New Roman" w:hAnsi="Times New Roman"/>
          <w:sz w:val="14"/>
          <w:szCs w:val="14"/>
          <w:u w:val="single" w:color="auto"/>
          <w:color w:val="auto"/>
        </w:rPr>
        <w:t>  Communications by Securityholders with Other Securityholders</w:t>
      </w:r>
      <w:r>
        <w:rPr>
          <w:rFonts w:ascii="Times New Roman" w:cs="Times New Roman" w:eastAsia="Times New Roman" w:hAnsi="Times New Roman"/>
          <w:sz w:val="14"/>
          <w:szCs w:val="14"/>
          <w:color w:val="auto"/>
        </w:rPr>
        <w:t>. Holders of Securities may communicate pursuant to Section 312(b) of the Trust Indenture Act with other Holders with respect to their rights under this Indenture or the Securities. The Company, the Trustee, the Registrar and anyone else shall have the protection of Section 312(c) of the Trust Indenture Act with respect to such communications.</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ARTICLE XII</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SATISFACTION AND DISCHARGE; DEFEASANCE</w:t>
      </w:r>
    </w:p>
    <w:p>
      <w:pPr>
        <w:spacing w:after="0" w:line="180" w:lineRule="exact"/>
        <w:rPr>
          <w:sz w:val="20"/>
          <w:szCs w:val="20"/>
          <w:color w:val="auto"/>
        </w:rPr>
      </w:pPr>
    </w:p>
    <w:p>
      <w:pPr>
        <w:ind w:firstLine="508"/>
        <w:spacing w:after="0" w:line="286" w:lineRule="auto"/>
        <w:rPr>
          <w:sz w:val="20"/>
          <w:szCs w:val="20"/>
          <w:color w:val="auto"/>
        </w:rPr>
      </w:pPr>
      <w:r>
        <w:rPr>
          <w:rFonts w:ascii="Times New Roman" w:cs="Times New Roman" w:eastAsia="Times New Roman" w:hAnsi="Times New Roman"/>
          <w:sz w:val="14"/>
          <w:szCs w:val="14"/>
          <w:color w:val="auto"/>
        </w:rPr>
        <w:t>Section 12.01 </w:t>
      </w:r>
      <w:r>
        <w:rPr>
          <w:rFonts w:ascii="Times New Roman" w:cs="Times New Roman" w:eastAsia="Times New Roman" w:hAnsi="Times New Roman"/>
          <w:sz w:val="14"/>
          <w:szCs w:val="14"/>
          <w:u w:val="single" w:color="auto"/>
          <w:color w:val="auto"/>
        </w:rPr>
        <w:t>  Applicability of Article</w:t>
      </w:r>
      <w:r>
        <w:rPr>
          <w:rFonts w:ascii="Times New Roman" w:cs="Times New Roman" w:eastAsia="Times New Roman" w:hAnsi="Times New Roman"/>
          <w:sz w:val="14"/>
          <w:szCs w:val="14"/>
          <w:color w:val="auto"/>
        </w:rPr>
        <w:t>. The provisions of this Article shall be applicable to the Securities of all series issued pursuant to this Indenture, except as otherwise specified pursuant to Section 3.01.</w:t>
      </w:r>
    </w:p>
    <w:p>
      <w:pPr>
        <w:spacing w:after="0" w:line="125" w:lineRule="exact"/>
        <w:rPr>
          <w:sz w:val="20"/>
          <w:szCs w:val="20"/>
          <w:color w:val="auto"/>
        </w:rPr>
      </w:pPr>
    </w:p>
    <w:p>
      <w:pPr>
        <w:ind w:right="60" w:firstLine="508"/>
        <w:spacing w:after="0" w:line="261" w:lineRule="auto"/>
        <w:rPr>
          <w:sz w:val="20"/>
          <w:szCs w:val="20"/>
          <w:color w:val="auto"/>
        </w:rPr>
      </w:pPr>
      <w:r>
        <w:rPr>
          <w:rFonts w:ascii="Times New Roman" w:cs="Times New Roman" w:eastAsia="Times New Roman" w:hAnsi="Times New Roman"/>
          <w:sz w:val="14"/>
          <w:szCs w:val="14"/>
          <w:color w:val="auto"/>
        </w:rPr>
        <w:t>Section 12.02 </w:t>
      </w:r>
      <w:r>
        <w:rPr>
          <w:rFonts w:ascii="Times New Roman" w:cs="Times New Roman" w:eastAsia="Times New Roman" w:hAnsi="Times New Roman"/>
          <w:sz w:val="14"/>
          <w:szCs w:val="14"/>
          <w:u w:val="single" w:color="auto"/>
          <w:color w:val="auto"/>
        </w:rPr>
        <w:t>  Satisfaction and Discharge of Indenture</w:t>
      </w:r>
      <w:r>
        <w:rPr>
          <w:rFonts w:ascii="Times New Roman" w:cs="Times New Roman" w:eastAsia="Times New Roman" w:hAnsi="Times New Roman"/>
          <w:sz w:val="14"/>
          <w:szCs w:val="14"/>
          <w:color w:val="auto"/>
        </w:rPr>
        <w:t>. This Indenture, with respect to the Securities of any series (if all series issued under this Indenture are not to be affected), shall, upon Company Order, cease to be of further effect (except as to any surviving rights of registration of transfer or exchange of such Securities herein expressly provided for and the rights of the Holders of the Securities of such series to receive, the principal of and premium, if any, and interest on such Securities as and when the same shall become due and payable and except as otherwise provided in the last paragraph of this Section 12.02), and the Trustee, at the expense of the Company, shall execute such instruments reasonably requested by the Company acknowledging satisfaction and discharge of this Indenture with respect to the Securities of such series, when,</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          either:</w:t>
      </w:r>
    </w:p>
    <w:p>
      <w:pPr>
        <w:spacing w:after="0" w:line="178" w:lineRule="exact"/>
        <w:rPr>
          <w:sz w:val="20"/>
          <w:szCs w:val="20"/>
          <w:color w:val="auto"/>
        </w:rPr>
      </w:pPr>
    </w:p>
    <w:p>
      <w:pPr>
        <w:jc w:val="both"/>
        <w:ind w:left="520" w:right="40" w:firstLine="1271"/>
        <w:spacing w:after="0" w:line="269" w:lineRule="auto"/>
        <w:rPr>
          <w:sz w:val="20"/>
          <w:szCs w:val="20"/>
          <w:color w:val="auto"/>
        </w:rPr>
      </w:pPr>
      <w:r>
        <w:rPr>
          <w:rFonts w:ascii="Times New Roman" w:cs="Times New Roman" w:eastAsia="Times New Roman" w:hAnsi="Times New Roman"/>
          <w:sz w:val="14"/>
          <w:szCs w:val="14"/>
          <w:color w:val="auto"/>
        </w:rPr>
        <w:t>(i)          all Securities of such series theretofore authenticated and delivered (other than (A) Securities that have been destroyed, lost or stolen and that have been replaced or paid as provided in Section 3.07 and (B) Securities for whose payment money has theretofore been deposited in trust or segregated and held in trust by the Company and thereafter repaid to the Company or discharged from such trust, as provided in Section 6.03(e)) have been delivered to the Trustee for cancellation; or</w:t>
      </w:r>
    </w:p>
    <w:p>
      <w:pPr>
        <w:spacing w:after="0" w:line="13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(ii)          all Securities of such series not theretofore delivered to the Trustee for cancellation,</w:t>
      </w:r>
    </w:p>
    <w:p>
      <w:pPr>
        <w:spacing w:after="0" w:line="17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color w:val="auto"/>
        </w:rPr>
        <w:t>(A)         have become due and payable, or</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20"/>
          </w:cols>
          <w:pgMar w:left="300" w:top="739" w:right="379" w:bottom="1440" w:gutter="0" w:footer="0" w:header="0"/>
        </w:sectPr>
      </w:pPr>
    </w:p>
    <w:bookmarkStart w:id="108" w:name="page109"/>
    <w:bookmarkEnd w:id="108"/>
    <w:p>
      <w:pPr>
        <w:ind w:left="2800"/>
        <w:spacing w:after="0"/>
        <w:rPr>
          <w:sz w:val="20"/>
          <w:szCs w:val="20"/>
          <w:color w:val="auto"/>
        </w:rPr>
      </w:pPr>
      <w:r>
        <w:rPr>
          <w:rFonts w:ascii="Times New Roman" w:cs="Times New Roman" w:eastAsia="Times New Roman" w:hAnsi="Times New Roman"/>
          <w:sz w:val="14"/>
          <w:szCs w:val="14"/>
          <w:color w:val="auto"/>
        </w:rPr>
        <w:t>(B)          will become due and payable at their Stated Maturity within one year, or</w:t>
      </w:r>
    </w:p>
    <w:p>
      <w:pPr>
        <w:spacing w:after="0" w:line="178" w:lineRule="exact"/>
        <w:rPr>
          <w:sz w:val="20"/>
          <w:szCs w:val="20"/>
          <w:color w:val="auto"/>
        </w:rPr>
      </w:pPr>
    </w:p>
    <w:p>
      <w:pPr>
        <w:jc w:val="both"/>
        <w:ind w:left="1020" w:right="220" w:firstLine="1779"/>
        <w:spacing w:after="0" w:line="327" w:lineRule="auto"/>
        <w:rPr>
          <w:sz w:val="20"/>
          <w:szCs w:val="20"/>
          <w:color w:val="auto"/>
        </w:rPr>
      </w:pPr>
      <w:r>
        <w:rPr>
          <w:rFonts w:ascii="Times New Roman" w:cs="Times New Roman" w:eastAsia="Times New Roman" w:hAnsi="Times New Roman"/>
          <w:sz w:val="13"/>
          <w:szCs w:val="13"/>
          <w:color w:val="auto"/>
        </w:rPr>
        <w:t>(C)          if redeemable at the option of the Company (including, without limitation, by operation of any mandatory sinking fund), are to be called for redemption within one year under arrangements satisfactory to the Trustee for the giving of notice of redemption by the Trustee in the name, and at the expense, of the Company,</w:t>
      </w:r>
    </w:p>
    <w:p>
      <w:pPr>
        <w:spacing w:after="0" w:line="101" w:lineRule="exact"/>
        <w:rPr>
          <w:sz w:val="20"/>
          <w:szCs w:val="20"/>
          <w:color w:val="auto"/>
        </w:rPr>
      </w:pPr>
    </w:p>
    <w:p>
      <w:pPr>
        <w:ind w:left="1020"/>
        <w:spacing w:after="0" w:line="256" w:lineRule="auto"/>
        <w:rPr>
          <w:sz w:val="20"/>
          <w:szCs w:val="20"/>
          <w:color w:val="auto"/>
        </w:rPr>
      </w:pPr>
      <w:r>
        <w:rPr>
          <w:rFonts w:ascii="Times New Roman" w:cs="Times New Roman" w:eastAsia="Times New Roman" w:hAnsi="Times New Roman"/>
          <w:sz w:val="14"/>
          <w:szCs w:val="14"/>
          <w:color w:val="auto"/>
        </w:rPr>
        <w:t>and the Company, in the case of (A), (B) or (C) above, has irrevocably deposited or caused to be deposited with the Trustee funds in trust for the purpose an amount in cash in the Currency in which such Securities are payable (subject to Section 12.08) sufficient to pay and discharge the entire indebtedness on such Securities for principal and premium, if any, and interest to the date of such deposit (in the case of Securities that have become due and payable) or to the Stated Maturity thereof or, in the case of Securities of such series which are to be called for redemption as contemplated by (C) above, the applicable Redemption Date, as the case may be, and including any mandatory sinking fund payments as and when the same shall become due and payable; provided, however, that, if a Default of the nature described in clauses (e) or (f) of Section 7.01 shall have occurred at any time during the period ending on and including the 91st day after the date of such deposit or if the Trustee or any Paying Agent is required to return the monies then on deposit with or held by the Trustee or such Paying Agent to the Company or to a trustee in bankruptcy, receiver, conservator or other similar Person, or the Trustee or any Paying Agent is not permitted to apply any such funds to pay the principal of and premium, if any, and interest on the Securities of such series (including to make sinking fund payments) as and when the same shall become due and payable, the obligations of the Company under this Indenture with respect to such Securities shall not be deemed terminated or discharged;</w:t>
      </w:r>
    </w:p>
    <w:p>
      <w:pPr>
        <w:spacing w:after="0" w:line="1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(b)          the Company has paid or caused to be paid all other sums payable hereunder by the Company with respect to the Securities of such series; and</w:t>
      </w:r>
    </w:p>
    <w:p>
      <w:pPr>
        <w:spacing w:after="0" w:line="178" w:lineRule="exact"/>
        <w:rPr>
          <w:sz w:val="20"/>
          <w:szCs w:val="20"/>
          <w:color w:val="auto"/>
        </w:rPr>
      </w:pPr>
    </w:p>
    <w:p>
      <w:pPr>
        <w:ind w:right="140" w:firstLine="1271"/>
        <w:spacing w:after="0" w:line="286" w:lineRule="auto"/>
        <w:rPr>
          <w:sz w:val="20"/>
          <w:szCs w:val="20"/>
          <w:color w:val="auto"/>
        </w:rPr>
      </w:pPr>
      <w:r>
        <w:rPr>
          <w:rFonts w:ascii="Times New Roman" w:cs="Times New Roman" w:eastAsia="Times New Roman" w:hAnsi="Times New Roman"/>
          <w:sz w:val="14"/>
          <w:szCs w:val="14"/>
          <w:color w:val="auto"/>
        </w:rPr>
        <w:t>(c)          the Company has delivered to the Trustee an Officer’s Certificate and an Opinion of Counsel each stating that all conditions precedent herein provided for relating to the satisfaction and discharge of this Indenture with respect to such series have been complied with.</w:t>
      </w:r>
    </w:p>
    <w:p>
      <w:pPr>
        <w:spacing w:after="0" w:line="1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Notwithstanding the satisfaction and discharge of this Indenture with respect to the Securities of any series, the obligations of the Company to the Trustee under Section 11.01, the provisions of Sections 3.04, 3.05, 3.06, 3.07, 3.10, 6.02 and 6.03 and this Article XII, and, if the Securities of such series are to be redeemed prior to their Stated Maturity (including, without limitation, pursuant to a mandatory sinking fund), the provisions of Article IV hereof, and, if the Securities of such series are convertible into or exchangeable for other securities or property, the rights of the Holders of such Securities to convert or exchange, and the obligations of the Company to convert or exchange, such Securities into other securities or property, and, if money shall have been deposited with the Trustee pursuant to clause (a) of this Section, the obligations of the Trustee under Section 12.07 and Section 6.03(e) shall survive such satisfaction and discharge.</w:t>
      </w: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09" w:name="page110"/>
    <w:bookmarkEnd w:id="109"/>
    <w:p>
      <w:pPr>
        <w:jc w:val="both"/>
        <w:ind w:right="80" w:firstLine="508"/>
        <w:spacing w:after="0" w:line="263" w:lineRule="auto"/>
        <w:rPr>
          <w:sz w:val="20"/>
          <w:szCs w:val="20"/>
          <w:color w:val="auto"/>
        </w:rPr>
      </w:pPr>
      <w:r>
        <w:rPr>
          <w:rFonts w:ascii="Times New Roman" w:cs="Times New Roman" w:eastAsia="Times New Roman" w:hAnsi="Times New Roman"/>
          <w:sz w:val="14"/>
          <w:szCs w:val="14"/>
          <w:color w:val="auto"/>
        </w:rPr>
        <w:t>Section 12.03 </w:t>
      </w:r>
      <w:r>
        <w:rPr>
          <w:rFonts w:ascii="Times New Roman" w:cs="Times New Roman" w:eastAsia="Times New Roman" w:hAnsi="Times New Roman"/>
          <w:sz w:val="14"/>
          <w:szCs w:val="14"/>
          <w:u w:val="single" w:color="auto"/>
          <w:color w:val="auto"/>
        </w:rPr>
        <w:t>  Defeasance and Covenant Defeasance upon Deposit of Moneys or U.S. Government Obligations</w:t>
      </w:r>
      <w:r>
        <w:rPr>
          <w:rFonts w:ascii="Times New Roman" w:cs="Times New Roman" w:eastAsia="Times New Roman" w:hAnsi="Times New Roman"/>
          <w:sz w:val="14"/>
          <w:szCs w:val="14"/>
          <w:color w:val="auto"/>
        </w:rPr>
        <w:t>. At the Company’s option, either (x) the Company shall be deemed to have been Discharged (as defined below) from its obligations with respect to Securities of any series on the first day after the applicable conditions set forth below have been satisfied or (y) the Company shall cease to be under any obligation to comply with any term, provision or condition set forth in Section 6.04 and Section 10.02 with respect to Securities of any series (and, if so specified pursuant to Section 3.01, any other restrictive covenant added for the benefit of such series pursuant to Section 3.01) (“covenant defeasance”) upon the satisfaction of the applicable conditions set forth below:</w:t>
      </w:r>
    </w:p>
    <w:p>
      <w:pPr>
        <w:spacing w:after="0" w:line="142" w:lineRule="exact"/>
        <w:rPr>
          <w:sz w:val="20"/>
          <w:szCs w:val="20"/>
          <w:color w:val="auto"/>
        </w:rPr>
      </w:pPr>
    </w:p>
    <w:p>
      <w:pPr>
        <w:ind w:firstLine="1271"/>
        <w:spacing w:after="0" w:line="258" w:lineRule="auto"/>
        <w:rPr>
          <w:sz w:val="20"/>
          <w:szCs w:val="20"/>
          <w:color w:val="auto"/>
        </w:rPr>
      </w:pPr>
      <w:r>
        <w:rPr>
          <w:rFonts w:ascii="Times New Roman" w:cs="Times New Roman" w:eastAsia="Times New Roman" w:hAnsi="Times New Roman"/>
          <w:sz w:val="14"/>
          <w:szCs w:val="14"/>
          <w:color w:val="auto"/>
        </w:rPr>
        <w:t>(a)          the Company shall have deposited or caused to be deposited irrevocably with the Trustee as trust funds in trust, specifically pledged as security for, and dedicated solely to, the benefit of the Holders of the Securities of such series (i) money in the Currency in which such Securities are payable in an amount, or (ii) U.S. Government Obligations (as defined below) that, through the payment of interest and principal in respect thereof in accordance with their terms, will provide, not later than one day before the due date of any payment, money in the Currency in which such Securities are payable in an amount, or (iii) a combination of (i) and (ii), sufficient (without consideration of any reinvestment of such principal and interest) to pay and discharge each installment of principal (including any mandatory sinking fund payments) of and premium, if any, and interest on, the Outstanding Securities of such series on the dates such installments of interest or principal and premium are due and, if the Securities of such series are to be called for redemption as described in clause (d) below, to pay and discharge the Redemption Price on the Securities called for redemption on the applicable Redemption Date;</w:t>
      </w:r>
    </w:p>
    <w:p>
      <w:pPr>
        <w:spacing w:after="0" w:line="144" w:lineRule="exact"/>
        <w:rPr>
          <w:sz w:val="20"/>
          <w:szCs w:val="20"/>
          <w:color w:val="auto"/>
        </w:rPr>
      </w:pPr>
    </w:p>
    <w:p>
      <w:pPr>
        <w:ind w:right="180" w:firstLine="1271"/>
        <w:spacing w:after="0" w:line="263" w:lineRule="auto"/>
        <w:rPr>
          <w:sz w:val="20"/>
          <w:szCs w:val="20"/>
          <w:color w:val="auto"/>
        </w:rPr>
      </w:pPr>
      <w:r>
        <w:rPr>
          <w:rFonts w:ascii="Times New Roman" w:cs="Times New Roman" w:eastAsia="Times New Roman" w:hAnsi="Times New Roman"/>
          <w:sz w:val="14"/>
          <w:szCs w:val="14"/>
          <w:color w:val="auto"/>
        </w:rPr>
        <w:t>(b)          no Default with respect to the Securities of such series shall have occurred and be continuing on the date of such deposit (other than a Default resulting from the borrowing of funds and the grant of any related liens to be applied to such deposit) and, solely in the case of Discharge pursuant to clause (x) of the first paragraph of this Section 12.03, no Default with respect to the Securities of such series under either clause (e) or (f) of Section 7.01 shall have occurred at any time during the period ending on and including the 91st day after the date of such deposit;</w:t>
      </w:r>
    </w:p>
    <w:p>
      <w:pPr>
        <w:spacing w:after="0" w:line="142" w:lineRule="exact"/>
        <w:rPr>
          <w:sz w:val="20"/>
          <w:szCs w:val="20"/>
          <w:color w:val="auto"/>
        </w:rPr>
      </w:pPr>
    </w:p>
    <w:p>
      <w:pPr>
        <w:ind w:firstLine="1271"/>
        <w:spacing w:after="0" w:line="263" w:lineRule="auto"/>
        <w:rPr>
          <w:sz w:val="20"/>
          <w:szCs w:val="20"/>
          <w:color w:val="auto"/>
        </w:rPr>
      </w:pPr>
      <w:r>
        <w:rPr>
          <w:rFonts w:ascii="Times New Roman" w:cs="Times New Roman" w:eastAsia="Times New Roman" w:hAnsi="Times New Roman"/>
          <w:sz w:val="14"/>
          <w:szCs w:val="14"/>
          <w:color w:val="auto"/>
        </w:rPr>
        <w:t>(c)          the Company shall have delivered to the Trustee an Opinion of Counsel to the effect that Holders of the Securities of such series will not recognize income, gain or loss for U.S. federal income tax purposes as a result of the Company’s exercise of its option under this Section and will be subject to federal income tax on the same amounts and in the same manner and at the same times as would have been the case if such option had not been exercised and, in the case of the Securities of such series being Discharged pursuant to clause (x) of the first paragraph of this Section 12.03, such Opinion of Counsel shall be based upon and accompanied by a ruling to that effect received by the Company from or published by the Internal Revenue Service;</w:t>
      </w:r>
    </w:p>
    <w:p>
      <w:pPr>
        <w:spacing w:after="0" w:line="142" w:lineRule="exact"/>
        <w:rPr>
          <w:sz w:val="20"/>
          <w:szCs w:val="20"/>
          <w:color w:val="auto"/>
        </w:rPr>
      </w:pPr>
    </w:p>
    <w:p>
      <w:pPr>
        <w:ind w:right="60" w:firstLine="1271"/>
        <w:spacing w:after="0" w:line="263" w:lineRule="auto"/>
        <w:rPr>
          <w:sz w:val="20"/>
          <w:szCs w:val="20"/>
          <w:color w:val="auto"/>
        </w:rPr>
      </w:pPr>
      <w:r>
        <w:rPr>
          <w:rFonts w:ascii="Times New Roman" w:cs="Times New Roman" w:eastAsia="Times New Roman" w:hAnsi="Times New Roman"/>
          <w:sz w:val="14"/>
          <w:szCs w:val="14"/>
          <w:color w:val="auto"/>
        </w:rPr>
        <w:t>(d)          if the monies or U.S. Government Obligations or combination thereof, as the case may be, deposited under clause (a) above are sufficient to pay the principal of and premium, if any, and interest on the Securities of such series (including, without limitation, any mandatory sinking fund payment) or any portion thereof to be redeemed on a particular Redemption Date (including, without limitation, pursuant to a mandatory sinking fund), the Company shall have given to the Trustee irrevocable instructions to redeem such Securities on such date and shall have made arrangements satisfactory to the Trustee for the giving of notice of such redemption by the Trustee in the name, and at the expense, of the Company; and</w:t>
      </w: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10" w:name="page111"/>
    <w:bookmarkEnd w:id="110"/>
    <w:p>
      <w:pPr>
        <w:ind w:right="260" w:firstLine="1271"/>
        <w:spacing w:after="0" w:line="286" w:lineRule="auto"/>
        <w:rPr>
          <w:sz w:val="20"/>
          <w:szCs w:val="20"/>
          <w:color w:val="auto"/>
        </w:rPr>
      </w:pPr>
      <w:r>
        <w:rPr>
          <w:rFonts w:ascii="Times New Roman" w:cs="Times New Roman" w:eastAsia="Times New Roman" w:hAnsi="Times New Roman"/>
          <w:sz w:val="14"/>
          <w:szCs w:val="14"/>
          <w:color w:val="auto"/>
        </w:rPr>
        <w:t>(e)          the Company shall have delivered to the Trustee an Officer’s Certificate and an Opinion of Counsel, each stating that all conditions precedent to such action under this Indenture have been complied with.</w:t>
      </w:r>
    </w:p>
    <w:p>
      <w:pPr>
        <w:spacing w:after="0" w:line="125" w:lineRule="exact"/>
        <w:rPr>
          <w:sz w:val="20"/>
          <w:szCs w:val="20"/>
          <w:color w:val="auto"/>
        </w:rPr>
      </w:pPr>
    </w:p>
    <w:p>
      <w:pPr>
        <w:ind w:firstLine="508"/>
        <w:spacing w:after="0" w:line="257" w:lineRule="auto"/>
        <w:rPr>
          <w:sz w:val="20"/>
          <w:szCs w:val="20"/>
          <w:color w:val="auto"/>
        </w:rPr>
      </w:pPr>
      <w:r>
        <w:rPr>
          <w:rFonts w:ascii="Times New Roman" w:cs="Times New Roman" w:eastAsia="Times New Roman" w:hAnsi="Times New Roman"/>
          <w:sz w:val="14"/>
          <w:szCs w:val="14"/>
          <w:color w:val="auto"/>
        </w:rPr>
        <w:t>“Discharged” means, with respect to the Securities of any series, that the Company shall be deemed to have paid and discharged the entire indebtedness represented by, and obligations under, the Securities of such series and to have satisfied all the obligations under this Indenture relating to the Securities of such series (and the Trustee, at the expense of the Company, shall execute such instruments reasonably requested by the Company acknowledging the same), except for the following, all of which shall survive such Discharge and remain in full force and effect with respect to the Securities of such series: (A) the rights of Holders of Securities of such series to receive, from the trust fund described in clause (a) above, payment of the principal of and premium, if any, and interest on such Securities when such payments are due, (B) Sections 3.04, 3.05, 3.06, 3.07, 3.10, 6.02 and 6.03, (C) if the Securities of such series are to be redeemed prior to their Stated Maturity, the provisions of Article IV hereof, (D) if the Securities of such series are convertible into or exchangeable for other securities or property, the rights of the Holders of such Securities to convert or exchange, and the obligations of the Company to convert or exchange, such Securities into such other securities or property, (E) the provisions of this Article XII and (F) the rights, powers, trusts, duties and immunities of the Trustee hereunder.</w:t>
      </w:r>
    </w:p>
    <w:p>
      <w:pPr>
        <w:spacing w:after="0" w:line="146" w:lineRule="exact"/>
        <w:rPr>
          <w:sz w:val="20"/>
          <w:szCs w:val="20"/>
          <w:color w:val="auto"/>
        </w:rPr>
      </w:pPr>
    </w:p>
    <w:p>
      <w:pPr>
        <w:ind w:right="60" w:firstLine="508"/>
        <w:spacing w:after="0" w:line="258" w:lineRule="auto"/>
        <w:rPr>
          <w:sz w:val="20"/>
          <w:szCs w:val="20"/>
          <w:color w:val="auto"/>
        </w:rPr>
      </w:pPr>
      <w:r>
        <w:rPr>
          <w:rFonts w:ascii="Times New Roman" w:cs="Times New Roman" w:eastAsia="Times New Roman" w:hAnsi="Times New Roman"/>
          <w:sz w:val="14"/>
          <w:szCs w:val="14"/>
          <w:color w:val="auto"/>
        </w:rPr>
        <w:t>“U.S. Government Obligations” means securities that are (i) direct obligations of the United States for the payment of which its full faith and credit is pledged or (ii) obligations of a Person controlled or supervised by and acting as an agency or instrumentality of the United States the timely of payment of which is unconditionally guaranteed as a full faith and credit obligation by the United States, that, in either case under clauses (i) or (ii)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144" w:lineRule="exact"/>
        <w:rPr>
          <w:sz w:val="20"/>
          <w:szCs w:val="20"/>
          <w:color w:val="auto"/>
        </w:rPr>
      </w:pPr>
    </w:p>
    <w:p>
      <w:pPr>
        <w:ind w:right="60" w:firstLine="508"/>
        <w:spacing w:after="0" w:line="261" w:lineRule="auto"/>
        <w:rPr>
          <w:sz w:val="20"/>
          <w:szCs w:val="20"/>
          <w:color w:val="auto"/>
        </w:rPr>
      </w:pPr>
      <w:r>
        <w:rPr>
          <w:rFonts w:ascii="Times New Roman" w:cs="Times New Roman" w:eastAsia="Times New Roman" w:hAnsi="Times New Roman"/>
          <w:sz w:val="14"/>
          <w:szCs w:val="14"/>
          <w:color w:val="auto"/>
        </w:rPr>
        <w:t>Section 12.04   </w:t>
      </w:r>
      <w:r>
        <w:rPr>
          <w:rFonts w:ascii="Times New Roman" w:cs="Times New Roman" w:eastAsia="Times New Roman" w:hAnsi="Times New Roman"/>
          <w:sz w:val="14"/>
          <w:szCs w:val="14"/>
          <w:u w:val="single" w:color="auto"/>
          <w:color w:val="auto"/>
        </w:rPr>
        <w:t>  Repayment to Company</w:t>
      </w:r>
      <w:r>
        <w:rPr>
          <w:rFonts w:ascii="Times New Roman" w:cs="Times New Roman" w:eastAsia="Times New Roman" w:hAnsi="Times New Roman"/>
          <w:sz w:val="14"/>
          <w:szCs w:val="14"/>
          <w:color w:val="auto"/>
        </w:rPr>
        <w:t>. The Trustee and any Paying Agent shall promptly pay to the Company (or to its designee) upon delivery of a Company Order any moneys or U.S. Government Obligations deposited pursuant to Sections 12.02 and 12.03 with respect to the Securities of any series and held by them that are in excess of the monies and/or U.S. Government Obligations that were required to effect the satisfaction and discharge, covenant defeasance or Discharge, as applicable, with respect to the Securities of such series, including any such moneys or obligations held by the Trustee under any escrow trust agreement entered into pursuant to Section 12.06. The provisions of Section 6.03(e) shall apply to any money held by the Trustee or any Paying Agent under this Article.</w:t>
      </w: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11" w:name="page112"/>
    <w:bookmarkEnd w:id="111"/>
    <w:p>
      <w:pPr>
        <w:ind w:right="180" w:firstLine="508"/>
        <w:spacing w:after="0" w:line="286" w:lineRule="auto"/>
        <w:rPr>
          <w:sz w:val="20"/>
          <w:szCs w:val="20"/>
          <w:color w:val="auto"/>
        </w:rPr>
      </w:pPr>
      <w:r>
        <w:rPr>
          <w:rFonts w:ascii="Times New Roman" w:cs="Times New Roman" w:eastAsia="Times New Roman" w:hAnsi="Times New Roman"/>
          <w:sz w:val="14"/>
          <w:szCs w:val="14"/>
          <w:color w:val="auto"/>
        </w:rPr>
        <w:t>Section 12.05 </w:t>
      </w:r>
      <w:r>
        <w:rPr>
          <w:rFonts w:ascii="Times New Roman" w:cs="Times New Roman" w:eastAsia="Times New Roman" w:hAnsi="Times New Roman"/>
          <w:sz w:val="14"/>
          <w:szCs w:val="14"/>
          <w:u w:val="single" w:color="auto"/>
          <w:color w:val="auto"/>
        </w:rPr>
        <w:t>  Indemnity for U.S. Government Obligations</w:t>
      </w:r>
      <w:r>
        <w:rPr>
          <w:rFonts w:ascii="Times New Roman" w:cs="Times New Roman" w:eastAsia="Times New Roman" w:hAnsi="Times New Roman"/>
          <w:sz w:val="14"/>
          <w:szCs w:val="14"/>
          <w:color w:val="auto"/>
        </w:rPr>
        <w:t>. The Company shall pay and shall indemnify the Trustee against any tax, fee or other charge imposed on or assessed against the deposited U.S. Government Obligations or the principal or interest received on such U.S. Government Obligations.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12.06 </w:t>
      </w:r>
      <w:r>
        <w:rPr>
          <w:rFonts w:ascii="Times New Roman" w:cs="Times New Roman" w:eastAsia="Times New Roman" w:hAnsi="Times New Roman"/>
          <w:sz w:val="14"/>
          <w:szCs w:val="14"/>
          <w:u w:val="single" w:color="auto"/>
          <w:color w:val="auto"/>
        </w:rPr>
        <w:t>  Deposits to Be Held in Escrow</w:t>
      </w:r>
      <w:r>
        <w:rPr>
          <w:rFonts w:ascii="Times New Roman" w:cs="Times New Roman" w:eastAsia="Times New Roman" w:hAnsi="Times New Roman"/>
          <w:sz w:val="14"/>
          <w:szCs w:val="14"/>
          <w:color w:val="auto"/>
        </w:rPr>
        <w:t>. Any deposits with the Trustee referred to in Section 12.03 above shall be irrevocable (except to the extent provided in Sections 12.04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6.03(e)) and shall be made under the terms of an escrow trust agreement. If any Outstanding Securities of a series are to be redeemed prior to their Stated Maturity, whether pursuant to any optional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redemption provisions or in accordance with any mandatory or optional sinking fund requirement, the applicable escrow trust agreement shall provide therefor and the Company shall make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arrangements as are satisfactory to the Trustee for the giving of notice of redemption by the Trustee in the name, and at the expense, of the Company.</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12.07 </w:t>
      </w:r>
      <w:r>
        <w:rPr>
          <w:rFonts w:ascii="Times New Roman" w:cs="Times New Roman" w:eastAsia="Times New Roman" w:hAnsi="Times New Roman"/>
          <w:sz w:val="14"/>
          <w:szCs w:val="14"/>
          <w:u w:val="single" w:color="auto"/>
          <w:color w:val="auto"/>
        </w:rPr>
        <w:t>  Application of Trust Money</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right="220" w:firstLine="1271"/>
        <w:spacing w:after="0" w:line="286" w:lineRule="auto"/>
        <w:rPr>
          <w:sz w:val="20"/>
          <w:szCs w:val="20"/>
          <w:color w:val="auto"/>
        </w:rPr>
      </w:pPr>
      <w:r>
        <w:rPr>
          <w:rFonts w:ascii="Times New Roman" w:cs="Times New Roman" w:eastAsia="Times New Roman" w:hAnsi="Times New Roman"/>
          <w:sz w:val="14"/>
          <w:szCs w:val="14"/>
          <w:color w:val="auto"/>
        </w:rPr>
        <w:t>(a)          Neither the Trustee nor any other Paying Agent shall be required to pay interest on any moneys deposited pursuant to the provisions of this Indenture, except such as it shall agree with the Company in writing to pay thereon.</w:t>
      </w:r>
    </w:p>
    <w:p>
      <w:pPr>
        <w:spacing w:after="0" w:line="125" w:lineRule="exact"/>
        <w:rPr>
          <w:sz w:val="20"/>
          <w:szCs w:val="20"/>
          <w:color w:val="auto"/>
        </w:rPr>
      </w:pPr>
    </w:p>
    <w:p>
      <w:pPr>
        <w:ind w:right="60" w:firstLine="1271"/>
        <w:spacing w:after="0" w:line="258" w:lineRule="auto"/>
        <w:rPr>
          <w:sz w:val="20"/>
          <w:szCs w:val="20"/>
          <w:color w:val="auto"/>
        </w:rPr>
      </w:pPr>
      <w:r>
        <w:rPr>
          <w:rFonts w:ascii="Times New Roman" w:cs="Times New Roman" w:eastAsia="Times New Roman" w:hAnsi="Times New Roman"/>
          <w:sz w:val="14"/>
          <w:szCs w:val="14"/>
          <w:color w:val="auto"/>
        </w:rPr>
        <w:t>(b)          Subject to Section 6.03(e), any monies and U.S. Government Obligations which at any time shall be deposited by the Company or on its behalf with the Trustee or any other Paying Agent for the purpose of paying the principal of, premium, if any, and interest on any of the Securities shall be and are hereby assigned, transferred and set over to the Trustee or such other Paying Agent in trust for the respective Holders of the Securities for the purpose for which such moneys shall have been deposited, and such funds shall be applied by the Trustee or Paying Agent in accordance with the provisions of such Securities and this Indenture to the payment of all sums due and to become due on such Securities in respect of principal and premium, if any, and interest; but such moneys need not be segregated from other funds except to the extent required by law. Anything in this Indenture to the contrary notwithstanding, neither the Company nor any of its Subsidiaries nor any of their respective Affiliates may act as Paying Agent for any Securities in respect of which money or U.S. Government Obligations have been deposited pursuant to this Article XII.</w:t>
      </w:r>
    </w:p>
    <w:p>
      <w:pPr>
        <w:spacing w:after="0" w:line="144"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Section 12.08   </w:t>
      </w:r>
      <w:r>
        <w:rPr>
          <w:rFonts w:ascii="Times New Roman" w:cs="Times New Roman" w:eastAsia="Times New Roman" w:hAnsi="Times New Roman"/>
          <w:sz w:val="14"/>
          <w:szCs w:val="14"/>
          <w:u w:val="single" w:color="auto"/>
          <w:color w:val="auto"/>
        </w:rPr>
        <w:t>  Deposits of Non-U.S. Currencies</w:t>
      </w:r>
      <w:r>
        <w:rPr>
          <w:rFonts w:ascii="Times New Roman" w:cs="Times New Roman" w:eastAsia="Times New Roman" w:hAnsi="Times New Roman"/>
          <w:sz w:val="14"/>
          <w:szCs w:val="14"/>
          <w:color w:val="auto"/>
        </w:rPr>
        <w:t>. Notwithstanding the foregoing provisions of this Article, if the Securities of any series are payable in a Currency other than U.S. Dollars, the Currency or the nature of the government obligations to be deposited with the Trustee under the foregoing provisions of this Article shall be as set forth in a Board Resolution, a Company Order or in one or more supplemental indentures hereto.</w:t>
      </w: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4"/>
          <w:szCs w:val="14"/>
          <w:b w:val="1"/>
          <w:bCs w:val="1"/>
          <w:color w:val="auto"/>
        </w:rPr>
        <w:t>ARTICLE XIII</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IMMUNITY OF CERTAIN PERSONS</w:t>
      </w:r>
    </w:p>
    <w:p>
      <w:pPr>
        <w:spacing w:after="0" w:line="180" w:lineRule="exact"/>
        <w:rPr>
          <w:sz w:val="20"/>
          <w:szCs w:val="20"/>
          <w:color w:val="auto"/>
        </w:rPr>
      </w:pPr>
    </w:p>
    <w:p>
      <w:pPr>
        <w:ind w:right="80" w:firstLine="508"/>
        <w:spacing w:after="0" w:line="256" w:lineRule="auto"/>
        <w:rPr>
          <w:sz w:val="20"/>
          <w:szCs w:val="20"/>
          <w:color w:val="auto"/>
        </w:rPr>
      </w:pPr>
      <w:r>
        <w:rPr>
          <w:rFonts w:ascii="Times New Roman" w:cs="Times New Roman" w:eastAsia="Times New Roman" w:hAnsi="Times New Roman"/>
          <w:sz w:val="14"/>
          <w:szCs w:val="14"/>
          <w:color w:val="auto"/>
        </w:rPr>
        <w:t>Section 13.01 </w:t>
      </w:r>
      <w:r>
        <w:rPr>
          <w:rFonts w:ascii="Times New Roman" w:cs="Times New Roman" w:eastAsia="Times New Roman" w:hAnsi="Times New Roman"/>
          <w:sz w:val="14"/>
          <w:szCs w:val="14"/>
          <w:u w:val="single" w:color="auto"/>
          <w:color w:val="auto"/>
        </w:rPr>
        <w:t>  No Personal Liability</w:t>
      </w:r>
      <w:r>
        <w:rPr>
          <w:rFonts w:ascii="Times New Roman" w:cs="Times New Roman" w:eastAsia="Times New Roman" w:hAnsi="Times New Roman"/>
          <w:sz w:val="14"/>
          <w:szCs w:val="14"/>
          <w:color w:val="auto"/>
        </w:rPr>
        <w:t>. No recourse shall be had for the payment of the principal of, or the premium, if any, or interest on, any Security or for any claim based thereon or otherwise in respect thereof or of the Indebtedness represented thereby, or upon any obligation, covenant or agreement of this Indenture, against any incorporator, stockholder, officer or director, as such, past, present or future, of the Company or of any successor corporation, either directly or through the Company or any successor corporation, whether by virtue of any constitutional provision, statute or rule of law, or by the enforcement of any assessment or penalty or otherwise; it being expressly agreed and understood that this Indenture and the Securities are solely corporate obligations, and that no personal liability whatsoever shall attach to, or be incurred by, any incorporator, stockholder, officer or director, as such, past, present or future, of the Company or of any successor corporation, either directly or through the Company or any successor corporation, because of the incurring of the Indebtedness hereby authorized or under or by reason of any of the obligations, covenants, promises or agreements contained in this Indenture or in any of the Securities, or to be implied herefrom or therefrom, and that all liability, if any, of that character against every such incorporator, stockholder, officer and director is, by the acceptance of the Securities and as a condition of, and as part of the consideration for, the execution of this Indenture and the issue of the Securities expressly waived and released.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XIV</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SUPPLEMENTAL INDENTURES</w:t>
      </w:r>
    </w:p>
    <w:p>
      <w:pPr>
        <w:spacing w:after="0" w:line="180" w:lineRule="exact"/>
        <w:rPr>
          <w:sz w:val="20"/>
          <w:szCs w:val="20"/>
          <w:color w:val="auto"/>
        </w:rPr>
      </w:pPr>
    </w:p>
    <w:p>
      <w:pPr>
        <w:ind w:right="200" w:firstLine="508"/>
        <w:spacing w:after="0" w:line="286" w:lineRule="auto"/>
        <w:rPr>
          <w:sz w:val="20"/>
          <w:szCs w:val="20"/>
          <w:color w:val="auto"/>
        </w:rPr>
      </w:pPr>
      <w:r>
        <w:rPr>
          <w:rFonts w:ascii="Times New Roman" w:cs="Times New Roman" w:eastAsia="Times New Roman" w:hAnsi="Times New Roman"/>
          <w:sz w:val="14"/>
          <w:szCs w:val="14"/>
          <w:color w:val="auto"/>
        </w:rPr>
        <w:t>Section 14.01 </w:t>
      </w:r>
      <w:r>
        <w:rPr>
          <w:rFonts w:ascii="Times New Roman" w:cs="Times New Roman" w:eastAsia="Times New Roman" w:hAnsi="Times New Roman"/>
          <w:sz w:val="14"/>
          <w:szCs w:val="14"/>
          <w:u w:val="single" w:color="auto"/>
          <w:color w:val="auto"/>
        </w:rPr>
        <w:t>  Without Consent of Securityholders</w:t>
      </w:r>
      <w:r>
        <w:rPr>
          <w:rFonts w:ascii="Times New Roman" w:cs="Times New Roman" w:eastAsia="Times New Roman" w:hAnsi="Times New Roman"/>
          <w:sz w:val="14"/>
          <w:szCs w:val="14"/>
          <w:color w:val="auto"/>
        </w:rPr>
        <w:t>. Except as otherwise provided as contemplated by Section 3.01 with respect to any series of Securities, the Company and the Trustee, at any time and from time to time, may enter into one or more indentures supplemental hereto, in form satisfactory to the Trustee, for any one or more of or all the following purposes:</w:t>
      </w:r>
    </w:p>
    <w:p>
      <w:pPr>
        <w:spacing w:after="0" w:line="125" w:lineRule="exact"/>
        <w:rPr>
          <w:sz w:val="20"/>
          <w:szCs w:val="20"/>
          <w:color w:val="auto"/>
        </w:rPr>
      </w:pPr>
    </w:p>
    <w:p>
      <w:pPr>
        <w:ind w:right="100" w:firstLine="1271"/>
        <w:spacing w:after="0" w:line="263" w:lineRule="auto"/>
        <w:rPr>
          <w:sz w:val="20"/>
          <w:szCs w:val="20"/>
          <w:color w:val="auto"/>
        </w:rPr>
      </w:pPr>
      <w:r>
        <w:rPr>
          <w:rFonts w:ascii="Times New Roman" w:cs="Times New Roman" w:eastAsia="Times New Roman" w:hAnsi="Times New Roman"/>
          <w:sz w:val="14"/>
          <w:szCs w:val="14"/>
          <w:color w:val="auto"/>
        </w:rPr>
        <w:t>(a)          to add to the covenants and agreements of the Company, to be observed thereafter and during the period, if any, in such supplemental indenture or indentures expressed, and to add Events of Default, in each case for the protection or benefit of the Holders of all or any series of the Securities (and if such covenants, agreements and Events of Default are to be for the benefit of fewer than all series of Securities, stating that such covenants, agreements and Events of Default are expressly being included for the benefit of such series as shall be identified therein), or to surrender any right or power herein conferred upon the Company;</w:t>
      </w:r>
    </w:p>
    <w:p>
      <w:pPr>
        <w:spacing w:after="0" w:line="142" w:lineRule="exact"/>
        <w:rPr>
          <w:sz w:val="20"/>
          <w:szCs w:val="20"/>
          <w:color w:val="auto"/>
        </w:rPr>
      </w:pPr>
    </w:p>
    <w:p>
      <w:pPr>
        <w:jc w:val="both"/>
        <w:ind w:firstLine="1271"/>
        <w:spacing w:after="0" w:line="269" w:lineRule="auto"/>
        <w:rPr>
          <w:sz w:val="20"/>
          <w:szCs w:val="20"/>
          <w:color w:val="auto"/>
        </w:rPr>
      </w:pPr>
      <w:r>
        <w:rPr>
          <w:rFonts w:ascii="Times New Roman" w:cs="Times New Roman" w:eastAsia="Times New Roman" w:hAnsi="Times New Roman"/>
          <w:sz w:val="14"/>
          <w:szCs w:val="14"/>
          <w:color w:val="auto"/>
        </w:rPr>
        <w:t>(b)          to delete or modify any Events of Default with respect to any series of the Securities, the form and terms of which are being first established pursuant to such supplemental indenture as permitted in Section 3.01 (and, if any such Event of Default is applicable to fewer than all such series of the Securities, specifying the series to which such Event of Default is applicable), and to specify the rights and remedies of the Trustee and the Holders of such Securities in connection therewith;</w:t>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sectPr>
      </w:pPr>
    </w:p>
    <w:bookmarkStart w:id="113" w:name="page114"/>
    <w:bookmarkEnd w:id="113"/>
    <w:p>
      <w:pPr>
        <w:ind w:firstLine="1271"/>
        <w:spacing w:after="0" w:line="286" w:lineRule="auto"/>
        <w:rPr>
          <w:sz w:val="20"/>
          <w:szCs w:val="20"/>
          <w:color w:val="auto"/>
        </w:rPr>
      </w:pPr>
      <w:r>
        <w:rPr>
          <w:rFonts w:ascii="Times New Roman" w:cs="Times New Roman" w:eastAsia="Times New Roman" w:hAnsi="Times New Roman"/>
          <w:sz w:val="14"/>
          <w:szCs w:val="14"/>
          <w:color w:val="auto"/>
        </w:rPr>
        <w:t>(c)          to add to or change any of the provisions of this Indenture to provide, change or eliminate any restrictions on the payment of principal of or premium, if any, on Securities; provided that any such action shall not adversely affect the interests of the Holders of Securities of any series in any material respect;</w:t>
      </w:r>
    </w:p>
    <w:p>
      <w:pPr>
        <w:spacing w:after="0" w:line="125" w:lineRule="exact"/>
        <w:rPr>
          <w:sz w:val="20"/>
          <w:szCs w:val="20"/>
          <w:color w:val="auto"/>
        </w:rPr>
      </w:pPr>
    </w:p>
    <w:p>
      <w:pPr>
        <w:ind w:right="300" w:firstLine="1271"/>
        <w:spacing w:after="0" w:line="327" w:lineRule="auto"/>
        <w:rPr>
          <w:sz w:val="20"/>
          <w:szCs w:val="20"/>
          <w:color w:val="auto"/>
        </w:rPr>
      </w:pPr>
      <w:r>
        <w:rPr>
          <w:rFonts w:ascii="Times New Roman" w:cs="Times New Roman" w:eastAsia="Times New Roman" w:hAnsi="Times New Roman"/>
          <w:sz w:val="13"/>
          <w:szCs w:val="13"/>
          <w:color w:val="auto"/>
        </w:rPr>
        <w:t>(d)          to change or eliminate any of the provisions of this Indenture; provided that any such change or elimination shall become effective only when there is no Outstanding Security of any series created prior to the execution of such supplemental indenture that is entitled to the benefit of such provision and as to which such supplemental indenture would apply;</w:t>
      </w:r>
    </w:p>
    <w:p>
      <w:pPr>
        <w:spacing w:after="0" w:line="101" w:lineRule="exact"/>
        <w:rPr>
          <w:sz w:val="20"/>
          <w:szCs w:val="20"/>
          <w:color w:val="auto"/>
        </w:rPr>
      </w:pPr>
    </w:p>
    <w:p>
      <w:pPr>
        <w:ind w:right="320" w:firstLine="1271"/>
        <w:spacing w:after="0" w:line="286" w:lineRule="auto"/>
        <w:rPr>
          <w:sz w:val="20"/>
          <w:szCs w:val="20"/>
          <w:color w:val="auto"/>
        </w:rPr>
      </w:pPr>
      <w:r>
        <w:rPr>
          <w:rFonts w:ascii="Times New Roman" w:cs="Times New Roman" w:eastAsia="Times New Roman" w:hAnsi="Times New Roman"/>
          <w:sz w:val="14"/>
          <w:szCs w:val="14"/>
          <w:color w:val="auto"/>
        </w:rPr>
        <w:t>(e)          to evidence the succession of another entity to the Company, or successive successions, and the assumption by such successor of the covenants and obligations of the Company contained in the Securities of one or more series and in this Indenture or any supplemental indenture;</w:t>
      </w:r>
    </w:p>
    <w:p>
      <w:pPr>
        <w:spacing w:after="0" w:line="125" w:lineRule="exact"/>
        <w:rPr>
          <w:sz w:val="20"/>
          <w:szCs w:val="20"/>
          <w:color w:val="auto"/>
        </w:rPr>
      </w:pPr>
    </w:p>
    <w:p>
      <w:pPr>
        <w:ind w:right="20" w:firstLine="1271"/>
        <w:spacing w:after="0" w:line="286" w:lineRule="auto"/>
        <w:rPr>
          <w:sz w:val="20"/>
          <w:szCs w:val="20"/>
          <w:color w:val="auto"/>
        </w:rPr>
      </w:pPr>
      <w:r>
        <w:rPr>
          <w:rFonts w:ascii="Times New Roman" w:cs="Times New Roman" w:eastAsia="Times New Roman" w:hAnsi="Times New Roman"/>
          <w:sz w:val="14"/>
          <w:szCs w:val="14"/>
          <w:color w:val="auto"/>
        </w:rPr>
        <w:t>(f)          to evidence and provide for the acceptance of appointment hereunder by a successor Trustee with respect to one or more series of Securities and to add to or change any of the provisions of this Indenture as shall be necessary for or facilitate the administration of the trusts hereunder by more than one Trustee, pursuant to the requirements of Section 11.06(c);</w:t>
      </w:r>
    </w:p>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(g)          to secure any series of Securities;</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(h)          to evidence any changes to this Indenture pursuant to Sections 11.05, 11.06 or 11.07 hereof as permitted by the terms thereof;</w:t>
      </w:r>
    </w:p>
    <w:p>
      <w:pPr>
        <w:spacing w:after="0" w:line="178" w:lineRule="exact"/>
        <w:rPr>
          <w:sz w:val="20"/>
          <w:szCs w:val="20"/>
          <w:color w:val="auto"/>
        </w:rPr>
      </w:pPr>
    </w:p>
    <w:p>
      <w:pPr>
        <w:ind w:right="60" w:firstLine="1271"/>
        <w:spacing w:after="0" w:line="269" w:lineRule="auto"/>
        <w:rPr>
          <w:sz w:val="20"/>
          <w:szCs w:val="20"/>
          <w:color w:val="auto"/>
        </w:rPr>
      </w:pPr>
      <w:r>
        <w:rPr>
          <w:rFonts w:ascii="Times New Roman" w:cs="Times New Roman" w:eastAsia="Times New Roman" w:hAnsi="Times New Roman"/>
          <w:sz w:val="14"/>
          <w:szCs w:val="14"/>
          <w:color w:val="auto"/>
        </w:rPr>
        <w:t>(i)           to cure any ambiguity or inconsistency or to correct or supplement any provision contained herein or in any indenture supplemental hereto which may be defective or inconsistent with any other provision contained herein or in any supplemental indenture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w:t>
      </w:r>
    </w:p>
    <w:p>
      <w:pPr>
        <w:spacing w:after="0" w:line="1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(j)           to add to or change or eliminate any provision of this Indenture as shall be necessary or desirable in accordance with any amendments to the Trust Indenture Act;</w:t>
      </w:r>
    </w:p>
    <w:p>
      <w:pPr>
        <w:spacing w:after="0" w:line="178" w:lineRule="exact"/>
        <w:rPr>
          <w:sz w:val="20"/>
          <w:szCs w:val="20"/>
          <w:color w:val="auto"/>
        </w:rPr>
      </w:pPr>
    </w:p>
    <w:p>
      <w:pPr>
        <w:ind w:right="260" w:firstLine="1271"/>
        <w:spacing w:after="0" w:line="286" w:lineRule="auto"/>
        <w:rPr>
          <w:sz w:val="20"/>
          <w:szCs w:val="20"/>
          <w:color w:val="auto"/>
        </w:rPr>
      </w:pPr>
      <w:r>
        <w:rPr>
          <w:rFonts w:ascii="Times New Roman" w:cs="Times New Roman" w:eastAsia="Times New Roman" w:hAnsi="Times New Roman"/>
          <w:sz w:val="14"/>
          <w:szCs w:val="14"/>
          <w:color w:val="auto"/>
        </w:rPr>
        <w:t>(k)          to add guarantors or co-obligors with respect to any series of Securities or to release guarantors from their guarantees of Securities in accordance with the terms of the applicable series of Securities;</w:t>
      </w:r>
    </w:p>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(l)           to make any change in any series of Securities that does not adversely affect in any material respect the rights of the Holders of such Securities;</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(m)          to provide for uncertificated securities in addition to certificated securities;</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114" w:name="page115"/>
    <w:bookmarkEnd w:id="114"/>
    <w:p>
      <w:pPr>
        <w:ind w:right="220" w:firstLine="1271"/>
        <w:spacing w:after="0" w:line="286" w:lineRule="auto"/>
        <w:rPr>
          <w:sz w:val="20"/>
          <w:szCs w:val="20"/>
          <w:color w:val="auto"/>
        </w:rPr>
      </w:pPr>
      <w:r>
        <w:rPr>
          <w:rFonts w:ascii="Times New Roman" w:cs="Times New Roman" w:eastAsia="Times New Roman" w:hAnsi="Times New Roman"/>
          <w:sz w:val="14"/>
          <w:szCs w:val="14"/>
          <w:color w:val="auto"/>
        </w:rPr>
        <w:t>(n)          to supplement any of the provisions of this Indenture to such extent as shall be necessary to permit or facilitate the defeasance and discharge of any series of Securities; provided that any such action shall not adversely affect the interests of the Holders of Securities of such series or any other series of Securities in any material respect;</w:t>
      </w:r>
    </w:p>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(o)          to prohibit the authentication and delivery of additional series of Securities; or</w:t>
      </w:r>
    </w:p>
    <w:p>
      <w:pPr>
        <w:spacing w:after="0" w:line="178" w:lineRule="exact"/>
        <w:rPr>
          <w:sz w:val="20"/>
          <w:szCs w:val="20"/>
          <w:color w:val="auto"/>
        </w:rPr>
      </w:pPr>
    </w:p>
    <w:p>
      <w:pPr>
        <w:ind w:right="180" w:firstLine="1271"/>
        <w:spacing w:after="0" w:line="269" w:lineRule="auto"/>
        <w:rPr>
          <w:sz w:val="20"/>
          <w:szCs w:val="20"/>
          <w:color w:val="auto"/>
        </w:rPr>
      </w:pPr>
      <w:r>
        <w:rPr>
          <w:rFonts w:ascii="Times New Roman" w:cs="Times New Roman" w:eastAsia="Times New Roman" w:hAnsi="Times New Roman"/>
          <w:sz w:val="14"/>
          <w:szCs w:val="14"/>
          <w:color w:val="auto"/>
        </w:rPr>
        <w:t>(p)          to establish the form and terms of Securities of any series as permitted in Section 3.01, or to authorize the issuance of additional Securities of a series previously authorized or to add to the conditions, limitations or restrictions on the authorized amount, terms or purposes of issue, authentication or delivery of the Securities of any series, as herein set forth, or other conditions, limitations or restrictions thereafter to be observed.</w:t>
      </w:r>
    </w:p>
    <w:p>
      <w:pPr>
        <w:spacing w:after="0" w:line="136" w:lineRule="exact"/>
        <w:rPr>
          <w:sz w:val="20"/>
          <w:szCs w:val="20"/>
          <w:color w:val="auto"/>
        </w:rPr>
      </w:pPr>
    </w:p>
    <w:p>
      <w:pPr>
        <w:ind w:right="420" w:firstLine="508"/>
        <w:spacing w:after="0" w:line="286" w:lineRule="auto"/>
        <w:rPr>
          <w:sz w:val="20"/>
          <w:szCs w:val="20"/>
          <w:color w:val="auto"/>
        </w:rPr>
      </w:pPr>
      <w:r>
        <w:rPr>
          <w:rFonts w:ascii="Times New Roman" w:cs="Times New Roman" w:eastAsia="Times New Roman" w:hAnsi="Times New Roman"/>
          <w:sz w:val="14"/>
          <w:szCs w:val="14"/>
          <w:color w:val="auto"/>
        </w:rPr>
        <w:t>Subject to the provisions of Section 14.03, the Trustee is authorized to join with the Company in the execution of any such supplemental indenture, to make the further agreements and stipulations which may be therein contained and to accept the conveyance, transfer, assignment, mortgage or pledge of any property or assets thereunder.</w:t>
      </w:r>
    </w:p>
    <w:p>
      <w:pPr>
        <w:spacing w:after="0" w:line="125" w:lineRule="exact"/>
        <w:rPr>
          <w:sz w:val="20"/>
          <w:szCs w:val="20"/>
          <w:color w:val="auto"/>
        </w:rPr>
      </w:pPr>
    </w:p>
    <w:p>
      <w:pPr>
        <w:ind w:firstLine="508"/>
        <w:spacing w:after="0" w:line="286" w:lineRule="auto"/>
        <w:rPr>
          <w:sz w:val="20"/>
          <w:szCs w:val="20"/>
          <w:color w:val="auto"/>
        </w:rPr>
      </w:pPr>
      <w:r>
        <w:rPr>
          <w:rFonts w:ascii="Times New Roman" w:cs="Times New Roman" w:eastAsia="Times New Roman" w:hAnsi="Times New Roman"/>
          <w:sz w:val="14"/>
          <w:szCs w:val="14"/>
          <w:color w:val="auto"/>
        </w:rPr>
        <w:t>Any supplemental indenture authorized by the provisions of this Section 14.01 may be executed by the Company and the Trustee without the consent of the Holders of any of the Securities at the time Outstanding.</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14.02 </w:t>
      </w:r>
      <w:r>
        <w:rPr>
          <w:rFonts w:ascii="Times New Roman" w:cs="Times New Roman" w:eastAsia="Times New Roman" w:hAnsi="Times New Roman"/>
          <w:sz w:val="14"/>
          <w:szCs w:val="14"/>
          <w:u w:val="single" w:color="auto"/>
          <w:color w:val="auto"/>
        </w:rPr>
        <w:t>  With Consent of Securityholders; Limitations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firstLine="1271"/>
        <w:spacing w:after="0" w:line="263" w:lineRule="auto"/>
        <w:rPr>
          <w:sz w:val="20"/>
          <w:szCs w:val="20"/>
          <w:color w:val="auto"/>
        </w:rPr>
      </w:pPr>
      <w:r>
        <w:rPr>
          <w:rFonts w:ascii="Times New Roman" w:cs="Times New Roman" w:eastAsia="Times New Roman" w:hAnsi="Times New Roman"/>
          <w:sz w:val="14"/>
          <w:szCs w:val="14"/>
          <w:color w:val="auto"/>
        </w:rPr>
        <w:t>(a)          With the consent of the Holders (evidenced as provided in Article VIII) of a majority in aggregate principal amount of the Outstanding Securities of each series affected by such supplemental indenture voting separately, the Company and the Trustee may, from time to time and at any time, enter into an indenture or indentures supplemental hereto for the purpose of adding any provisions to or changing in any manner or eliminating any provisions of this Indenture or of modifying in any manner the rights of the Holders of the Securities of such series to be affected; provided, however, that no such supplemental indenture shall, without the consent of the Holder of each Outstanding Security of each such series affected thereby,</w:t>
      </w:r>
    </w:p>
    <w:p>
      <w:pPr>
        <w:spacing w:after="0" w:line="142" w:lineRule="exact"/>
        <w:rPr>
          <w:sz w:val="20"/>
          <w:szCs w:val="20"/>
          <w:color w:val="auto"/>
        </w:rPr>
      </w:pPr>
    </w:p>
    <w:p>
      <w:pPr>
        <w:ind w:left="520" w:right="60" w:firstLine="1271"/>
        <w:spacing w:after="0" w:line="259" w:lineRule="auto"/>
        <w:rPr>
          <w:sz w:val="20"/>
          <w:szCs w:val="20"/>
          <w:color w:val="auto"/>
        </w:rPr>
      </w:pPr>
      <w:r>
        <w:rPr>
          <w:rFonts w:ascii="Times New Roman" w:cs="Times New Roman" w:eastAsia="Times New Roman" w:hAnsi="Times New Roman"/>
          <w:sz w:val="14"/>
          <w:szCs w:val="14"/>
          <w:color w:val="auto"/>
        </w:rPr>
        <w:t>(i)          extend the Stated Maturity of the principal of, or any installment of interest on, any Security, or reduce the principal amount thereof or the interest thereon or any premium payable thereon, or extend the Stated Maturity of, or change the place of payment where, or the Currency in which the principal of and premium, if any, or interest on such Security is denominated or payable, or reduce the amount of the principal of an Original Issue Discount Security that would be due and payable upon acceleration of the Maturity thereof pursuant to Section 7.02, change the ranking of any Security or, in the case of any subordinated Security, the definition of Senior Indebtedness applicable thereto, or impair the right to institute suit for the enforcement of any payment on or after the Stated Maturity thereof (or, in the case of redemption, on or after the Redemption Date), or materially adversely affect the economic terms of any right to convert or exchange any Security as may be provided pursuant to Section 3.01; or</w:t>
      </w: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15" w:name="page116"/>
    <w:bookmarkEnd w:id="115"/>
    <w:p>
      <w:pPr>
        <w:ind w:left="520" w:firstLine="1271"/>
        <w:spacing w:after="0" w:line="269" w:lineRule="auto"/>
        <w:rPr>
          <w:sz w:val="20"/>
          <w:szCs w:val="20"/>
          <w:color w:val="auto"/>
        </w:rPr>
      </w:pPr>
      <w:r>
        <w:rPr>
          <w:rFonts w:ascii="Times New Roman" w:cs="Times New Roman" w:eastAsia="Times New Roman" w:hAnsi="Times New Roman"/>
          <w:sz w:val="14"/>
          <w:szCs w:val="14"/>
          <w:color w:val="auto"/>
        </w:rPr>
        <w:t>(ii)         reduce the percentage in principal amount of the Outstanding Securities of any series, the consent of whose Holders is required for any supplemental indenture, or the consent of whose Holders is required for any waiver of compliance with certain provisions of this Indenture or certain Defaults hereunder and their consequences provided for in this Indenture; or</w:t>
      </w:r>
    </w:p>
    <w:p>
      <w:pPr>
        <w:spacing w:after="0" w:line="136" w:lineRule="exact"/>
        <w:rPr>
          <w:sz w:val="20"/>
          <w:szCs w:val="20"/>
          <w:color w:val="auto"/>
        </w:rPr>
      </w:pPr>
    </w:p>
    <w:p>
      <w:pPr>
        <w:ind w:left="520" w:right="200" w:firstLine="1271"/>
        <w:spacing w:after="0" w:line="263" w:lineRule="auto"/>
        <w:rPr>
          <w:sz w:val="20"/>
          <w:szCs w:val="20"/>
          <w:color w:val="auto"/>
        </w:rPr>
      </w:pPr>
      <w:r>
        <w:rPr>
          <w:rFonts w:ascii="Times New Roman" w:cs="Times New Roman" w:eastAsia="Times New Roman" w:hAnsi="Times New Roman"/>
          <w:sz w:val="14"/>
          <w:szCs w:val="14"/>
          <w:color w:val="auto"/>
        </w:rPr>
        <w:t>(iii)        modify any of the provisions of this Section, Section 7.06 or Section 6.06,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6.06, or the deletion of this proviso, in accordance with the requirements of Sections 11.06 and 14.01(f); or</w:t>
      </w:r>
    </w:p>
    <w:p>
      <w:pPr>
        <w:spacing w:after="0" w:line="14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(iv)       [reserved]</w:t>
      </w:r>
    </w:p>
    <w:p>
      <w:pPr>
        <w:spacing w:after="0" w:line="17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(v)        modify, without the written consent of the Trustee, the rights, duties or immunities of the Trustee.</w:t>
      </w:r>
    </w:p>
    <w:p>
      <w:pPr>
        <w:spacing w:after="0" w:line="178" w:lineRule="exact"/>
        <w:rPr>
          <w:sz w:val="20"/>
          <w:szCs w:val="20"/>
          <w:color w:val="auto"/>
        </w:rPr>
      </w:pPr>
    </w:p>
    <w:p>
      <w:pPr>
        <w:ind w:firstLine="1271"/>
        <w:spacing w:after="0" w:line="269" w:lineRule="auto"/>
        <w:rPr>
          <w:sz w:val="20"/>
          <w:szCs w:val="20"/>
          <w:color w:val="auto"/>
        </w:rPr>
      </w:pPr>
      <w:r>
        <w:rPr>
          <w:rFonts w:ascii="Times New Roman" w:cs="Times New Roman" w:eastAsia="Times New Roman" w:hAnsi="Times New Roman"/>
          <w:sz w:val="14"/>
          <w:szCs w:val="14"/>
          <w:color w:val="auto"/>
        </w:rPr>
        <w:t>(b)          A supplemental indenture that changes or eliminates any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36" w:lineRule="exact"/>
        <w:rPr>
          <w:sz w:val="20"/>
          <w:szCs w:val="20"/>
          <w:color w:val="auto"/>
        </w:rPr>
      </w:pPr>
    </w:p>
    <w:p>
      <w:pPr>
        <w:ind w:right="60" w:firstLine="1271"/>
        <w:spacing w:after="0" w:line="286" w:lineRule="auto"/>
        <w:rPr>
          <w:sz w:val="20"/>
          <w:szCs w:val="20"/>
          <w:color w:val="auto"/>
        </w:rPr>
      </w:pPr>
      <w:r>
        <w:rPr>
          <w:rFonts w:ascii="Times New Roman" w:cs="Times New Roman" w:eastAsia="Times New Roman" w:hAnsi="Times New Roman"/>
          <w:sz w:val="14"/>
          <w:szCs w:val="14"/>
          <w:color w:val="auto"/>
        </w:rPr>
        <w:t>(c)          It shall not be necessary for the consent of the Securityholders under this Section 14.02 to approve the particular form of any proposed supplemental indenture, but it shall be sufficient if such consent shall approve the substance thereof.</w:t>
      </w:r>
    </w:p>
    <w:p>
      <w:pPr>
        <w:spacing w:after="0" w:line="125" w:lineRule="exact"/>
        <w:rPr>
          <w:sz w:val="20"/>
          <w:szCs w:val="20"/>
          <w:color w:val="auto"/>
        </w:rPr>
      </w:pPr>
    </w:p>
    <w:p>
      <w:pPr>
        <w:ind w:right="120" w:firstLine="1271"/>
        <w:spacing w:after="0" w:line="269" w:lineRule="auto"/>
        <w:rPr>
          <w:sz w:val="20"/>
          <w:szCs w:val="20"/>
          <w:color w:val="auto"/>
        </w:rPr>
      </w:pPr>
      <w:r>
        <w:rPr>
          <w:rFonts w:ascii="Times New Roman" w:cs="Times New Roman" w:eastAsia="Times New Roman" w:hAnsi="Times New Roman"/>
          <w:sz w:val="14"/>
          <w:szCs w:val="14"/>
          <w:color w:val="auto"/>
        </w:rPr>
        <w:t>(d)          The Company may set a record date for purposes of determining the identity of the Holders of each series of Securities entitled to give a written consent or waive compliance by the Company as authorized or permitted by this Section. Such record date shall not be more than 30 days prior to the first solicitation of such consent or waiver or the date of the most recent list of Holders furnished to the Trustee prior to such solicitation pursuant to Section 312 of the Trust Indenture Act.</w:t>
      </w:r>
    </w:p>
    <w:p>
      <w:pPr>
        <w:spacing w:after="0" w:line="136" w:lineRule="exact"/>
        <w:rPr>
          <w:sz w:val="20"/>
          <w:szCs w:val="20"/>
          <w:color w:val="auto"/>
        </w:rPr>
      </w:pPr>
    </w:p>
    <w:p>
      <w:pPr>
        <w:jc w:val="both"/>
        <w:ind w:right="220" w:firstLine="1271"/>
        <w:spacing w:after="0" w:line="269" w:lineRule="auto"/>
        <w:rPr>
          <w:sz w:val="20"/>
          <w:szCs w:val="20"/>
          <w:color w:val="auto"/>
        </w:rPr>
      </w:pPr>
      <w:r>
        <w:rPr>
          <w:rFonts w:ascii="Times New Roman" w:cs="Times New Roman" w:eastAsia="Times New Roman" w:hAnsi="Times New Roman"/>
          <w:sz w:val="14"/>
          <w:szCs w:val="14"/>
          <w:color w:val="auto"/>
        </w:rPr>
        <w:t>(e)          Promptly after the execution by the Company and the Trustee of any supplemental indenture pursuant to the provisions of this Section 14.02, the Company shall mail a notice, setting forth in general terms the substance of such supplemental indenture, to the Holders of Securities at their addresses as the same shall then appear in the Register of the Company. Any failure of the Company to mail such notice, or any defect therein, shall not, however, in any way impair or affect the validity of any such supplemental indenture.</w:t>
      </w:r>
    </w:p>
    <w:p>
      <w:pPr>
        <w:spacing w:after="0" w:line="136" w:lineRule="exact"/>
        <w:rPr>
          <w:sz w:val="20"/>
          <w:szCs w:val="20"/>
          <w:color w:val="auto"/>
        </w:rPr>
      </w:pPr>
    </w:p>
    <w:p>
      <w:pPr>
        <w:ind w:right="180" w:firstLine="508"/>
        <w:spacing w:after="0" w:line="263" w:lineRule="auto"/>
        <w:rPr>
          <w:sz w:val="20"/>
          <w:szCs w:val="20"/>
          <w:color w:val="auto"/>
        </w:rPr>
      </w:pPr>
      <w:r>
        <w:rPr>
          <w:rFonts w:ascii="Times New Roman" w:cs="Times New Roman" w:eastAsia="Times New Roman" w:hAnsi="Times New Roman"/>
          <w:sz w:val="14"/>
          <w:szCs w:val="14"/>
          <w:color w:val="auto"/>
        </w:rPr>
        <w:t>Section 14.03 </w:t>
      </w:r>
      <w:r>
        <w:rPr>
          <w:rFonts w:ascii="Times New Roman" w:cs="Times New Roman" w:eastAsia="Times New Roman" w:hAnsi="Times New Roman"/>
          <w:sz w:val="14"/>
          <w:szCs w:val="14"/>
          <w:u w:val="single" w:color="auto"/>
          <w:color w:val="auto"/>
        </w:rPr>
        <w:t>  Trustee Protected</w:t>
      </w:r>
      <w:r>
        <w:rPr>
          <w:rFonts w:ascii="Times New Roman" w:cs="Times New Roman" w:eastAsia="Times New Roman" w:hAnsi="Times New Roman"/>
          <w:sz w:val="14"/>
          <w:szCs w:val="14"/>
          <w:color w:val="auto"/>
        </w:rPr>
        <w:t>. Upon the request of the Company, accompanied by the Officer’s Certificate and Opinion of Counsel required by Section 16.01 and evidence reasonably satisfactory to the Trustee of consent of the Holders if the supplemental indenture is to be executed pursuant to Section 14.02, the Trustee shall join with the Company in the execution of said supplemental indenture unless said supplemental indenture affects the Trustee’s own rights, duties, indemnities or immunities under this Indenture or otherwise, in which case the Trustee may in its discretion, but shall not be obligated to, enter into said supplemental indenture. The Trustee shall be fully protected in relying upon such Officer’s Certificate and Opinion of Counsel.</w:t>
      </w: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16" w:name="page117"/>
    <w:bookmarkEnd w:id="116"/>
    <w:p>
      <w:pPr>
        <w:ind w:firstLine="508"/>
        <w:spacing w:after="0" w:line="261" w:lineRule="auto"/>
        <w:rPr>
          <w:sz w:val="20"/>
          <w:szCs w:val="20"/>
          <w:color w:val="auto"/>
        </w:rPr>
      </w:pPr>
      <w:r>
        <w:rPr>
          <w:rFonts w:ascii="Times New Roman" w:cs="Times New Roman" w:eastAsia="Times New Roman" w:hAnsi="Times New Roman"/>
          <w:sz w:val="14"/>
          <w:szCs w:val="14"/>
          <w:color w:val="auto"/>
        </w:rPr>
        <w:t>Section 14.04 </w:t>
      </w:r>
      <w:r>
        <w:rPr>
          <w:rFonts w:ascii="Times New Roman" w:cs="Times New Roman" w:eastAsia="Times New Roman" w:hAnsi="Times New Roman"/>
          <w:sz w:val="14"/>
          <w:szCs w:val="14"/>
          <w:u w:val="single" w:color="auto"/>
          <w:color w:val="auto"/>
        </w:rPr>
        <w:t>  Effect of Execution of Supplemental Indenture</w:t>
      </w:r>
      <w:r>
        <w:rPr>
          <w:rFonts w:ascii="Times New Roman" w:cs="Times New Roman" w:eastAsia="Times New Roman" w:hAnsi="Times New Roman"/>
          <w:sz w:val="14"/>
          <w:szCs w:val="14"/>
          <w:color w:val="auto"/>
        </w:rPr>
        <w:t>. Upon the execution of any supplemental indenture pursuant to the provisions of this Article XIV, this Indenture shall be deemed to be modified and amended in accordance therewith and, except as herein otherwise expressly provided, the respective rights, limitations of rights, obligations, duties and immunities under this Indenture of the Trustee, the Company and the Holders of all of the Securities or of the Securities of any series affected, as the case may be,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41" w:lineRule="exact"/>
        <w:rPr>
          <w:sz w:val="20"/>
          <w:szCs w:val="20"/>
          <w:color w:val="auto"/>
        </w:rPr>
      </w:pPr>
    </w:p>
    <w:p>
      <w:pPr>
        <w:ind w:right="20" w:firstLine="508"/>
        <w:spacing w:after="0" w:line="261" w:lineRule="auto"/>
        <w:rPr>
          <w:sz w:val="20"/>
          <w:szCs w:val="20"/>
          <w:color w:val="auto"/>
        </w:rPr>
      </w:pPr>
      <w:r>
        <w:rPr>
          <w:rFonts w:ascii="Times New Roman" w:cs="Times New Roman" w:eastAsia="Times New Roman" w:hAnsi="Times New Roman"/>
          <w:sz w:val="14"/>
          <w:szCs w:val="14"/>
          <w:color w:val="auto"/>
        </w:rPr>
        <w:t>Section 14.05 </w:t>
      </w:r>
      <w:r>
        <w:rPr>
          <w:rFonts w:ascii="Times New Roman" w:cs="Times New Roman" w:eastAsia="Times New Roman" w:hAnsi="Times New Roman"/>
          <w:sz w:val="14"/>
          <w:szCs w:val="14"/>
          <w:u w:val="single" w:color="auto"/>
          <w:color w:val="auto"/>
        </w:rPr>
        <w:t>  Notation on or Exchange of Securities</w:t>
      </w:r>
      <w:r>
        <w:rPr>
          <w:rFonts w:ascii="Times New Roman" w:cs="Times New Roman" w:eastAsia="Times New Roman" w:hAnsi="Times New Roman"/>
          <w:sz w:val="14"/>
          <w:szCs w:val="14"/>
          <w:color w:val="auto"/>
        </w:rPr>
        <w:t>. Securities of any series authenticated and delivered after the execution of any supplemental indenture pursuant to the provisions of this Article may bear a notation in the form approved by the Trustee as to any matter provided for in such supplemental indenture. If the Company or the Trustee shall so determine, new Securities so modified as to conform, in the opinion of the Trustee and the Board of Directors of the Company, to any modification of this Indenture contained in any such supplemental indenture may be prepared and executed by the Company and authenticated and delivered by the Trustee in exchange for the Securities then Outstanding in equal aggregate principal amounts, and such exchange shall be made without cost to the Holders of the Securities.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14.06 </w:t>
      </w:r>
      <w:r>
        <w:rPr>
          <w:rFonts w:ascii="Times New Roman" w:cs="Times New Roman" w:eastAsia="Times New Roman" w:hAnsi="Times New Roman"/>
          <w:sz w:val="14"/>
          <w:szCs w:val="14"/>
          <w:u w:val="single" w:color="auto"/>
          <w:color w:val="auto"/>
        </w:rPr>
        <w:t>  Conformity with TIA</w:t>
      </w:r>
      <w:r>
        <w:rPr>
          <w:rFonts w:ascii="Times New Roman" w:cs="Times New Roman" w:eastAsia="Times New Roman" w:hAnsi="Times New Roman"/>
          <w:sz w:val="14"/>
          <w:szCs w:val="14"/>
          <w:color w:val="auto"/>
        </w:rPr>
        <w:t>. Every supplemental indenture executed pursuant to the provisions of this Article shall conform to the requirements of the Trust Indenture Act as then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ARTICLE XV</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SUBORDINATION OF SECURITIES</w:t>
      </w:r>
    </w:p>
    <w:p>
      <w:pPr>
        <w:spacing w:after="0" w:line="180" w:lineRule="exact"/>
        <w:rPr>
          <w:sz w:val="20"/>
          <w:szCs w:val="20"/>
          <w:color w:val="auto"/>
        </w:rPr>
      </w:pPr>
    </w:p>
    <w:p>
      <w:pPr>
        <w:ind w:right="40" w:firstLine="508"/>
        <w:spacing w:after="0" w:line="261" w:lineRule="auto"/>
        <w:rPr>
          <w:sz w:val="20"/>
          <w:szCs w:val="20"/>
          <w:color w:val="auto"/>
        </w:rPr>
      </w:pPr>
      <w:r>
        <w:rPr>
          <w:rFonts w:ascii="Times New Roman" w:cs="Times New Roman" w:eastAsia="Times New Roman" w:hAnsi="Times New Roman"/>
          <w:sz w:val="14"/>
          <w:szCs w:val="14"/>
          <w:color w:val="auto"/>
        </w:rPr>
        <w:t>Section 15.01 </w:t>
      </w:r>
      <w:r>
        <w:rPr>
          <w:rFonts w:ascii="Times New Roman" w:cs="Times New Roman" w:eastAsia="Times New Roman" w:hAnsi="Times New Roman"/>
          <w:sz w:val="14"/>
          <w:szCs w:val="14"/>
          <w:u w:val="single" w:color="auto"/>
          <w:color w:val="auto"/>
        </w:rPr>
        <w:t>  Agreement to Subordinate</w:t>
      </w:r>
      <w:r>
        <w:rPr>
          <w:rFonts w:ascii="Times New Roman" w:cs="Times New Roman" w:eastAsia="Times New Roman" w:hAnsi="Times New Roman"/>
          <w:sz w:val="14"/>
          <w:szCs w:val="14"/>
          <w:color w:val="auto"/>
        </w:rPr>
        <w:t>. In the event a series of Securities is designated as subordinated pursuant to Section 3.01, and except as otherwise provided in a Company Order or in one or more indentures supplemental hereto, the Company, for itself, its successors and assigns, covenants and agrees, and each Holder of Securities of such series by his, her or its acceptance thereof, likewise covenants and agrees, that the payment of the principal of (and premium, if any) and interest, if any, on each and all of the Securities of such series is hereby expressly subordinated, to the extent and in the manner hereinafter set forth, in right of payment to the prior payment in full of all Senior Indebtedness. In the event a series of Securities is not designated as subordinated pursuant to Section 3.01(t), this Article XV shall have no effect upon the Securities.</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20"/>
          </w:cols>
          <w:pgMar w:left="300" w:top="739" w:right="379" w:bottom="1440" w:gutter="0" w:footer="0" w:header="0"/>
        </w:sectPr>
      </w:pPr>
    </w:p>
    <w:bookmarkStart w:id="117" w:name="page118"/>
    <w:bookmarkEnd w:id="117"/>
    <w:p>
      <w:pPr>
        <w:ind w:firstLine="508"/>
        <w:spacing w:after="0" w:line="261" w:lineRule="auto"/>
        <w:rPr>
          <w:sz w:val="20"/>
          <w:szCs w:val="20"/>
          <w:color w:val="auto"/>
        </w:rPr>
      </w:pPr>
      <w:r>
        <w:rPr>
          <w:rFonts w:ascii="Times New Roman" w:cs="Times New Roman" w:eastAsia="Times New Roman" w:hAnsi="Times New Roman"/>
          <w:sz w:val="14"/>
          <w:szCs w:val="14"/>
          <w:color w:val="auto"/>
        </w:rPr>
        <w:t>Section 15.02 </w:t>
      </w:r>
      <w:r>
        <w:rPr>
          <w:rFonts w:ascii="Times New Roman" w:cs="Times New Roman" w:eastAsia="Times New Roman" w:hAnsi="Times New Roman"/>
          <w:sz w:val="14"/>
          <w:szCs w:val="14"/>
          <w:u w:val="single" w:color="auto"/>
          <w:color w:val="auto"/>
        </w:rPr>
        <w:t>  Distribution on Dissolution, Liquidation and Reorganization; Subrogation of Securities</w:t>
      </w:r>
      <w:r>
        <w:rPr>
          <w:rFonts w:ascii="Times New Roman" w:cs="Times New Roman" w:eastAsia="Times New Roman" w:hAnsi="Times New Roman"/>
          <w:sz w:val="14"/>
          <w:szCs w:val="14"/>
          <w:color w:val="auto"/>
        </w:rPr>
        <w:t>. Subject to Section 15.01, 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w:t>
      </w:r>
    </w:p>
    <w:p>
      <w:pPr>
        <w:spacing w:after="0" w:line="141" w:lineRule="exact"/>
        <w:rPr>
          <w:sz w:val="20"/>
          <w:szCs w:val="20"/>
          <w:color w:val="auto"/>
        </w:rPr>
      </w:pPr>
    </w:p>
    <w:p>
      <w:pPr>
        <w:ind w:right="20" w:firstLine="1271"/>
        <w:spacing w:after="0" w:line="286" w:lineRule="auto"/>
        <w:rPr>
          <w:sz w:val="20"/>
          <w:szCs w:val="20"/>
          <w:color w:val="auto"/>
        </w:rPr>
      </w:pPr>
      <w:r>
        <w:rPr>
          <w:rFonts w:ascii="Times New Roman" w:cs="Times New Roman" w:eastAsia="Times New Roman" w:hAnsi="Times New Roman"/>
          <w:sz w:val="14"/>
          <w:szCs w:val="14"/>
          <w:color w:val="auto"/>
        </w:rPr>
        <w:t>(a)          the holders of all Senior Indebtedness shall be entitled to receive payment in full of the principal thereof (and premium, if any) and interest due thereon before the Holders of the Securities are entitled to receive any payment upon the principal (or premium, if any) or interest, if any, on Indebtedness evidenced by the Securities;</w:t>
      </w:r>
    </w:p>
    <w:p>
      <w:pPr>
        <w:spacing w:after="0" w:line="125" w:lineRule="exact"/>
        <w:rPr>
          <w:sz w:val="20"/>
          <w:szCs w:val="20"/>
          <w:color w:val="auto"/>
        </w:rPr>
      </w:pPr>
    </w:p>
    <w:p>
      <w:pPr>
        <w:ind w:firstLine="1271"/>
        <w:spacing w:after="0" w:line="259" w:lineRule="auto"/>
        <w:rPr>
          <w:sz w:val="20"/>
          <w:szCs w:val="20"/>
          <w:color w:val="auto"/>
        </w:rPr>
      </w:pPr>
      <w:r>
        <w:rPr>
          <w:rFonts w:ascii="Times New Roman" w:cs="Times New Roman" w:eastAsia="Times New Roman" w:hAnsi="Times New Roman"/>
          <w:sz w:val="14"/>
          <w:szCs w:val="14"/>
          <w:color w:val="auto"/>
        </w:rPr>
        <w:t>(b)          any payment or distribution of assets of the Company of any kind or character, whether in cash, property or securities, to which the Holders of the Securities or the Trustee would be entitled except for the provisions of this Article XV shall be paid by the liquidation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w:t>
      </w:r>
    </w:p>
    <w:p>
      <w:pPr>
        <w:spacing w:after="0" w:line="144" w:lineRule="exact"/>
        <w:rPr>
          <w:sz w:val="20"/>
          <w:szCs w:val="20"/>
          <w:color w:val="auto"/>
        </w:rPr>
      </w:pPr>
    </w:p>
    <w:p>
      <w:pPr>
        <w:ind w:right="20" w:firstLine="1271"/>
        <w:spacing w:after="0" w:line="261" w:lineRule="auto"/>
        <w:rPr>
          <w:sz w:val="20"/>
          <w:szCs w:val="20"/>
          <w:color w:val="auto"/>
        </w:rPr>
      </w:pPr>
      <w:r>
        <w:rPr>
          <w:rFonts w:ascii="Times New Roman" w:cs="Times New Roman" w:eastAsia="Times New Roman" w:hAnsi="Times New Roman"/>
          <w:sz w:val="14"/>
          <w:szCs w:val="14"/>
          <w:color w:val="auto"/>
        </w:rPr>
        <w:t>(c)          in the event that, notwithstanding the foregoing, any payment or distribution of assets of the Company of any kind or character, whether in cash, property or securities prohibited by the foregoing, shall be received by the Trustee or the Holders of the Securities before all Senior Indebtedness is paid in full, such payment or distribution shall be paid over, upon written notice to a Responsible Officer of the Trustee, to the holder of such Senior Indebtedness or his, her or its representative or representatives or to the trustee or trustees under any indenture under which any instrument evidencing any of such Senior Indebtedness may have been issued, ratably as aforesaid, as calculated by the Company, for application to payment of all Senior Indebtedness remaining unpaid until all such Senior Indebtedness shall have been paid in full, after giving effect to any concurrent payment or distribution to the holders of such Senior Indebtedness; and</w:t>
      </w:r>
    </w:p>
    <w:p>
      <w:pPr>
        <w:spacing w:after="0" w:line="141" w:lineRule="exact"/>
        <w:rPr>
          <w:sz w:val="20"/>
          <w:szCs w:val="20"/>
          <w:color w:val="auto"/>
        </w:rPr>
      </w:pPr>
    </w:p>
    <w:p>
      <w:pPr>
        <w:ind w:right="20" w:firstLine="1271"/>
        <w:spacing w:after="0" w:line="255" w:lineRule="auto"/>
        <w:rPr>
          <w:sz w:val="20"/>
          <w:szCs w:val="20"/>
          <w:color w:val="auto"/>
        </w:rPr>
      </w:pPr>
      <w:r>
        <w:rPr>
          <w:rFonts w:ascii="Times New Roman" w:cs="Times New Roman" w:eastAsia="Times New Roman" w:hAnsi="Times New Roman"/>
          <w:sz w:val="14"/>
          <w:szCs w:val="14"/>
          <w:color w:val="auto"/>
        </w:rPr>
        <w:t>(d)          Subject to the payment in full of all Senior Indebtedness, the Holders of the Securities shall be subrogated to the rights of the holders of Senior Indebtedness (to the extent that distributions otherwise payable to such holder have been applied to the payment of Senior Indebtedness) to receive payments or distributions of cash, property or securities of the Company applicable to Senior Indebtedness until the principal of (and premium, if any) and interest, if any, on the Securities shall be paid in full and no such payments or distributions to the Holders of the Securities of cash, property or securities otherwise distributable to the holders of Senior Indebtedness shall, as between the Company, its creditors other than the holders of Senior Indebtedness, and the Holders of the Securities be deemed to be a payment by the Company to or on account of the Securities. It is understood that the provisions of this Article XV are and are intended solely for the purpose of defining the relative rights of the Holders of the Securities, on the one hand, and the holders of the Senior Indebtedness, on the other hand. Nothing contained in this Article XV or elsewhere in this Indenture or in the Securities is intended to or shall impair, as between the Company, its creditors other than the holders of Senior Indebtedness, and the Holders of the Securities, the obligation of the Company, which is unconditional and absolute, to pay to the Holders of the Securities the principal of (and premium, if any) and interest, if any, on the Securities as and when the same shall become due and payable in accordance with their terms, or to affect the relative rights of the Holders of the Securities and creditors of the Company other than the holders of Senior Indebtedness, nor shall anything herein or in the Securities prevent the Trustee or the Holder of any Security from exercising all remedies otherwise permitted by applicable law upon default under this Indenture, subject to the rights, if any, under this Article XV of the holders of Senior Indebtedness in respect of cash, property or securities of the Company received upon the exercise of any such remedy. Upon any payment or distribution of assets of the Company referred to in this Article XV, the Trustee, subject to the provisions of Section 15.06, shall be entitled to conclusively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thereof and all other facts pertinent thereto or to this Article XV.</w:t>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118" w:name="page119"/>
    <w:bookmarkEnd w:id="118"/>
    <w:p>
      <w:pPr>
        <w:ind w:firstLine="508"/>
        <w:spacing w:after="0" w:line="263" w:lineRule="auto"/>
        <w:rPr>
          <w:sz w:val="20"/>
          <w:szCs w:val="20"/>
          <w:color w:val="auto"/>
        </w:rPr>
      </w:pPr>
      <w:r>
        <w:rPr>
          <w:rFonts w:ascii="Times New Roman" w:cs="Times New Roman" w:eastAsia="Times New Roman" w:hAnsi="Times New Roman"/>
          <w:sz w:val="14"/>
          <w:szCs w:val="14"/>
          <w:color w:val="auto"/>
        </w:rPr>
        <w:t>Section 15.03 </w:t>
      </w:r>
      <w:r>
        <w:rPr>
          <w:rFonts w:ascii="Times New Roman" w:cs="Times New Roman" w:eastAsia="Times New Roman" w:hAnsi="Times New Roman"/>
          <w:sz w:val="14"/>
          <w:szCs w:val="14"/>
          <w:u w:val="single" w:color="auto"/>
          <w:color w:val="auto"/>
        </w:rPr>
        <w:t>  No Payment on Securities in Event of Default on Senior Indebtedness</w:t>
      </w:r>
      <w:r>
        <w:rPr>
          <w:rFonts w:ascii="Times New Roman" w:cs="Times New Roman" w:eastAsia="Times New Roman" w:hAnsi="Times New Roman"/>
          <w:sz w:val="14"/>
          <w:szCs w:val="14"/>
          <w:color w:val="auto"/>
        </w:rPr>
        <w:t>. Subject to Section 15.01, no payment by the Company on account of principal (or premium, if any), sinking funds or interest, if any, on the Securities shall be made at any time if: (i) a default on Senior Indebtedness exists that permits the holders of such Senior Indebtedness to accelerate its maturity and (ii) the default is the subject of judicial proceedings or the Company has received notice of such default. The Company may resume payments on the Securities when full payment of amounts then due for principal (premium, if any), sinking funds and interest on Senior Indebtedness has been made or duly provided for in money or money’s worth.</w:t>
      </w:r>
    </w:p>
    <w:p>
      <w:pPr>
        <w:spacing w:after="0" w:line="142" w:lineRule="exact"/>
        <w:rPr>
          <w:sz w:val="20"/>
          <w:szCs w:val="20"/>
          <w:color w:val="auto"/>
        </w:rPr>
      </w:pPr>
    </w:p>
    <w:p>
      <w:pPr>
        <w:ind w:right="40" w:firstLine="508"/>
        <w:spacing w:after="0" w:line="261" w:lineRule="auto"/>
        <w:rPr>
          <w:sz w:val="20"/>
          <w:szCs w:val="20"/>
          <w:color w:val="auto"/>
        </w:rPr>
      </w:pPr>
      <w:r>
        <w:rPr>
          <w:rFonts w:ascii="Times New Roman" w:cs="Times New Roman" w:eastAsia="Times New Roman" w:hAnsi="Times New Roman"/>
          <w:sz w:val="14"/>
          <w:szCs w:val="14"/>
          <w:color w:val="auto"/>
        </w:rPr>
        <w:t>In the event that, notwithstanding the foregoing, any payment shall be received by the Trustee when such payment is prohibited by the preceding paragraph of this Section 15.03, such payment shall be held in trust for the benefit of, and shall be paid over or delivered to, the holders of such Senior Indebtedness or their respective representatives, or to the trustee or trustees under any indenture pursuant to which any of such Senior Indebtedness may have been issued, as their respective interests may appear, as calculated by the Company, but only to the extent that the holders of such Senior Indebtedness (or their representative or representatives or a trustee) notify the Trustee in writing within 90 days of such payment of the amounts then due and owing on such Senior Indebtedness and only the amounts specified in such notice to the Trustee shall be paid to the holders of such Senior Indebtedness.</w:t>
      </w:r>
    </w:p>
    <w:p>
      <w:pPr>
        <w:spacing w:after="0" w:line="141" w:lineRule="exact"/>
        <w:rPr>
          <w:sz w:val="20"/>
          <w:szCs w:val="20"/>
          <w:color w:val="auto"/>
        </w:rPr>
      </w:pPr>
    </w:p>
    <w:p>
      <w:pPr>
        <w:ind w:right="260" w:firstLine="508"/>
        <w:spacing w:after="0" w:line="263" w:lineRule="auto"/>
        <w:rPr>
          <w:sz w:val="20"/>
          <w:szCs w:val="20"/>
          <w:color w:val="auto"/>
        </w:rPr>
      </w:pPr>
      <w:r>
        <w:rPr>
          <w:rFonts w:ascii="Times New Roman" w:cs="Times New Roman" w:eastAsia="Times New Roman" w:hAnsi="Times New Roman"/>
          <w:sz w:val="14"/>
          <w:szCs w:val="14"/>
          <w:color w:val="auto"/>
        </w:rPr>
        <w:t>Section 15.04   </w:t>
      </w:r>
      <w:r>
        <w:rPr>
          <w:rFonts w:ascii="Times New Roman" w:cs="Times New Roman" w:eastAsia="Times New Roman" w:hAnsi="Times New Roman"/>
          <w:sz w:val="14"/>
          <w:szCs w:val="14"/>
          <w:u w:val="single" w:color="auto"/>
          <w:color w:val="auto"/>
        </w:rPr>
        <w:t>  Payments on Securities Permitted</w:t>
      </w:r>
      <w:r>
        <w:rPr>
          <w:rFonts w:ascii="Times New Roman" w:cs="Times New Roman" w:eastAsia="Times New Roman" w:hAnsi="Times New Roman"/>
          <w:sz w:val="14"/>
          <w:szCs w:val="14"/>
          <w:color w:val="auto"/>
        </w:rPr>
        <w:t>. Subject to Section 15.01, nothing contained in this Indenture or in any of the Securities shall (a) affect the obligation of the Company to make, or prevent the Company from making, at any time except as provided in Sections 15.02 and 15.03, payments of principal of (or premium, if any) or interest, if any, on the Securities or</w:t>
      </w:r>
    </w:p>
    <w:p>
      <w:pPr>
        <w:ind w:right="80" w:firstLine="5"/>
        <w:spacing w:after="0" w:line="255" w:lineRule="auto"/>
        <w:tabs>
          <w:tab w:leader="none" w:pos="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prevent the application by the Trustee of any moneys or assets deposited with it hereunder to the payment of or on account of the principal of (or premium, if any) or interest, if any, on the Securities, unless a Responsible Officer of the Trustee shall have received at its Corporate Trust Office written notice of any fact prohibiting the making of such payment from the Company or from the holder of any Senior Indebtedness or from the trustee for any such holder, together with proof satisfactory to the Trustee of such holding of Senior Indebtedness or of the authority of such trustee, together with a Company Order confirming such holding of Senior Indebtedness or authority of such trustee and directing the Trustee to comply with such notice in accordance with the terms of this Article XV, more than two Business Days prior to the date fixed for such payment.</w:t>
      </w:r>
    </w:p>
    <w:p>
      <w:pPr>
        <w:spacing w:after="0" w:line="3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19" w:name="page120"/>
    <w:bookmarkEnd w:id="119"/>
    <w:p>
      <w:pPr>
        <w:jc w:val="both"/>
        <w:ind w:right="180" w:firstLine="508"/>
        <w:spacing w:after="0" w:line="269" w:lineRule="auto"/>
        <w:rPr>
          <w:sz w:val="20"/>
          <w:szCs w:val="20"/>
          <w:color w:val="auto"/>
        </w:rPr>
      </w:pPr>
      <w:r>
        <w:rPr>
          <w:rFonts w:ascii="Times New Roman" w:cs="Times New Roman" w:eastAsia="Times New Roman" w:hAnsi="Times New Roman"/>
          <w:sz w:val="14"/>
          <w:szCs w:val="14"/>
          <w:color w:val="auto"/>
        </w:rPr>
        <w:t>Section 15.05 </w:t>
      </w:r>
      <w:r>
        <w:rPr>
          <w:rFonts w:ascii="Times New Roman" w:cs="Times New Roman" w:eastAsia="Times New Roman" w:hAnsi="Times New Roman"/>
          <w:sz w:val="14"/>
          <w:szCs w:val="14"/>
          <w:u w:val="single" w:color="auto"/>
          <w:color w:val="auto"/>
        </w:rPr>
        <w:t>  Authorization of Securityholders to Trustee to Effect Subordination</w:t>
      </w:r>
      <w:r>
        <w:rPr>
          <w:rFonts w:ascii="Times New Roman" w:cs="Times New Roman" w:eastAsia="Times New Roman" w:hAnsi="Times New Roman"/>
          <w:sz w:val="14"/>
          <w:szCs w:val="14"/>
          <w:color w:val="auto"/>
        </w:rPr>
        <w:t>. Subject to Section 15.01, each Holder of Securities by his acceptance thereof authorizes and directs the Trustee on his, her or its behalf to take such action as may be necessary or appropriate to effectuate the subordination as provided in this Article XV and appoints the Trustee his attorney-in-fact for any and all such purposes.</w:t>
      </w:r>
    </w:p>
    <w:p>
      <w:pPr>
        <w:spacing w:after="0" w:line="136" w:lineRule="exact"/>
        <w:rPr>
          <w:sz w:val="20"/>
          <w:szCs w:val="20"/>
          <w:color w:val="auto"/>
        </w:rPr>
      </w:pPr>
    </w:p>
    <w:p>
      <w:pPr>
        <w:ind w:firstLine="508"/>
        <w:spacing w:after="0" w:line="254" w:lineRule="auto"/>
        <w:rPr>
          <w:sz w:val="20"/>
          <w:szCs w:val="20"/>
          <w:color w:val="auto"/>
        </w:rPr>
      </w:pPr>
      <w:r>
        <w:rPr>
          <w:rFonts w:ascii="Times New Roman" w:cs="Times New Roman" w:eastAsia="Times New Roman" w:hAnsi="Times New Roman"/>
          <w:sz w:val="14"/>
          <w:szCs w:val="14"/>
          <w:color w:val="auto"/>
        </w:rPr>
        <w:t>Section 15.06 </w:t>
      </w:r>
      <w:r>
        <w:rPr>
          <w:rFonts w:ascii="Times New Roman" w:cs="Times New Roman" w:eastAsia="Times New Roman" w:hAnsi="Times New Roman"/>
          <w:sz w:val="14"/>
          <w:szCs w:val="14"/>
          <w:u w:val="single" w:color="auto"/>
          <w:color w:val="auto"/>
        </w:rPr>
        <w:t>  Notices to Trustee</w:t>
      </w:r>
      <w:r>
        <w:rPr>
          <w:rFonts w:ascii="Times New Roman" w:cs="Times New Roman" w:eastAsia="Times New Roman" w:hAnsi="Times New Roman"/>
          <w:sz w:val="14"/>
          <w:szCs w:val="14"/>
          <w:color w:val="auto"/>
        </w:rPr>
        <w:t>. The Company shall give prompt written notice to a Responsible Officer of the Trustee of any fact known to the Company that would prohibit the making of any payment of monies or assets to or by the Trustee in respect of the Securities of any series pursuant to the provisions of this Article XV. Subject to Section 15.01, notwithstanding the provisions of this Article XV or any other provisions of this Indenture, neither the Trustee nor any Paying Agent (other than the Company) shall be charged with knowledge of the existence of any Senior Indebtedness or of any fact which would prohibit the making of any payment of moneys or assets to or by the Trustee or such Paying Agent, unless and until a Responsible Officer of the Trustee or such Paying Agent shall have received (in the case of a Responsible Officer of the Trustee, at the Corporate Trust Office of the Trustee) written notice thereof from the Company or from the holder of any Senior Indebtedness or from the trustee for any such holder, together with proof satisfactory to the Trustee of such holding of Senior Indebtedness or of the authority of such trustee, together with a Company Order confirming such holding of Senior Indebtedness or authority of such trustee and directing the Trustee to comply with such notice in accordance with the terms of this Article XV, and, prior to the receipt of any such written notice, the Trustee shall be entitled in all respects conclusively to presume that no such facts exist; provided, however, that if at least two Business Days prior to the date upon which by the terms hereof any such moneys or assets may become payable for any purpose (including, without limitation, the payment of either the principal (or premium, if any) or interest, if any, on any Security) a Responsible Officer of the Trustee shall not have received with respect to such moneys or assets the notice provided for in this Section 15.06, then, anything herein contained to the contrary notwithstanding, the Trustee shall have full power and authority to receive such moneys or assets and to apply the same to the purpose for which they were received, and shall not be affected by any notice to the contrary which may be received by it within two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provided, however, the Trustee shall not act under this Article XV and shall in all cases be fully protected in refraining from acting under this Article XV unless and until it has received the aforementioned Company Order instructing it to do so. In the event that the Trustee determines in good faith that further evidence is required with respect to the right of any Person as a holder of Senior Indebtedness to participate in any payment or distribution pursuant to this Article XV,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XV and, if such evidence is not furnished, the Trustee may defer any payment to such Person pending its receipt of the aforementioned Company Order and/or a judicial determination as to the right of such Person to receive such payment. The Trustee may consult with legal counsel (who may be counsel for the Company) and other experts selected by it in connection with any notice, evidence, direction, order or other request received by it under this Article XV, and shall not be liable for any action take or not taken by it.</w:t>
      </w: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120" w:name="page121"/>
    <w:bookmarkEnd w:id="120"/>
    <w:p>
      <w:pPr>
        <w:ind w:firstLine="508"/>
        <w:spacing w:after="0" w:line="269" w:lineRule="auto"/>
        <w:rPr>
          <w:sz w:val="20"/>
          <w:szCs w:val="20"/>
          <w:color w:val="auto"/>
        </w:rPr>
      </w:pPr>
      <w:r>
        <w:rPr>
          <w:rFonts w:ascii="Times New Roman" w:cs="Times New Roman" w:eastAsia="Times New Roman" w:hAnsi="Times New Roman"/>
          <w:sz w:val="14"/>
          <w:szCs w:val="14"/>
          <w:color w:val="auto"/>
        </w:rPr>
        <w:t>Section 15.07 </w:t>
      </w:r>
      <w:r>
        <w:rPr>
          <w:rFonts w:ascii="Times New Roman" w:cs="Times New Roman" w:eastAsia="Times New Roman" w:hAnsi="Times New Roman"/>
          <w:sz w:val="14"/>
          <w:szCs w:val="14"/>
          <w:u w:val="single" w:color="auto"/>
          <w:color w:val="auto"/>
        </w:rPr>
        <w:t>  Trustee as Holder of Senior Indebtedness</w:t>
      </w:r>
      <w:r>
        <w:rPr>
          <w:rFonts w:ascii="Times New Roman" w:cs="Times New Roman" w:eastAsia="Times New Roman" w:hAnsi="Times New Roman"/>
          <w:sz w:val="14"/>
          <w:szCs w:val="14"/>
          <w:color w:val="auto"/>
        </w:rPr>
        <w:t>. Subject to Section 15.01, the Trustee in its individual capacity shall be entitled to all the rights set forth in this Article XV in respect of any Senior Indebtedness at any time held by it to the same extent as any other holder of Senior Indebtedness and nothing in this Indenture shall be construed to deprive the Trustee of any of its rights as such holder. Nothing in this Article XV shall apply to claims of, or payments to, the Trustee under or pursuant to Sections 7.05 or 11.01.</w:t>
      </w:r>
    </w:p>
    <w:p>
      <w:pPr>
        <w:spacing w:after="0" w:line="136" w:lineRule="exact"/>
        <w:rPr>
          <w:sz w:val="20"/>
          <w:szCs w:val="20"/>
          <w:color w:val="auto"/>
        </w:rPr>
      </w:pPr>
    </w:p>
    <w:p>
      <w:pPr>
        <w:ind w:firstLine="508"/>
        <w:spacing w:after="0" w:line="259" w:lineRule="auto"/>
        <w:rPr>
          <w:sz w:val="20"/>
          <w:szCs w:val="20"/>
          <w:color w:val="auto"/>
        </w:rPr>
      </w:pPr>
      <w:r>
        <w:rPr>
          <w:rFonts w:ascii="Times New Roman" w:cs="Times New Roman" w:eastAsia="Times New Roman" w:hAnsi="Times New Roman"/>
          <w:sz w:val="14"/>
          <w:szCs w:val="14"/>
          <w:color w:val="auto"/>
        </w:rPr>
        <w:t>Section 15.08 </w:t>
      </w:r>
      <w:r>
        <w:rPr>
          <w:rFonts w:ascii="Times New Roman" w:cs="Times New Roman" w:eastAsia="Times New Roman" w:hAnsi="Times New Roman"/>
          <w:sz w:val="14"/>
          <w:szCs w:val="14"/>
          <w:u w:val="single" w:color="auto"/>
          <w:color w:val="auto"/>
        </w:rPr>
        <w:t>  Modifications of Terms of Senior Indebtedness</w:t>
      </w:r>
      <w:r>
        <w:rPr>
          <w:rFonts w:ascii="Times New Roman" w:cs="Times New Roman" w:eastAsia="Times New Roman" w:hAnsi="Times New Roman"/>
          <w:sz w:val="14"/>
          <w:szCs w:val="14"/>
          <w:color w:val="auto"/>
        </w:rPr>
        <w:t>. Subject to Section 15.01, 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Securities or the Trustee. To the extent permitted by applicable law, 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XV or of the Securities relating to the subordination thereof.</w:t>
      </w:r>
    </w:p>
    <w:p>
      <w:pPr>
        <w:spacing w:after="0" w:line="144" w:lineRule="exact"/>
        <w:rPr>
          <w:sz w:val="20"/>
          <w:szCs w:val="20"/>
          <w:color w:val="auto"/>
        </w:rPr>
      </w:pPr>
    </w:p>
    <w:p>
      <w:pPr>
        <w:ind w:right="160" w:firstLine="508"/>
        <w:spacing w:after="0" w:line="259" w:lineRule="auto"/>
        <w:rPr>
          <w:sz w:val="20"/>
          <w:szCs w:val="20"/>
          <w:color w:val="auto"/>
        </w:rPr>
      </w:pPr>
      <w:r>
        <w:rPr>
          <w:rFonts w:ascii="Times New Roman" w:cs="Times New Roman" w:eastAsia="Times New Roman" w:hAnsi="Times New Roman"/>
          <w:sz w:val="14"/>
          <w:szCs w:val="14"/>
          <w:color w:val="auto"/>
        </w:rPr>
        <w:t>Section 15.09 </w:t>
      </w:r>
      <w:r>
        <w:rPr>
          <w:rFonts w:ascii="Times New Roman" w:cs="Times New Roman" w:eastAsia="Times New Roman" w:hAnsi="Times New Roman"/>
          <w:sz w:val="14"/>
          <w:szCs w:val="14"/>
          <w:u w:val="single" w:color="auto"/>
          <w:color w:val="auto"/>
        </w:rPr>
        <w:t>  Reliance on Judicial Order or Certificate of Liquidating Agent</w:t>
      </w:r>
      <w:r>
        <w:rPr>
          <w:rFonts w:ascii="Times New Roman" w:cs="Times New Roman" w:eastAsia="Times New Roman" w:hAnsi="Times New Roman"/>
          <w:sz w:val="14"/>
          <w:szCs w:val="14"/>
          <w:color w:val="auto"/>
        </w:rPr>
        <w:t>. Subject to Section 15.01, upon any payment or distribution of assets of the Company referred to in this Article XV, the Trustee and the Holders of the Securities shall be entitled to conclusively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XV.</w:t>
      </w: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00"/>
          </w:cols>
          <w:pgMar w:left="300" w:top="739" w:right="399" w:bottom="1440" w:gutter="0" w:footer="0" w:header="0"/>
        </w:sectPr>
      </w:pPr>
    </w:p>
    <w:bookmarkStart w:id="121" w:name="page122"/>
    <w:bookmarkEnd w:id="121"/>
    <w:p>
      <w:pPr>
        <w:ind w:right="240" w:firstLine="508"/>
        <w:spacing w:after="0" w:line="286" w:lineRule="auto"/>
        <w:rPr>
          <w:sz w:val="20"/>
          <w:szCs w:val="20"/>
          <w:color w:val="auto"/>
        </w:rPr>
      </w:pPr>
      <w:r>
        <w:rPr>
          <w:rFonts w:ascii="Times New Roman" w:cs="Times New Roman" w:eastAsia="Times New Roman" w:hAnsi="Times New Roman"/>
          <w:sz w:val="14"/>
          <w:szCs w:val="14"/>
          <w:color w:val="auto"/>
        </w:rPr>
        <w:t>Section 15.10 </w:t>
      </w:r>
      <w:r>
        <w:rPr>
          <w:rFonts w:ascii="Times New Roman" w:cs="Times New Roman" w:eastAsia="Times New Roman" w:hAnsi="Times New Roman"/>
          <w:sz w:val="14"/>
          <w:szCs w:val="14"/>
          <w:u w:val="single" w:color="auto"/>
          <w:color w:val="auto"/>
        </w:rPr>
        <w:t>  Satisfaction and Discharge; Defeasance and Covenant Defeasance</w:t>
      </w:r>
      <w:r>
        <w:rPr>
          <w:rFonts w:ascii="Times New Roman" w:cs="Times New Roman" w:eastAsia="Times New Roman" w:hAnsi="Times New Roman"/>
          <w:sz w:val="14"/>
          <w:szCs w:val="14"/>
          <w:color w:val="auto"/>
        </w:rPr>
        <w:t>. Subject to Section 15.01, amounts and U.S. Government Obligations deposited in trust with the Trustee pursuant to and in accordance with Article XII and not, at the time of such deposit, prohibited to be deposited under Sections 15.02 or 15.03 shall not be subject to this Article XV.</w:t>
      </w:r>
    </w:p>
    <w:p>
      <w:pPr>
        <w:spacing w:after="0" w:line="125" w:lineRule="exact"/>
        <w:rPr>
          <w:sz w:val="20"/>
          <w:szCs w:val="20"/>
          <w:color w:val="auto"/>
        </w:rPr>
      </w:pPr>
    </w:p>
    <w:p>
      <w:pPr>
        <w:ind w:right="20" w:firstLine="508"/>
        <w:spacing w:after="0" w:line="259" w:lineRule="auto"/>
        <w:rPr>
          <w:sz w:val="20"/>
          <w:szCs w:val="20"/>
          <w:color w:val="auto"/>
        </w:rPr>
      </w:pPr>
      <w:r>
        <w:rPr>
          <w:rFonts w:ascii="Times New Roman" w:cs="Times New Roman" w:eastAsia="Times New Roman" w:hAnsi="Times New Roman"/>
          <w:sz w:val="14"/>
          <w:szCs w:val="14"/>
          <w:color w:val="auto"/>
        </w:rPr>
        <w:t>Section 15.11 </w:t>
      </w:r>
      <w:r>
        <w:rPr>
          <w:rFonts w:ascii="Times New Roman" w:cs="Times New Roman" w:eastAsia="Times New Roman" w:hAnsi="Times New Roman"/>
          <w:sz w:val="14"/>
          <w:szCs w:val="14"/>
          <w:u w:val="single" w:color="auto"/>
          <w:color w:val="auto"/>
        </w:rPr>
        <w:t>  Trustee Not Fiduciary for Holders of Senior Indebtedness</w:t>
      </w:r>
      <w:r>
        <w:rPr>
          <w:rFonts w:ascii="Times New Roman" w:cs="Times New Roman" w:eastAsia="Times New Roman" w:hAnsi="Times New Roman"/>
          <w:sz w:val="14"/>
          <w:szCs w:val="14"/>
          <w:color w:val="auto"/>
        </w:rPr>
        <w:t>. With respect to the holders of Senior Indebtedness, the Trustee undertakes to perform or observe only such of its covenants and obligations as are specifically set forth in this Article XV, and no implied covenants or obligations with respect to the holders of Senior Indebtedness shall be read into this Indenture against the Trustee. The Trustee shall not be deemed to owe any fiduciary duty to the holders of Senior Indebtedness. The Trustee shall not be liable to any such holder if it shall pay over or distribute to or on behalf of Holders of Securities or the Company, or any other Person, moneys or assets to which any holder of Senior Indebtedness shall be entitled by virtue of this Article XV or otherwise. For the avoidance of doubt, (i) when acting under this Article, the Trustee shall have all of the rights, benefits, privileges, protections and indemnities provided to the Trustee under Article XI of this Indenture, and (ii) the Trustee shall not have any duty to take any discretionary action or exercise any discretionary powers in acting under this Article.</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XVI</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MISCELLANEOUS PROVISIONS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16.01 </w:t>
      </w:r>
      <w:r>
        <w:rPr>
          <w:rFonts w:ascii="Times New Roman" w:cs="Times New Roman" w:eastAsia="Times New Roman" w:hAnsi="Times New Roman"/>
          <w:sz w:val="14"/>
          <w:szCs w:val="14"/>
          <w:u w:val="single" w:color="auto"/>
          <w:color w:val="auto"/>
        </w:rPr>
        <w:t>  Certificates and Opinions as to Conditions Precedent</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firstLine="1271"/>
        <w:spacing w:after="0" w:line="263" w:lineRule="auto"/>
        <w:rPr>
          <w:sz w:val="20"/>
          <w:szCs w:val="20"/>
          <w:color w:val="auto"/>
        </w:rPr>
      </w:pPr>
      <w:r>
        <w:rPr>
          <w:rFonts w:ascii="Times New Roman" w:cs="Times New Roman" w:eastAsia="Times New Roman" w:hAnsi="Times New Roman"/>
          <w:sz w:val="14"/>
          <w:szCs w:val="14"/>
          <w:color w:val="auto"/>
        </w:rPr>
        <w:t>(a)          Upon any request or application by the Company to the Trustee to take any action under any of the provisions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 is specifically required by any provision of this Indenture relating to such particular application or demand, no additional certificate or opinion need be furnished.</w:t>
      </w:r>
    </w:p>
    <w:p>
      <w:pPr>
        <w:spacing w:after="0" w:line="142" w:lineRule="exact"/>
        <w:rPr>
          <w:sz w:val="20"/>
          <w:szCs w:val="20"/>
          <w:color w:val="auto"/>
        </w:rPr>
      </w:pPr>
    </w:p>
    <w:p>
      <w:pPr>
        <w:ind w:firstLine="1271"/>
        <w:spacing w:after="0" w:line="261" w:lineRule="auto"/>
        <w:rPr>
          <w:sz w:val="20"/>
          <w:szCs w:val="20"/>
          <w:color w:val="auto"/>
        </w:rPr>
      </w:pPr>
      <w:r>
        <w:rPr>
          <w:rFonts w:ascii="Times New Roman" w:cs="Times New Roman" w:eastAsia="Times New Roman" w:hAnsi="Times New Roman"/>
          <w:sz w:val="14"/>
          <w:szCs w:val="14"/>
          <w:color w:val="auto"/>
        </w:rPr>
        <w:t>(b)          Each certificate or opinion provided for in this Indenture and delivered to the Trustee with respect to compliance with a condition or covenant provided for in this Indenture (other than the certificates provided pursuant to Section 6.05 of this Indenture) shall include (i) a statement that the Person giving such certificate or opinion has read such covenant or condition; (ii) a brief statement as to the nature and scope of the examination or investigation upon which the statements or opinions contained in such certificate or opinion are based; (iii) a statement that, in the view or opinion of such Person, he or she has made such examination or investigation as is necessary to enable such Person to express an informed view or opinion as to whether or not such covenant or condition has been complied with; and (iv) a statement as to whether or not, in the view or opinion of such Person, such condition or covenant has been complied with.</w:t>
      </w:r>
    </w:p>
    <w:p>
      <w:pPr>
        <w:spacing w:after="0" w:line="141" w:lineRule="exact"/>
        <w:rPr>
          <w:sz w:val="20"/>
          <w:szCs w:val="20"/>
          <w:color w:val="auto"/>
        </w:rPr>
      </w:pPr>
    </w:p>
    <w:p>
      <w:pPr>
        <w:ind w:right="20" w:firstLine="1271"/>
        <w:spacing w:after="0" w:line="261" w:lineRule="auto"/>
        <w:rPr>
          <w:sz w:val="20"/>
          <w:szCs w:val="20"/>
          <w:color w:val="auto"/>
        </w:rPr>
      </w:pPr>
      <w:r>
        <w:rPr>
          <w:rFonts w:ascii="Times New Roman" w:cs="Times New Roman" w:eastAsia="Times New Roman" w:hAnsi="Times New Roman"/>
          <w:sz w:val="14"/>
          <w:szCs w:val="14"/>
          <w:color w:val="auto"/>
        </w:rPr>
        <w:t>(c)          Any certificate, statement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statement or opinion is based are erroneous. Any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unless such counsel knows, or in the exercise of reasonable care should know, that the certificate, statement or opinion or representations with respect to such matters are erroneous.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40"/>
          </w:cols>
          <w:pgMar w:left="300" w:top="739" w:right="359" w:bottom="1440" w:gutter="0" w:footer="0" w:header="0"/>
        </w:sectPr>
      </w:pPr>
    </w:p>
    <w:bookmarkStart w:id="122" w:name="page123"/>
    <w:bookmarkEnd w:id="122"/>
    <w:p>
      <w:pPr>
        <w:ind w:firstLine="1271"/>
        <w:spacing w:after="0" w:line="263" w:lineRule="auto"/>
        <w:rPr>
          <w:sz w:val="20"/>
          <w:szCs w:val="20"/>
          <w:color w:val="auto"/>
        </w:rPr>
      </w:pPr>
      <w:r>
        <w:rPr>
          <w:rFonts w:ascii="Times New Roman" w:cs="Times New Roman" w:eastAsia="Times New Roman" w:hAnsi="Times New Roman"/>
          <w:sz w:val="14"/>
          <w:szCs w:val="14"/>
          <w:color w:val="auto"/>
        </w:rPr>
        <w:t>(d)          Any certificate, statement or opinion of an Officer of the Company or of counsel to the Company may be based, insofar as it relates to accounting matters, upon a certificate or opinion of, or representations by, an accountant or firm of accountants, unless such officer or counsel, as the case may be, knows, or in the exercise of reasonable care should know, that the certificate or opinion or representations with respect to the accounting matters upon which his or her certificate, statement or opinion may be based are erroneous. Any certificate or opinion of any firm of independent registered public accountants filed with the Trustee shall contain a statement that such firm is independent.</w:t>
      </w:r>
    </w:p>
    <w:p>
      <w:pPr>
        <w:spacing w:after="0" w:line="142" w:lineRule="exact"/>
        <w:rPr>
          <w:sz w:val="20"/>
          <w:szCs w:val="20"/>
          <w:color w:val="auto"/>
        </w:rPr>
      </w:pPr>
    </w:p>
    <w:p>
      <w:pPr>
        <w:jc w:val="both"/>
        <w:ind w:right="40" w:firstLine="1271"/>
        <w:spacing w:after="0" w:line="269" w:lineRule="auto"/>
        <w:rPr>
          <w:sz w:val="20"/>
          <w:szCs w:val="20"/>
          <w:color w:val="auto"/>
        </w:rPr>
      </w:pPr>
      <w:r>
        <w:rPr>
          <w:rFonts w:ascii="Times New Roman" w:cs="Times New Roman" w:eastAsia="Times New Roman" w:hAnsi="Times New Roman"/>
          <w:sz w:val="14"/>
          <w:szCs w:val="14"/>
          <w:color w:val="auto"/>
        </w:rPr>
        <w:t>(e)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36" w:lineRule="exact"/>
        <w:rPr>
          <w:sz w:val="20"/>
          <w:szCs w:val="20"/>
          <w:color w:val="auto"/>
        </w:rPr>
      </w:pPr>
    </w:p>
    <w:p>
      <w:pPr>
        <w:ind w:right="340" w:firstLine="1271"/>
        <w:spacing w:after="0" w:line="286" w:lineRule="auto"/>
        <w:rPr>
          <w:sz w:val="20"/>
          <w:szCs w:val="20"/>
          <w:color w:val="auto"/>
        </w:rPr>
      </w:pPr>
      <w:r>
        <w:rPr>
          <w:rFonts w:ascii="Times New Roman" w:cs="Times New Roman" w:eastAsia="Times New Roman" w:hAnsi="Times New Roman"/>
          <w:sz w:val="14"/>
          <w:szCs w:val="14"/>
          <w:color w:val="auto"/>
        </w:rPr>
        <w:t>(f)          Where any Person is required to make, give or execute two or more applications, requests, consents, certificates, statements, opinions or other instruments under this Indenture, they may, but need not, be consolidated and form one instrument.</w:t>
      </w:r>
    </w:p>
    <w:p>
      <w:pPr>
        <w:spacing w:after="0" w:line="125" w:lineRule="exact"/>
        <w:rPr>
          <w:sz w:val="20"/>
          <w:szCs w:val="20"/>
          <w:color w:val="auto"/>
        </w:rPr>
      </w:pPr>
    </w:p>
    <w:p>
      <w:pPr>
        <w:jc w:val="both"/>
        <w:ind w:right="100" w:firstLine="508"/>
        <w:spacing w:after="0" w:line="269" w:lineRule="auto"/>
        <w:rPr>
          <w:sz w:val="20"/>
          <w:szCs w:val="20"/>
          <w:color w:val="auto"/>
        </w:rPr>
      </w:pPr>
      <w:r>
        <w:rPr>
          <w:rFonts w:ascii="Times New Roman" w:cs="Times New Roman" w:eastAsia="Times New Roman" w:hAnsi="Times New Roman"/>
          <w:sz w:val="14"/>
          <w:szCs w:val="14"/>
          <w:color w:val="auto"/>
        </w:rPr>
        <w:t>Section 16.02 </w:t>
      </w:r>
      <w:r>
        <w:rPr>
          <w:rFonts w:ascii="Times New Roman" w:cs="Times New Roman" w:eastAsia="Times New Roman" w:hAnsi="Times New Roman"/>
          <w:sz w:val="14"/>
          <w:szCs w:val="14"/>
          <w:u w:val="single" w:color="auto"/>
          <w:color w:val="auto"/>
        </w:rPr>
        <w:t>  Trust Indenture Act Controls</w:t>
      </w:r>
      <w:r>
        <w:rPr>
          <w:rFonts w:ascii="Times New Roman" w:cs="Times New Roman" w:eastAsia="Times New Roman" w:hAnsi="Times New Roman"/>
          <w:sz w:val="14"/>
          <w:szCs w:val="14"/>
          <w:color w:val="auto"/>
        </w:rPr>
        <w:t>. If and to the extent that any provision of this Indenture limits, qualifies or conflicts with the duties imposed by, or another provision included in this Indenture which is required to be included in this Indenture by any of the provisions of Sections 310 to 318, inclusive, of the Trust Indenture Act, such imposed duties or incorporated provision shall control.</w:t>
      </w:r>
    </w:p>
    <w:p>
      <w:pPr>
        <w:spacing w:after="0" w:line="136" w:lineRule="exact"/>
        <w:rPr>
          <w:sz w:val="20"/>
          <w:szCs w:val="20"/>
          <w:color w:val="auto"/>
        </w:rPr>
      </w:pPr>
    </w:p>
    <w:p>
      <w:pPr>
        <w:ind w:right="260" w:firstLine="508"/>
        <w:spacing w:after="0" w:line="286" w:lineRule="auto"/>
        <w:rPr>
          <w:sz w:val="20"/>
          <w:szCs w:val="20"/>
          <w:color w:val="auto"/>
        </w:rPr>
      </w:pPr>
      <w:r>
        <w:rPr>
          <w:rFonts w:ascii="Times New Roman" w:cs="Times New Roman" w:eastAsia="Times New Roman" w:hAnsi="Times New Roman"/>
          <w:sz w:val="14"/>
          <w:szCs w:val="14"/>
          <w:color w:val="auto"/>
        </w:rPr>
        <w:t>Section 16.03 </w:t>
      </w:r>
      <w:r>
        <w:rPr>
          <w:rFonts w:ascii="Times New Roman" w:cs="Times New Roman" w:eastAsia="Times New Roman" w:hAnsi="Times New Roman"/>
          <w:sz w:val="14"/>
          <w:szCs w:val="14"/>
          <w:u w:val="single" w:color="auto"/>
          <w:color w:val="auto"/>
        </w:rPr>
        <w:t>  Notices to the Company and Trustee</w:t>
      </w:r>
      <w:r>
        <w:rPr>
          <w:rFonts w:ascii="Times New Roman" w:cs="Times New Roman" w:eastAsia="Times New Roman" w:hAnsi="Times New Roman"/>
          <w:sz w:val="14"/>
          <w:szCs w:val="14"/>
          <w:color w:val="auto"/>
        </w:rPr>
        <w:t>. Any notice or demand authorized by this Indenture to be made upon, given or furnished to, or filed with, the Company or the Trustee shall be sufficiently made, given, furnished or filed for all purposes if it shall be mailed, delivered or telefaxed to:</w:t>
      </w:r>
    </w:p>
    <w:p>
      <w:pPr>
        <w:spacing w:after="0" w:line="125" w:lineRule="exact"/>
        <w:rPr>
          <w:sz w:val="20"/>
          <w:szCs w:val="20"/>
          <w:color w:val="auto"/>
        </w:rPr>
      </w:pPr>
    </w:p>
    <w:p>
      <w:pPr>
        <w:ind w:right="240" w:firstLine="1271"/>
        <w:spacing w:after="0" w:line="286" w:lineRule="auto"/>
        <w:rPr>
          <w:sz w:val="20"/>
          <w:szCs w:val="20"/>
          <w:color w:val="auto"/>
        </w:rPr>
      </w:pPr>
      <w:r>
        <w:rPr>
          <w:rFonts w:ascii="Times New Roman" w:cs="Times New Roman" w:eastAsia="Times New Roman" w:hAnsi="Times New Roman"/>
          <w:sz w:val="14"/>
          <w:szCs w:val="14"/>
          <w:color w:val="auto"/>
        </w:rPr>
        <w:t>(a)          the Company, at 7373 Gateway Blvd, Newark, CA 94560, Attention: General Counsel, or at such other address or emails as may have been furnished in writing to the Trustee by the Company.</w:t>
      </w:r>
    </w:p>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(b)          the Trustee, at the Corporate Trust Office of the Trustee.</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40"/>
          </w:cols>
          <w:pgMar w:left="300" w:top="739" w:right="359" w:bottom="1440" w:gutter="0" w:footer="0" w:header="0"/>
        </w:sectPr>
      </w:pPr>
    </w:p>
    <w:bookmarkStart w:id="123" w:name="page124"/>
    <w:bookmarkEnd w:id="123"/>
    <w:p>
      <w:pPr>
        <w:spacing w:after="0" w:line="286" w:lineRule="auto"/>
        <w:rPr>
          <w:sz w:val="20"/>
          <w:szCs w:val="20"/>
          <w:color w:val="auto"/>
        </w:rPr>
      </w:pPr>
      <w:r>
        <w:rPr>
          <w:rFonts w:ascii="Times New Roman" w:cs="Times New Roman" w:eastAsia="Times New Roman" w:hAnsi="Times New Roman"/>
          <w:sz w:val="14"/>
          <w:szCs w:val="14"/>
          <w:color w:val="auto"/>
        </w:rPr>
        <w:t>Any such notice, demand or other document shall be in the English language. Anything herein to the contrary notwithstanding, no such notice or demand shall be effective as to the Trustee unless it is actually received by the Trustee at its Corporate Trust Office.</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16.04 </w:t>
      </w:r>
      <w:r>
        <w:rPr>
          <w:rFonts w:ascii="Times New Roman" w:cs="Times New Roman" w:eastAsia="Times New Roman" w:hAnsi="Times New Roman"/>
          <w:sz w:val="14"/>
          <w:szCs w:val="14"/>
          <w:u w:val="single" w:color="auto"/>
          <w:color w:val="auto"/>
        </w:rPr>
        <w:t>  Notices to Securityholders; Waiver</w:t>
      </w:r>
      <w:r>
        <w:rPr>
          <w:rFonts w:ascii="Times New Roman" w:cs="Times New Roman" w:eastAsia="Times New Roman" w:hAnsi="Times New Roman"/>
          <w:sz w:val="14"/>
          <w:szCs w:val="14"/>
          <w:color w:val="auto"/>
        </w:rPr>
        <w:t>. Any notice required or permitted to be given to Securityholders shall be sufficiently given (unless otherwise herein expressly provided),</w:t>
      </w:r>
    </w:p>
    <w:p>
      <w:pPr>
        <w:spacing w:after="0" w:line="176" w:lineRule="exact"/>
        <w:rPr>
          <w:sz w:val="20"/>
          <w:szCs w:val="20"/>
          <w:color w:val="auto"/>
        </w:rPr>
      </w:pPr>
    </w:p>
    <w:p>
      <w:pPr>
        <w:ind w:right="20" w:firstLine="1271"/>
        <w:spacing w:after="0" w:line="271" w:lineRule="auto"/>
        <w:rPr>
          <w:sz w:val="20"/>
          <w:szCs w:val="20"/>
          <w:color w:val="auto"/>
        </w:rPr>
      </w:pPr>
      <w:r>
        <w:rPr>
          <w:rFonts w:ascii="Times New Roman" w:cs="Times New Roman" w:eastAsia="Times New Roman" w:hAnsi="Times New Roman"/>
          <w:sz w:val="14"/>
          <w:szCs w:val="14"/>
          <w:color w:val="auto"/>
        </w:rPr>
        <w:t xml:space="preserve">(a)          if to Holders, if given in writing by first class mail, postage prepaid, to such Holders at their addresses as the same shall appear on the Register of the Company;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in the event of suspension of regular mail service or by reason of any other cause it shall be impracticable to give notice by mail, then such notification as shall be given with the approval of the Trustee shall constitute sufficient notice for every purpose hereunder; or</w:t>
      </w:r>
    </w:p>
    <w:p>
      <w:pPr>
        <w:spacing w:after="0" w:line="134" w:lineRule="exact"/>
        <w:rPr>
          <w:sz w:val="20"/>
          <w:szCs w:val="20"/>
          <w:color w:val="auto"/>
        </w:rPr>
      </w:pPr>
    </w:p>
    <w:p>
      <w:pPr>
        <w:ind w:right="220" w:firstLine="1271"/>
        <w:spacing w:after="0" w:line="286" w:lineRule="auto"/>
        <w:rPr>
          <w:sz w:val="20"/>
          <w:szCs w:val="20"/>
          <w:color w:val="auto"/>
        </w:rPr>
      </w:pPr>
      <w:r>
        <w:rPr>
          <w:rFonts w:ascii="Times New Roman" w:cs="Times New Roman" w:eastAsia="Times New Roman" w:hAnsi="Times New Roman"/>
          <w:sz w:val="14"/>
          <w:szCs w:val="14"/>
          <w:color w:val="auto"/>
        </w:rPr>
        <w:t>(b)          If a series of Securities has been issued in the form of one or more Global Securities through DTC as Depositary, notice may be provided with respect to such series of Securities by delivery of such notice to DTC for posting through its “Legal Notice Service” (LENS), its “Issuer Agent Portal” or a successor system thereof.</w:t>
      </w:r>
    </w:p>
    <w:p>
      <w:pPr>
        <w:spacing w:after="0" w:line="125" w:lineRule="exact"/>
        <w:rPr>
          <w:sz w:val="20"/>
          <w:szCs w:val="20"/>
          <w:color w:val="auto"/>
        </w:rPr>
      </w:pPr>
    </w:p>
    <w:p>
      <w:pPr>
        <w:jc w:val="both"/>
        <w:ind w:firstLine="508"/>
        <w:spacing w:after="0" w:line="259" w:lineRule="auto"/>
        <w:rPr>
          <w:sz w:val="20"/>
          <w:szCs w:val="20"/>
          <w:color w:val="auto"/>
        </w:rPr>
      </w:pPr>
      <w:r>
        <w:rPr>
          <w:rFonts w:ascii="Times New Roman" w:cs="Times New Roman" w:eastAsia="Times New Roman" w:hAnsi="Times New Roman"/>
          <w:sz w:val="14"/>
          <w:szCs w:val="14"/>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delivered to the Trustee, but such delivery shall not be a condition precedent to the validity of any action taken in reliance on such waiver. In any case where notice to Holders is given by mail; neither the failure to mail such notice nor any defect in any notice so mailed to any particular Holder shall affect the sufficiency of such notice with respect to other Holders, and any notice that is mailed in the manner herein provided shall be conclusively presumed to have been duly given. In any case where notice to Holders is given by publication, any defect in any notice so published as to any particular Holder shall not affect the sufficiency of such notice with respect to other Holders, and any notice that is published in the manner herein provided shall be conclusively presumed to have been duly given.</w:t>
      </w:r>
    </w:p>
    <w:p>
      <w:pPr>
        <w:spacing w:after="0" w:line="144" w:lineRule="exact"/>
        <w:rPr>
          <w:sz w:val="20"/>
          <w:szCs w:val="20"/>
          <w:color w:val="auto"/>
        </w:rPr>
      </w:pPr>
    </w:p>
    <w:p>
      <w:pPr>
        <w:ind w:right="100" w:firstLine="508"/>
        <w:spacing w:after="0" w:line="261" w:lineRule="auto"/>
        <w:rPr>
          <w:sz w:val="20"/>
          <w:szCs w:val="20"/>
          <w:color w:val="auto"/>
        </w:rPr>
      </w:pPr>
      <w:r>
        <w:rPr>
          <w:rFonts w:ascii="Times New Roman" w:cs="Times New Roman" w:eastAsia="Times New Roman" w:hAnsi="Times New Roman"/>
          <w:sz w:val="14"/>
          <w:szCs w:val="14"/>
          <w:color w:val="auto"/>
        </w:rPr>
        <w:t>Section 16.05 </w:t>
      </w:r>
      <w:r>
        <w:rPr>
          <w:rFonts w:ascii="Times New Roman" w:cs="Times New Roman" w:eastAsia="Times New Roman" w:hAnsi="Times New Roman"/>
          <w:sz w:val="14"/>
          <w:szCs w:val="14"/>
          <w:u w:val="single" w:color="auto"/>
          <w:color w:val="auto"/>
        </w:rPr>
        <w:t>  Legal Holiday</w:t>
      </w:r>
      <w:r>
        <w:rPr>
          <w:rFonts w:ascii="Times New Roman" w:cs="Times New Roman" w:eastAsia="Times New Roman" w:hAnsi="Times New Roman"/>
          <w:sz w:val="14"/>
          <w:szCs w:val="14"/>
          <w:color w:val="auto"/>
        </w:rPr>
        <w:t>. Unless otherwise specified pursuant to Section 3.01, in any case where any Interest Payment Date, Redemption Date or Maturity of any Security of any series shall not be a Business Day at any Place of Payment for the Securities of that series, then payment of principal and premium, if any, or interest need not be made at such Place of Payment on such date, but may be made on the next succeeding Business Day at such Place of Payment with the same force and effect as if made on such Interest Payment Date, Redemption Date or Maturity and no interest shall accrue on such payment for the period from and after such Interest Payment Date, Redemption Date or Maturity, as the case may be, to such Business Day if such payment is made or duly provided for on such Business Day.</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Section 16.06 </w:t>
      </w:r>
      <w:r>
        <w:rPr>
          <w:rFonts w:ascii="Times New Roman" w:cs="Times New Roman" w:eastAsia="Times New Roman" w:hAnsi="Times New Roman"/>
          <w:sz w:val="14"/>
          <w:szCs w:val="14"/>
          <w:u w:val="single" w:color="auto"/>
          <w:color w:val="auto"/>
        </w:rPr>
        <w:t>  Effects of Headings and Table of Contents</w:t>
      </w:r>
      <w:r>
        <w:rPr>
          <w:rFonts w:ascii="Times New Roman" w:cs="Times New Roman" w:eastAsia="Times New Roman" w:hAnsi="Times New Roman"/>
          <w:sz w:val="14"/>
          <w:szCs w:val="14"/>
          <w:color w:val="auto"/>
        </w:rPr>
        <w:t>. The Article and Section headings herein and the Table of Contents are for convenience only and shall not affect the construction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hereof.</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40"/>
          </w:cols>
          <w:pgMar w:left="300" w:top="739" w:right="359" w:bottom="1440" w:gutter="0" w:footer="0" w:header="0"/>
        </w:sectPr>
      </w:pPr>
    </w:p>
    <w:bookmarkStart w:id="124" w:name="page125"/>
    <w:bookmarkEnd w:id="124"/>
    <w:p>
      <w:pPr>
        <w:ind w:right="80" w:firstLine="508"/>
        <w:spacing w:after="0" w:line="286" w:lineRule="auto"/>
        <w:rPr>
          <w:sz w:val="20"/>
          <w:szCs w:val="20"/>
          <w:color w:val="auto"/>
        </w:rPr>
      </w:pPr>
      <w:r>
        <w:rPr>
          <w:rFonts w:ascii="Times New Roman" w:cs="Times New Roman" w:eastAsia="Times New Roman" w:hAnsi="Times New Roman"/>
          <w:sz w:val="14"/>
          <w:szCs w:val="14"/>
          <w:color w:val="auto"/>
        </w:rPr>
        <w:t>Section 16.07 </w:t>
      </w:r>
      <w:r>
        <w:rPr>
          <w:rFonts w:ascii="Times New Roman" w:cs="Times New Roman" w:eastAsia="Times New Roman" w:hAnsi="Times New Roman"/>
          <w:sz w:val="14"/>
          <w:szCs w:val="14"/>
          <w:u w:val="single" w:color="auto"/>
          <w:color w:val="auto"/>
        </w:rPr>
        <w:t>  Successors and Assigns</w:t>
      </w:r>
      <w:r>
        <w:rPr>
          <w:rFonts w:ascii="Times New Roman" w:cs="Times New Roman" w:eastAsia="Times New Roman" w:hAnsi="Times New Roman"/>
          <w:sz w:val="14"/>
          <w:szCs w:val="14"/>
          <w:color w:val="auto"/>
        </w:rPr>
        <w:t>. All covenants and agreements in this Indenture by the parties hereto shall bind their respective successors and assigns and inure to the benefit of their permitted successors and assigns, whether so expressed or not.</w:t>
      </w:r>
    </w:p>
    <w:p>
      <w:pPr>
        <w:spacing w:after="0" w:line="125" w:lineRule="exact"/>
        <w:rPr>
          <w:sz w:val="20"/>
          <w:szCs w:val="20"/>
          <w:color w:val="auto"/>
        </w:rPr>
      </w:pPr>
    </w:p>
    <w:p>
      <w:pPr>
        <w:ind w:right="560" w:firstLine="508"/>
        <w:spacing w:after="0" w:line="286" w:lineRule="auto"/>
        <w:rPr>
          <w:sz w:val="20"/>
          <w:szCs w:val="20"/>
          <w:color w:val="auto"/>
        </w:rPr>
      </w:pPr>
      <w:r>
        <w:rPr>
          <w:rFonts w:ascii="Times New Roman" w:cs="Times New Roman" w:eastAsia="Times New Roman" w:hAnsi="Times New Roman"/>
          <w:sz w:val="14"/>
          <w:szCs w:val="14"/>
          <w:color w:val="auto"/>
        </w:rPr>
        <w:t>Section 16.08 </w:t>
      </w:r>
      <w:r>
        <w:rPr>
          <w:rFonts w:ascii="Times New Roman" w:cs="Times New Roman" w:eastAsia="Times New Roman" w:hAnsi="Times New Roman"/>
          <w:sz w:val="14"/>
          <w:szCs w:val="14"/>
          <w:u w:val="single" w:color="auto"/>
          <w:color w:val="auto"/>
        </w:rPr>
        <w:t>  Separability Clause</w:t>
      </w:r>
      <w:r>
        <w:rPr>
          <w:rFonts w:ascii="Times New Roman" w:cs="Times New Roman" w:eastAsia="Times New Roman" w:hAnsi="Times New Roman"/>
          <w:sz w:val="14"/>
          <w:szCs w:val="14"/>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25" w:lineRule="exact"/>
        <w:rPr>
          <w:sz w:val="20"/>
          <w:szCs w:val="20"/>
          <w:color w:val="auto"/>
        </w:rPr>
      </w:pPr>
    </w:p>
    <w:p>
      <w:pPr>
        <w:ind w:right="20" w:firstLine="508"/>
        <w:spacing w:after="0" w:line="263" w:lineRule="auto"/>
        <w:rPr>
          <w:sz w:val="20"/>
          <w:szCs w:val="20"/>
          <w:color w:val="auto"/>
        </w:rPr>
      </w:pPr>
      <w:r>
        <w:rPr>
          <w:rFonts w:ascii="Times New Roman" w:cs="Times New Roman" w:eastAsia="Times New Roman" w:hAnsi="Times New Roman"/>
          <w:sz w:val="14"/>
          <w:szCs w:val="14"/>
          <w:color w:val="auto"/>
        </w:rPr>
        <w:t>Section 16.09 </w:t>
      </w:r>
      <w:r>
        <w:rPr>
          <w:rFonts w:ascii="Times New Roman" w:cs="Times New Roman" w:eastAsia="Times New Roman" w:hAnsi="Times New Roman"/>
          <w:sz w:val="14"/>
          <w:szCs w:val="14"/>
          <w:u w:val="single" w:color="auto"/>
          <w:color w:val="auto"/>
        </w:rPr>
        <w:t>  Benefits of Indenture</w:t>
      </w:r>
      <w:r>
        <w:rPr>
          <w:rFonts w:ascii="Times New Roman" w:cs="Times New Roman" w:eastAsia="Times New Roman" w:hAnsi="Times New Roman"/>
          <w:sz w:val="14"/>
          <w:szCs w:val="14"/>
          <w:color w:val="auto"/>
        </w:rPr>
        <w:t>. Nothing in this Indenture expressed and nothing that may be implied from any of the provisions hereof is intended, or shall be construed, to confer upon, or to give to, any Person or corporation other than the parties hereto and their successors and the Holders of the Securities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Securities.</w:t>
      </w:r>
    </w:p>
    <w:p>
      <w:pPr>
        <w:spacing w:after="0" w:line="142" w:lineRule="exact"/>
        <w:rPr>
          <w:sz w:val="20"/>
          <w:szCs w:val="20"/>
          <w:color w:val="auto"/>
        </w:rPr>
      </w:pPr>
    </w:p>
    <w:p>
      <w:pPr>
        <w:ind w:right="100" w:firstLine="508"/>
        <w:spacing w:after="0" w:line="286" w:lineRule="auto"/>
        <w:rPr>
          <w:sz w:val="20"/>
          <w:szCs w:val="20"/>
          <w:color w:val="auto"/>
        </w:rPr>
      </w:pPr>
      <w:r>
        <w:rPr>
          <w:rFonts w:ascii="Times New Roman" w:cs="Times New Roman" w:eastAsia="Times New Roman" w:hAnsi="Times New Roman"/>
          <w:sz w:val="14"/>
          <w:szCs w:val="14"/>
          <w:color w:val="auto"/>
        </w:rPr>
        <w:t>Section 16.10 </w:t>
      </w:r>
      <w:r>
        <w:rPr>
          <w:rFonts w:ascii="Times New Roman" w:cs="Times New Roman" w:eastAsia="Times New Roman" w:hAnsi="Times New Roman"/>
          <w:sz w:val="14"/>
          <w:szCs w:val="14"/>
          <w:u w:val="single" w:color="auto"/>
          <w:color w:val="auto"/>
        </w:rPr>
        <w:t>  Counterparts Originals</w:t>
      </w:r>
      <w:r>
        <w:rPr>
          <w:rFonts w:ascii="Times New Roman" w:cs="Times New Roman" w:eastAsia="Times New Roman" w:hAnsi="Times New Roman"/>
          <w:sz w:val="14"/>
          <w:szCs w:val="14"/>
          <w:color w:val="auto"/>
        </w:rPr>
        <w:t>. This Indenture may be executed in any number of counterparts, each of which so executed shall be deemed to be an original, but all such counterparts shall together constitute but one and the same instrument.</w:t>
      </w:r>
    </w:p>
    <w:p>
      <w:pPr>
        <w:spacing w:after="0" w:line="125" w:lineRule="exact"/>
        <w:rPr>
          <w:sz w:val="20"/>
          <w:szCs w:val="20"/>
          <w:color w:val="auto"/>
        </w:rPr>
      </w:pPr>
    </w:p>
    <w:p>
      <w:pPr>
        <w:ind w:right="140" w:firstLine="508"/>
        <w:spacing w:after="0" w:line="286" w:lineRule="auto"/>
        <w:rPr>
          <w:sz w:val="20"/>
          <w:szCs w:val="20"/>
          <w:color w:val="auto"/>
        </w:rPr>
      </w:pPr>
      <w:r>
        <w:rPr>
          <w:rFonts w:ascii="Times New Roman" w:cs="Times New Roman" w:eastAsia="Times New Roman" w:hAnsi="Times New Roman"/>
          <w:sz w:val="14"/>
          <w:szCs w:val="14"/>
          <w:color w:val="auto"/>
        </w:rPr>
        <w:t>Section 16.11 </w:t>
      </w:r>
      <w:r>
        <w:rPr>
          <w:rFonts w:ascii="Times New Roman" w:cs="Times New Roman" w:eastAsia="Times New Roman" w:hAnsi="Times New Roman"/>
          <w:sz w:val="14"/>
          <w:szCs w:val="14"/>
          <w:u w:val="single" w:color="auto"/>
          <w:color w:val="auto"/>
        </w:rPr>
        <w:t>  Governing Law; Waiver of Trial by Jury.</w:t>
      </w:r>
      <w:r>
        <w:rPr>
          <w:rFonts w:ascii="Times New Roman" w:cs="Times New Roman" w:eastAsia="Times New Roman" w:hAnsi="Times New Roman"/>
          <w:sz w:val="14"/>
          <w:szCs w:val="14"/>
          <w:color w:val="auto"/>
        </w:rPr>
        <w:t xml:space="preserve"> This Indenture and the Securities shall be deemed to be contracts made under the law of the State of New York, and for all purposes shall be governed by and construed in accordance with the law of said State.</w:t>
      </w:r>
    </w:p>
    <w:p>
      <w:pPr>
        <w:spacing w:after="0" w:line="125" w:lineRule="exact"/>
        <w:rPr>
          <w:sz w:val="20"/>
          <w:szCs w:val="20"/>
          <w:color w:val="auto"/>
        </w:rPr>
      </w:pPr>
    </w:p>
    <w:p>
      <w:pPr>
        <w:ind w:right="40" w:firstLine="508"/>
        <w:spacing w:after="0" w:line="269" w:lineRule="auto"/>
        <w:rPr>
          <w:sz w:val="20"/>
          <w:szCs w:val="20"/>
          <w:color w:val="auto"/>
        </w:rPr>
      </w:pPr>
      <w:r>
        <w:rPr>
          <w:rFonts w:ascii="Times New Roman" w:cs="Times New Roman" w:eastAsia="Times New Roman" w:hAnsi="Times New Roman"/>
          <w:sz w:val="14"/>
          <w:szCs w:val="14"/>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36" w:lineRule="exact"/>
        <w:rPr>
          <w:sz w:val="20"/>
          <w:szCs w:val="20"/>
          <w:color w:val="auto"/>
        </w:rPr>
      </w:pPr>
    </w:p>
    <w:p>
      <w:pPr>
        <w:ind w:firstLine="508"/>
        <w:spacing w:after="0" w:line="255" w:lineRule="auto"/>
        <w:rPr>
          <w:sz w:val="20"/>
          <w:szCs w:val="20"/>
          <w:color w:val="auto"/>
        </w:rPr>
      </w:pPr>
      <w:r>
        <w:rPr>
          <w:rFonts w:ascii="Times New Roman" w:cs="Times New Roman" w:eastAsia="Times New Roman" w:hAnsi="Times New Roman"/>
          <w:sz w:val="14"/>
          <w:szCs w:val="14"/>
          <w:color w:val="auto"/>
        </w:rPr>
        <w:t>Section 16.12 </w:t>
      </w:r>
      <w:r>
        <w:rPr>
          <w:rFonts w:ascii="Times New Roman" w:cs="Times New Roman" w:eastAsia="Times New Roman" w:hAnsi="Times New Roman"/>
          <w:sz w:val="14"/>
          <w:szCs w:val="14"/>
          <w:u w:val="single" w:color="auto"/>
          <w:color w:val="auto"/>
        </w:rPr>
        <w:t>  Electronic Signatures</w:t>
      </w:r>
      <w:r>
        <w:rPr>
          <w:rFonts w:ascii="Times New Roman" w:cs="Times New Roman" w:eastAsia="Times New Roman" w:hAnsi="Times New Roman"/>
          <w:sz w:val="14"/>
          <w:szCs w:val="14"/>
          <w:color w:val="auto"/>
        </w:rPr>
        <w:t>. This Indenture and any certificate, agreement or other document to be signed in connection with this Indenture and the transactions contemplated hereby shall be valid, binding and enforceable against a party only when executed and delivered by an authorized individual on behalf of the party by means of (i) an original manual signature, (ii) a faxed, scanned or photocopied manual signature or (iii) in the case of this Indenture and any certificate, agreement or other document to be signed in connection with this Indenture and the transactions contemplated hereby, other than any Security or Global Security,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“Signature Law”). Each electronic signature (except in the case of any Security or Global Security)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(except in the case of any Security or Global Security), of any party and shall have no duty to investigate, confirm or otherwise verify the validity or authenticity thereof. For avoidance of doubt, original manual signatures shall be used for execution or indorsement of writings when required under the Uniform Commercial Code or other Signature Law due to the character or intended character of the writings. Notwithstanding anything herein to the contrary, the Trustee is under no obligation to agree to accept electronic signatures in any form or in any format unless expressly agreed to by the Trustee pursuant to reasonable procedures approved by the Trustee.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color w:val="auto"/>
        </w:rPr>
        <w:t>IN WITNESS WHEREOF, the parties have caused this Indenture to be duly executed as of the date first written above.</w:t>
      </w:r>
    </w:p>
    <w:p>
      <w:pPr>
        <w:spacing w:after="0" w:line="17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Lucid Group, Inc.,</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as Issuer</w:t>
      </w:r>
    </w:p>
    <w:p>
      <w:pPr>
        <w:spacing w:after="0" w:line="16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-101600</wp:posOffset>
            </wp:positionV>
            <wp:extent cx="322135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3221355" cy="6985"/>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14"/>
          <w:szCs w:val="14"/>
          <w:color w:val="auto"/>
        </w:rPr>
        <w:t>Title:</w:t>
      </w:r>
    </w:p>
    <w:p>
      <w:pPr>
        <w:spacing w:after="0" w:line="17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U.S. Bank Trust Company, National Association,</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as Trustee</w:t>
      </w:r>
    </w:p>
    <w:p>
      <w:pPr>
        <w:spacing w:after="0" w:line="16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-101600</wp:posOffset>
            </wp:positionV>
            <wp:extent cx="322135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3221355" cy="6985"/>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14"/>
          <w:szCs w:val="14"/>
          <w:color w:val="auto"/>
        </w:rPr>
        <w:t>Title:</w:t>
      </w:r>
    </w:p>
    <w:p>
      <w:pPr>
        <w:spacing w:after="0" w:line="17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i w:val="1"/>
          <w:iCs w:val="1"/>
          <w:color w:val="auto"/>
        </w:rPr>
        <w:t>[Signature Page to Base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352425</wp:posOffset>
            </wp:positionV>
            <wp:extent cx="716216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9639"/>
          </w:cols>
          <w:pgMar w:left="820" w:top="739" w:right="1440"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4"/>
          <w:szCs w:val="14"/>
          <w:u w:val="single" w:color="auto"/>
          <w:color w:val="auto"/>
        </w:rPr>
        <w:t>Exhibit 5.1</w:t>
      </w:r>
    </w:p>
    <w:p>
      <w:pPr>
        <w:spacing w:after="0" w:line="178" w:lineRule="exact"/>
        <w:rPr>
          <w:sz w:val="20"/>
          <w:szCs w:val="20"/>
          <w:color w:val="auto"/>
        </w:rPr>
      </w:pPr>
    </w:p>
    <w:tbl>
      <w:tblPr>
        <w:tblLayout w:type="fixed"/>
        <w:tblInd w:w="4420" w:type="dxa"/>
        <w:tblCellMar>
          <w:top w:w="0" w:type="dxa"/>
          <w:left w:w="0" w:type="dxa"/>
          <w:bottom w:w="0" w:type="dxa"/>
          <w:right w:w="0" w:type="dxa"/>
        </w:tblCellMar>
      </w:tblPr>
      <w:tr>
        <w:trPr>
          <w:trHeight w:val="169"/>
        </w:trPr>
        <w:tc>
          <w:tcPr>
            <w:tcW w:w="3580" w:type="dxa"/>
            <w:vAlign w:val="bottom"/>
          </w:tcPr>
          <w:p>
            <w:pPr>
              <w:jc w:val="center"/>
              <w:ind w:right="1049"/>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9"/>
                <w:szCs w:val="9"/>
                <w:color w:val="auto"/>
              </w:rPr>
              <w:t>kadden</w:t>
            </w:r>
            <w:r>
              <w:rPr>
                <w:rFonts w:ascii="Times New Roman" w:cs="Times New Roman" w:eastAsia="Times New Roman" w:hAnsi="Times New Roman"/>
                <w:sz w:val="14"/>
                <w:szCs w:val="14"/>
                <w:color w:val="auto"/>
              </w:rPr>
              <w:t>, A</w:t>
            </w:r>
            <w:r>
              <w:rPr>
                <w:rFonts w:ascii="Times New Roman" w:cs="Times New Roman" w:eastAsia="Times New Roman" w:hAnsi="Times New Roman"/>
                <w:sz w:val="9"/>
                <w:szCs w:val="9"/>
                <w:color w:val="auto"/>
              </w:rPr>
              <w:t>rps</w:t>
            </w:r>
            <w:r>
              <w:rPr>
                <w:rFonts w:ascii="Times New Roman" w:cs="Times New Roman" w:eastAsia="Times New Roman" w:hAnsi="Times New Roman"/>
                <w:sz w:val="14"/>
                <w:szCs w:val="14"/>
                <w:color w:val="auto"/>
              </w:rPr>
              <w:t>, S</w:t>
            </w:r>
            <w:r>
              <w:rPr>
                <w:rFonts w:ascii="Times New Roman" w:cs="Times New Roman" w:eastAsia="Times New Roman" w:hAnsi="Times New Roman"/>
                <w:sz w:val="9"/>
                <w:szCs w:val="9"/>
                <w:color w:val="auto"/>
              </w:rPr>
              <w:t>late</w:t>
            </w:r>
            <w:r>
              <w:rPr>
                <w:rFonts w:ascii="Times New Roman" w:cs="Times New Roman" w:eastAsia="Times New Roman" w:hAnsi="Times New Roman"/>
                <w:sz w:val="14"/>
                <w:szCs w:val="14"/>
                <w:color w:val="auto"/>
              </w:rPr>
              <w:t>, M</w:t>
            </w:r>
            <w:r>
              <w:rPr>
                <w:rFonts w:ascii="Times New Roman" w:cs="Times New Roman" w:eastAsia="Times New Roman" w:hAnsi="Times New Roman"/>
                <w:sz w:val="9"/>
                <w:szCs w:val="9"/>
                <w:color w:val="auto"/>
              </w:rPr>
              <w:t>eagher</w:t>
            </w:r>
            <w:r>
              <w:rPr>
                <w:rFonts w:ascii="Times New Roman" w:cs="Times New Roman" w:eastAsia="Times New Roman" w:hAnsi="Times New Roman"/>
                <w:sz w:val="14"/>
                <w:szCs w:val="14"/>
                <w:color w:val="auto"/>
              </w:rPr>
              <w:t xml:space="preserve"> &amp; F</w:t>
            </w:r>
            <w:r>
              <w:rPr>
                <w:rFonts w:ascii="Times New Roman" w:cs="Times New Roman" w:eastAsia="Times New Roman" w:hAnsi="Times New Roman"/>
                <w:sz w:val="9"/>
                <w:szCs w:val="9"/>
                <w:color w:val="auto"/>
              </w:rPr>
              <w:t>lom llp</w:t>
            </w:r>
          </w:p>
        </w:tc>
        <w:tc>
          <w:tcPr>
            <w:tcW w:w="2060" w:type="dxa"/>
            <w:vAlign w:val="bottom"/>
          </w:tcPr>
          <w:p>
            <w:pPr>
              <w:spacing w:after="0"/>
              <w:rPr>
                <w:sz w:val="14"/>
                <w:szCs w:val="14"/>
                <w:color w:val="auto"/>
              </w:rPr>
            </w:pPr>
          </w:p>
        </w:tc>
      </w:tr>
      <w:tr>
        <w:trPr>
          <w:trHeight w:val="169"/>
        </w:trPr>
        <w:tc>
          <w:tcPr>
            <w:tcW w:w="3580" w:type="dxa"/>
            <w:vAlign w:val="bottom"/>
          </w:tcPr>
          <w:p>
            <w:pPr>
              <w:jc w:val="center"/>
              <w:ind w:right="1049"/>
              <w:spacing w:after="0"/>
              <w:rPr>
                <w:sz w:val="20"/>
                <w:szCs w:val="20"/>
                <w:color w:val="auto"/>
              </w:rPr>
            </w:pPr>
            <w:r>
              <w:rPr>
                <w:rFonts w:ascii="Times New Roman" w:cs="Times New Roman" w:eastAsia="Times New Roman" w:hAnsi="Times New Roman"/>
                <w:sz w:val="14"/>
                <w:szCs w:val="14"/>
                <w:color w:val="auto"/>
              </w:rPr>
              <w:t>525 UNIVERSITY AVENUE</w:t>
            </w:r>
          </w:p>
        </w:tc>
        <w:tc>
          <w:tcPr>
            <w:tcW w:w="206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w w:val="99"/>
              </w:rPr>
              <w:t>FIRM/AFFILIATE</w:t>
            </w:r>
          </w:p>
        </w:tc>
      </w:tr>
      <w:tr>
        <w:trPr>
          <w:trHeight w:val="169"/>
        </w:trPr>
        <w:tc>
          <w:tcPr>
            <w:tcW w:w="3580" w:type="dxa"/>
            <w:vAlign w:val="bottom"/>
          </w:tcPr>
          <w:p>
            <w:pPr>
              <w:jc w:val="center"/>
              <w:ind w:right="1049"/>
              <w:spacing w:after="0"/>
              <w:rPr>
                <w:sz w:val="20"/>
                <w:szCs w:val="20"/>
                <w:color w:val="auto"/>
              </w:rPr>
            </w:pPr>
            <w:r>
              <w:rPr>
                <w:rFonts w:ascii="Times New Roman" w:cs="Times New Roman" w:eastAsia="Times New Roman" w:hAnsi="Times New Roman"/>
                <w:sz w:val="14"/>
                <w:szCs w:val="14"/>
                <w:color w:val="auto"/>
                <w:w w:val="99"/>
              </w:rPr>
              <w:t>PALO ALTO, CALIFORNIA 94301</w:t>
            </w:r>
          </w:p>
        </w:tc>
        <w:tc>
          <w:tcPr>
            <w:tcW w:w="206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w w:val="99"/>
              </w:rPr>
              <w:t>OFFICES</w:t>
            </w:r>
          </w:p>
        </w:tc>
      </w:tr>
      <w:tr>
        <w:trPr>
          <w:trHeight w:val="169"/>
        </w:trPr>
        <w:tc>
          <w:tcPr>
            <w:tcW w:w="3580" w:type="dxa"/>
            <w:vAlign w:val="bottom"/>
          </w:tcPr>
          <w:p>
            <w:pPr>
              <w:jc w:val="center"/>
              <w:ind w:right="1049"/>
              <w:spacing w:after="0"/>
              <w:rPr>
                <w:sz w:val="20"/>
                <w:szCs w:val="20"/>
                <w:color w:val="auto"/>
              </w:rPr>
            </w:pPr>
            <w:r>
              <w:rPr>
                <w:rFonts w:ascii="Times New Roman" w:cs="Times New Roman" w:eastAsia="Times New Roman" w:hAnsi="Times New Roman"/>
                <w:sz w:val="14"/>
                <w:szCs w:val="14"/>
                <w:color w:val="auto"/>
              </w:rPr>
              <w:t>_______</w:t>
            </w:r>
          </w:p>
        </w:tc>
        <w:tc>
          <w:tcPr>
            <w:tcW w:w="206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rPr>
              <w:t>_______</w:t>
            </w:r>
          </w:p>
        </w:tc>
      </w:tr>
      <w:tr>
        <w:trPr>
          <w:trHeight w:val="169"/>
        </w:trPr>
        <w:tc>
          <w:tcPr>
            <w:tcW w:w="3580" w:type="dxa"/>
            <w:vAlign w:val="bottom"/>
          </w:tcPr>
          <w:p>
            <w:pPr>
              <w:jc w:val="center"/>
              <w:ind w:right="1049"/>
              <w:spacing w:after="0"/>
              <w:rPr>
                <w:sz w:val="20"/>
                <w:szCs w:val="20"/>
                <w:color w:val="auto"/>
              </w:rPr>
            </w:pPr>
            <w:r>
              <w:rPr>
                <w:rFonts w:ascii="Times New Roman" w:cs="Times New Roman" w:eastAsia="Times New Roman" w:hAnsi="Times New Roman"/>
                <w:sz w:val="14"/>
                <w:szCs w:val="14"/>
                <w:color w:val="auto"/>
              </w:rPr>
              <w:t>TEL: (650) 470-4500</w:t>
            </w:r>
          </w:p>
        </w:tc>
        <w:tc>
          <w:tcPr>
            <w:tcW w:w="206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w w:val="99"/>
              </w:rPr>
              <w:t>BOSTON</w:t>
            </w:r>
          </w:p>
        </w:tc>
      </w:tr>
      <w:tr>
        <w:trPr>
          <w:trHeight w:val="169"/>
        </w:trPr>
        <w:tc>
          <w:tcPr>
            <w:tcW w:w="3580" w:type="dxa"/>
            <w:vAlign w:val="bottom"/>
          </w:tcPr>
          <w:p>
            <w:pPr>
              <w:jc w:val="center"/>
              <w:ind w:right="1049"/>
              <w:spacing w:after="0"/>
              <w:rPr>
                <w:sz w:val="20"/>
                <w:szCs w:val="20"/>
                <w:color w:val="auto"/>
              </w:rPr>
            </w:pPr>
            <w:r>
              <w:rPr>
                <w:rFonts w:ascii="Times New Roman" w:cs="Times New Roman" w:eastAsia="Times New Roman" w:hAnsi="Times New Roman"/>
                <w:sz w:val="14"/>
                <w:szCs w:val="14"/>
                <w:color w:val="auto"/>
                <w:w w:val="99"/>
              </w:rPr>
              <w:t>FAX: (650) 470-4570</w:t>
            </w:r>
          </w:p>
        </w:tc>
        <w:tc>
          <w:tcPr>
            <w:tcW w:w="206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CHICAGO</w:t>
            </w:r>
          </w:p>
        </w:tc>
      </w:tr>
      <w:tr>
        <w:trPr>
          <w:trHeight w:val="169"/>
        </w:trPr>
        <w:tc>
          <w:tcPr>
            <w:tcW w:w="3580" w:type="dxa"/>
            <w:vAlign w:val="bottom"/>
          </w:tcPr>
          <w:p>
            <w:pPr>
              <w:jc w:val="center"/>
              <w:ind w:right="1049"/>
              <w:spacing w:after="0"/>
              <w:rPr>
                <w:sz w:val="20"/>
                <w:szCs w:val="20"/>
                <w:color w:val="auto"/>
              </w:rPr>
            </w:pPr>
            <w:r>
              <w:rPr>
                <w:rFonts w:ascii="Times New Roman" w:cs="Times New Roman" w:eastAsia="Times New Roman" w:hAnsi="Times New Roman"/>
                <w:sz w:val="14"/>
                <w:szCs w:val="14"/>
                <w:color w:val="auto"/>
                <w:w w:val="98"/>
              </w:rPr>
              <w:t>www.skadden.com</w:t>
            </w:r>
          </w:p>
        </w:tc>
        <w:tc>
          <w:tcPr>
            <w:tcW w:w="206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HOUSTON</w:t>
            </w:r>
          </w:p>
        </w:tc>
      </w:tr>
      <w:tr>
        <w:trPr>
          <w:trHeight w:val="169"/>
        </w:trPr>
        <w:tc>
          <w:tcPr>
            <w:tcW w:w="3580" w:type="dxa"/>
            <w:vAlign w:val="bottom"/>
          </w:tcPr>
          <w:p>
            <w:pPr>
              <w:spacing w:after="0"/>
              <w:rPr>
                <w:sz w:val="14"/>
                <w:szCs w:val="14"/>
                <w:color w:val="auto"/>
              </w:rPr>
            </w:pPr>
          </w:p>
        </w:tc>
        <w:tc>
          <w:tcPr>
            <w:tcW w:w="206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rPr>
              <w:t>LOS ANGELES</w:t>
            </w:r>
          </w:p>
        </w:tc>
      </w:tr>
      <w:tr>
        <w:trPr>
          <w:trHeight w:val="169"/>
        </w:trPr>
        <w:tc>
          <w:tcPr>
            <w:tcW w:w="3580" w:type="dxa"/>
            <w:vAlign w:val="bottom"/>
          </w:tcPr>
          <w:p>
            <w:pPr>
              <w:spacing w:after="0"/>
              <w:rPr>
                <w:sz w:val="14"/>
                <w:szCs w:val="14"/>
                <w:color w:val="auto"/>
              </w:rPr>
            </w:pPr>
          </w:p>
        </w:tc>
        <w:tc>
          <w:tcPr>
            <w:tcW w:w="206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NEW YORK</w:t>
            </w:r>
          </w:p>
        </w:tc>
      </w:tr>
      <w:tr>
        <w:trPr>
          <w:trHeight w:val="169"/>
        </w:trPr>
        <w:tc>
          <w:tcPr>
            <w:tcW w:w="3580" w:type="dxa"/>
            <w:vAlign w:val="bottom"/>
          </w:tcPr>
          <w:p>
            <w:pPr>
              <w:spacing w:after="0"/>
              <w:rPr>
                <w:sz w:val="14"/>
                <w:szCs w:val="14"/>
                <w:color w:val="auto"/>
              </w:rPr>
            </w:pPr>
          </w:p>
        </w:tc>
        <w:tc>
          <w:tcPr>
            <w:tcW w:w="206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w w:val="99"/>
              </w:rPr>
              <w:t>WASHINGTON, D.C.</w:t>
            </w:r>
          </w:p>
        </w:tc>
      </w:tr>
      <w:tr>
        <w:trPr>
          <w:trHeight w:val="169"/>
        </w:trPr>
        <w:tc>
          <w:tcPr>
            <w:tcW w:w="3580" w:type="dxa"/>
            <w:vAlign w:val="bottom"/>
          </w:tcPr>
          <w:p>
            <w:pPr>
              <w:spacing w:after="0"/>
              <w:rPr>
                <w:sz w:val="14"/>
                <w:szCs w:val="14"/>
                <w:color w:val="auto"/>
              </w:rPr>
            </w:pPr>
          </w:p>
        </w:tc>
        <w:tc>
          <w:tcPr>
            <w:tcW w:w="206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w w:val="99"/>
              </w:rPr>
              <w:t>WILMINGTON</w:t>
            </w:r>
          </w:p>
        </w:tc>
      </w:tr>
      <w:tr>
        <w:trPr>
          <w:trHeight w:val="169"/>
        </w:trPr>
        <w:tc>
          <w:tcPr>
            <w:tcW w:w="3580" w:type="dxa"/>
            <w:vAlign w:val="bottom"/>
          </w:tcPr>
          <w:p>
            <w:pPr>
              <w:spacing w:after="0"/>
              <w:rPr>
                <w:sz w:val="14"/>
                <w:szCs w:val="14"/>
                <w:color w:val="auto"/>
              </w:rPr>
            </w:pPr>
          </w:p>
        </w:tc>
        <w:tc>
          <w:tcPr>
            <w:tcW w:w="206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rPr>
              <w:t>_______</w:t>
            </w:r>
          </w:p>
        </w:tc>
      </w:tr>
      <w:tr>
        <w:trPr>
          <w:trHeight w:val="169"/>
        </w:trPr>
        <w:tc>
          <w:tcPr>
            <w:tcW w:w="3580" w:type="dxa"/>
            <w:vAlign w:val="bottom"/>
          </w:tcPr>
          <w:p>
            <w:pPr>
              <w:spacing w:after="0"/>
              <w:rPr>
                <w:sz w:val="14"/>
                <w:szCs w:val="14"/>
                <w:color w:val="auto"/>
              </w:rPr>
            </w:pPr>
          </w:p>
        </w:tc>
        <w:tc>
          <w:tcPr>
            <w:tcW w:w="206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rPr>
              <w:t>BEIJING</w:t>
            </w:r>
          </w:p>
        </w:tc>
      </w:tr>
      <w:tr>
        <w:trPr>
          <w:trHeight w:val="169"/>
        </w:trPr>
        <w:tc>
          <w:tcPr>
            <w:tcW w:w="3580" w:type="dxa"/>
            <w:vAlign w:val="bottom"/>
          </w:tcPr>
          <w:p>
            <w:pPr>
              <w:spacing w:after="0"/>
              <w:rPr>
                <w:sz w:val="14"/>
                <w:szCs w:val="14"/>
                <w:color w:val="auto"/>
              </w:rPr>
            </w:pPr>
          </w:p>
        </w:tc>
        <w:tc>
          <w:tcPr>
            <w:tcW w:w="206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rPr>
              <w:t>BRUSSELS</w:t>
            </w:r>
          </w:p>
        </w:tc>
      </w:tr>
      <w:tr>
        <w:trPr>
          <w:trHeight w:val="169"/>
        </w:trPr>
        <w:tc>
          <w:tcPr>
            <w:tcW w:w="3580" w:type="dxa"/>
            <w:vAlign w:val="bottom"/>
          </w:tcPr>
          <w:p>
            <w:pPr>
              <w:spacing w:after="0"/>
              <w:rPr>
                <w:sz w:val="14"/>
                <w:szCs w:val="14"/>
                <w:color w:val="auto"/>
              </w:rPr>
            </w:pPr>
          </w:p>
        </w:tc>
        <w:tc>
          <w:tcPr>
            <w:tcW w:w="206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FRANKFURT</w:t>
            </w:r>
          </w:p>
        </w:tc>
      </w:tr>
      <w:tr>
        <w:trPr>
          <w:trHeight w:val="169"/>
        </w:trPr>
        <w:tc>
          <w:tcPr>
            <w:tcW w:w="3580" w:type="dxa"/>
            <w:vAlign w:val="bottom"/>
          </w:tcPr>
          <w:p>
            <w:pPr>
              <w:spacing w:after="0"/>
              <w:rPr>
                <w:sz w:val="14"/>
                <w:szCs w:val="14"/>
                <w:color w:val="auto"/>
              </w:rPr>
            </w:pPr>
          </w:p>
        </w:tc>
        <w:tc>
          <w:tcPr>
            <w:tcW w:w="206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rPr>
              <w:t>HONG KONG</w:t>
            </w:r>
          </w:p>
        </w:tc>
      </w:tr>
      <w:tr>
        <w:trPr>
          <w:trHeight w:val="169"/>
        </w:trPr>
        <w:tc>
          <w:tcPr>
            <w:tcW w:w="3580" w:type="dxa"/>
            <w:vAlign w:val="bottom"/>
          </w:tcPr>
          <w:p>
            <w:pPr>
              <w:spacing w:after="0"/>
              <w:rPr>
                <w:sz w:val="14"/>
                <w:szCs w:val="14"/>
                <w:color w:val="auto"/>
              </w:rPr>
            </w:pPr>
          </w:p>
        </w:tc>
        <w:tc>
          <w:tcPr>
            <w:tcW w:w="206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LONDON</w:t>
            </w:r>
          </w:p>
        </w:tc>
      </w:tr>
      <w:tr>
        <w:trPr>
          <w:trHeight w:val="169"/>
        </w:trPr>
        <w:tc>
          <w:tcPr>
            <w:tcW w:w="3580" w:type="dxa"/>
            <w:vAlign w:val="bottom"/>
          </w:tcPr>
          <w:p>
            <w:pPr>
              <w:spacing w:after="0"/>
              <w:rPr>
                <w:sz w:val="14"/>
                <w:szCs w:val="14"/>
                <w:color w:val="auto"/>
              </w:rPr>
            </w:pPr>
          </w:p>
        </w:tc>
        <w:tc>
          <w:tcPr>
            <w:tcW w:w="206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rPr>
              <w:t>MUNICH</w:t>
            </w:r>
          </w:p>
        </w:tc>
      </w:tr>
      <w:tr>
        <w:trPr>
          <w:trHeight w:val="169"/>
        </w:trPr>
        <w:tc>
          <w:tcPr>
            <w:tcW w:w="3580" w:type="dxa"/>
            <w:vAlign w:val="bottom"/>
          </w:tcPr>
          <w:p>
            <w:pPr>
              <w:spacing w:after="0"/>
              <w:rPr>
                <w:sz w:val="14"/>
                <w:szCs w:val="14"/>
                <w:color w:val="auto"/>
              </w:rPr>
            </w:pPr>
          </w:p>
        </w:tc>
        <w:tc>
          <w:tcPr>
            <w:tcW w:w="206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w w:val="95"/>
              </w:rPr>
              <w:t>PARIS</w:t>
            </w:r>
          </w:p>
        </w:tc>
      </w:tr>
      <w:tr>
        <w:trPr>
          <w:trHeight w:val="169"/>
        </w:trPr>
        <w:tc>
          <w:tcPr>
            <w:tcW w:w="3580" w:type="dxa"/>
            <w:vAlign w:val="bottom"/>
          </w:tcPr>
          <w:p>
            <w:pPr>
              <w:spacing w:after="0"/>
              <w:rPr>
                <w:sz w:val="14"/>
                <w:szCs w:val="14"/>
                <w:color w:val="auto"/>
              </w:rPr>
            </w:pPr>
          </w:p>
        </w:tc>
        <w:tc>
          <w:tcPr>
            <w:tcW w:w="206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w w:val="99"/>
              </w:rPr>
              <w:t>SÃO PAULO</w:t>
            </w:r>
          </w:p>
        </w:tc>
      </w:tr>
      <w:tr>
        <w:trPr>
          <w:trHeight w:val="169"/>
        </w:trPr>
        <w:tc>
          <w:tcPr>
            <w:tcW w:w="3580" w:type="dxa"/>
            <w:vAlign w:val="bottom"/>
          </w:tcPr>
          <w:p>
            <w:pPr>
              <w:spacing w:after="0"/>
              <w:rPr>
                <w:sz w:val="14"/>
                <w:szCs w:val="14"/>
                <w:color w:val="auto"/>
              </w:rPr>
            </w:pPr>
          </w:p>
        </w:tc>
        <w:tc>
          <w:tcPr>
            <w:tcW w:w="206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rPr>
              <w:t>SEOUL</w:t>
            </w:r>
          </w:p>
        </w:tc>
      </w:tr>
      <w:tr>
        <w:trPr>
          <w:trHeight w:val="169"/>
        </w:trPr>
        <w:tc>
          <w:tcPr>
            <w:tcW w:w="3580" w:type="dxa"/>
            <w:vAlign w:val="bottom"/>
          </w:tcPr>
          <w:p>
            <w:pPr>
              <w:spacing w:after="0"/>
              <w:rPr>
                <w:sz w:val="14"/>
                <w:szCs w:val="14"/>
                <w:color w:val="auto"/>
              </w:rPr>
            </w:pPr>
          </w:p>
        </w:tc>
        <w:tc>
          <w:tcPr>
            <w:tcW w:w="206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rPr>
              <w:t>SHANGHAI</w:t>
            </w:r>
          </w:p>
        </w:tc>
      </w:tr>
      <w:tr>
        <w:trPr>
          <w:trHeight w:val="169"/>
        </w:trPr>
        <w:tc>
          <w:tcPr>
            <w:tcW w:w="3580" w:type="dxa"/>
            <w:vAlign w:val="bottom"/>
          </w:tcPr>
          <w:p>
            <w:pPr>
              <w:spacing w:after="0"/>
              <w:rPr>
                <w:sz w:val="14"/>
                <w:szCs w:val="14"/>
                <w:color w:val="auto"/>
              </w:rPr>
            </w:pPr>
          </w:p>
        </w:tc>
        <w:tc>
          <w:tcPr>
            <w:tcW w:w="206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SINGAPORE</w:t>
            </w:r>
          </w:p>
        </w:tc>
      </w:tr>
      <w:tr>
        <w:trPr>
          <w:trHeight w:val="169"/>
        </w:trPr>
        <w:tc>
          <w:tcPr>
            <w:tcW w:w="3580" w:type="dxa"/>
            <w:vAlign w:val="bottom"/>
          </w:tcPr>
          <w:p>
            <w:pPr>
              <w:spacing w:after="0"/>
              <w:rPr>
                <w:sz w:val="14"/>
                <w:szCs w:val="14"/>
                <w:color w:val="auto"/>
              </w:rPr>
            </w:pPr>
          </w:p>
        </w:tc>
        <w:tc>
          <w:tcPr>
            <w:tcW w:w="206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rPr>
              <w:t>TOKYO</w:t>
            </w:r>
          </w:p>
        </w:tc>
      </w:tr>
      <w:tr>
        <w:trPr>
          <w:trHeight w:val="184"/>
        </w:trPr>
        <w:tc>
          <w:tcPr>
            <w:tcW w:w="3580" w:type="dxa"/>
            <w:vAlign w:val="bottom"/>
          </w:tcPr>
          <w:p>
            <w:pPr>
              <w:spacing w:after="0"/>
              <w:rPr>
                <w:sz w:val="15"/>
                <w:szCs w:val="15"/>
                <w:color w:val="auto"/>
              </w:rPr>
            </w:pPr>
          </w:p>
        </w:tc>
        <w:tc>
          <w:tcPr>
            <w:tcW w:w="206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w w:val="98"/>
              </w:rPr>
              <w:t>TORONTO</w:t>
            </w:r>
          </w:p>
        </w:tc>
      </w:tr>
      <w:tr>
        <w:trPr>
          <w:trHeight w:val="339"/>
        </w:trPr>
        <w:tc>
          <w:tcPr>
            <w:tcW w:w="358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October 16, 2024</w:t>
            </w:r>
          </w:p>
        </w:tc>
        <w:tc>
          <w:tcPr>
            <w:tcW w:w="2060" w:type="dxa"/>
            <w:vAlign w:val="bottom"/>
          </w:tcPr>
          <w:p>
            <w:pPr>
              <w:spacing w:after="0"/>
              <w:rPr>
                <w:sz w:val="24"/>
                <w:szCs w:val="24"/>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Lucid Group,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7373 Gateway Boulevard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Newark, California 94560</w:t>
      </w:r>
    </w:p>
    <w:p>
      <w:pPr>
        <w:spacing w:after="0" w:line="164" w:lineRule="exact"/>
        <w:rPr>
          <w:sz w:val="20"/>
          <w:szCs w:val="20"/>
          <w:color w:val="auto"/>
        </w:rPr>
      </w:pPr>
    </w:p>
    <w:tbl>
      <w:tblPr>
        <w:tblLayout w:type="fixed"/>
        <w:tblInd w:w="2280" w:type="dxa"/>
        <w:tblCellMar>
          <w:top w:w="0" w:type="dxa"/>
          <w:left w:w="0" w:type="dxa"/>
          <w:bottom w:w="0" w:type="dxa"/>
          <w:right w:w="0" w:type="dxa"/>
        </w:tblCellMar>
      </w:tblPr>
      <w:tr>
        <w:trPr>
          <w:trHeight w:val="169"/>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Re:</w:t>
            </w: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Lucid Group, Inc.</w:t>
            </w:r>
          </w:p>
        </w:tc>
      </w:tr>
      <w:tr>
        <w:trPr>
          <w:trHeight w:val="152"/>
        </w:trPr>
        <w:tc>
          <w:tcPr>
            <w:tcW w:w="560" w:type="dxa"/>
            <w:vAlign w:val="bottom"/>
          </w:tcPr>
          <w:p>
            <w:pPr>
              <w:spacing w:after="0"/>
              <w:rPr>
                <w:sz w:val="13"/>
                <w:szCs w:val="13"/>
                <w:color w:val="auto"/>
              </w:rPr>
            </w:pPr>
          </w:p>
        </w:tc>
        <w:tc>
          <w:tcPr>
            <w:tcW w:w="2040" w:type="dxa"/>
            <w:vAlign w:val="bottom"/>
            <w:tcBorders>
              <w:bottom w:val="single" w:sz="8" w:color="auto"/>
            </w:tcBorders>
          </w:tcPr>
          <w:p>
            <w:pPr>
              <w:spacing w:after="0" w:line="153" w:lineRule="exact"/>
              <w:rPr>
                <w:sz w:val="20"/>
                <w:szCs w:val="20"/>
                <w:color w:val="auto"/>
              </w:rPr>
            </w:pPr>
            <w:r>
              <w:rPr>
                <w:rFonts w:ascii="Times New Roman" w:cs="Times New Roman" w:eastAsia="Times New Roman" w:hAnsi="Times New Roman"/>
                <w:sz w:val="14"/>
                <w:szCs w:val="14"/>
                <w:color w:val="auto"/>
                <w:w w:val="99"/>
              </w:rPr>
              <w:t>Registration Statement on Form S-3</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8" w:lineRule="exact"/>
        <w:rPr>
          <w:sz w:val="20"/>
          <w:szCs w:val="20"/>
          <w:color w:val="auto"/>
        </w:rPr>
      </w:pPr>
    </w:p>
    <w:p>
      <w:pPr>
        <w:ind w:right="40" w:firstLine="1017"/>
        <w:spacing w:after="0" w:line="254" w:lineRule="auto"/>
        <w:rPr>
          <w:sz w:val="20"/>
          <w:szCs w:val="20"/>
          <w:color w:val="auto"/>
        </w:rPr>
      </w:pPr>
      <w:r>
        <w:rPr>
          <w:rFonts w:ascii="Times New Roman" w:cs="Times New Roman" w:eastAsia="Times New Roman" w:hAnsi="Times New Roman"/>
          <w:sz w:val="14"/>
          <w:szCs w:val="14"/>
          <w:color w:val="auto"/>
        </w:rPr>
        <w:t>We have acted as special United States counsel to Lucid Group, Inc., a Delaware corporation (the “Company”), in connection with the registration statement on Form S-3ASR (the “Registration Statement”) to be filed on the date hereof by the Company with the Securities and Exchange Commission (the “Commission”) under the Securities Act of 1933 (the “Securities Act”). The Registration Statement relates to the issuance and sale by the Company from time to time, pursuant to Rule 415 of the General Rules and Regulations of the Commission promulgated under the Securities Act (the “Rules and Regulations”), of (i) shares of common stock, par value $0.0001 per share, of the Company (“Common Stock”), (ii) shares of preferred stock, par value $0.0001 per share, of the Company (“Preferred Stock”), which may be issued in one or more series, (iii) depositary receipts (the “Receipts”) representing fractional shares of Preferred Stock, which are called depositary shares (the “Depositary Shares”) and which may be issued pursuant to one or more depositary agreements (each, a “Depositary Agreement”) proposed to be entered into between the Company and one or more bank or trust companies to be named in the applicable Depositary Agreement (each, a “Bank Depositary”), (iv) debt securities of the Company (“Debt Securities”), which may be issued in one or more series under an indenture (the “Indenture”) proposed to be entered into by the Company and U.S. Bank Trust Company, National Association, as trustee, the form of which is filed as an exhibit to the Registration Statement, (v) warrants to purchase shares of Common Stock, shares of Preferred Stock or Debt Securities (“Warrants”), which may be issued pursuant to one or more warrant agreements (each, a “Warrant Agreement”) proposed to be entered into by the Company and one or more warrant agents to be named therein, (vi) subscription rights to purchase shares of Common Stock, shares of Preferred Stock or Debt Securities (“Subscription Rights”), which may be issued under one or more subscription rights certificates (each, a “Subscription Rights Certificate”) and/or pursuant to one or more subscription rights agreements (each, a “Subscription Rights Agreement”) proposed to be entered into by the Company and one or more subscription agents to be named therein, (vii) purchase contracts (“Purchase Contracts”) obligating the holders thereof to purchase from the Company, and the Company to sell to such holders, shares of Common Stock, shares of Preferred Stock or Debt Securities at a future date or dates, which may be issued pursuant to one or more purchase contract agreements (each, a “Purchase Contract Agreement”) proposed to be entered into by the Company and one or more purchase contract agents to be named therein, (viii) purchase units of the Company (“Purchase Units”), each consisting of a Purchase Contract and Debt Securities, Preferred Stock or debt obligations of third parties, including United States Treasury securities, or any combination of the foregoing, which may be issued pursuant to one or more agreements (each, a “Purchase Unit Agreement”) proposed to be entered into by the Company and one or more purchase unit agents to be named therein, and (ix) such indeterminate number of shares of Common Stock, Preferred Stock or Depositary Shares and indeterminate amount of Debt Securities as may be issued upon conversion, exchange or exercise, as applicable, of any Preferred Stock, Depositary Shares, Debt Securities, Warrants or Subscription Rights or settlement of any Purchase Contracts or Purchase Units, including such shares of Common Stock or Preferred Stock as may be issued pursuant to anti-dilution adjustments determined at the time of offering (collectively, “Indeterminate Securities”). The Registration Statement also relates to the sale from time to time of shares of Common Stock to be sold by selling stockholders. The Common Stock, Preferred Stock, Depositary Shares, Debt Securities, Warrants, Subscription Rights, Purchase Contracts, Purchase Units and Indeterminate Securities, offered pursuant to the Registration Statement are collectively referred to herein as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16216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color w:val="auto"/>
        </w:rPr>
        <w:t>Lucid Group,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16, 2024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16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This opinion is being furnished in accordance with the requirements of Item 601(b)(5) of Regulation S-K under the Securities Act.</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In rendering the opinions stated herein, we have examined and relied upon the following:</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            the Registration Statement;</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(b)           the form of Indenture filed as an exhibit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16216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0159"/>
          </w:cols>
          <w:pgMar w:left="300" w:top="739"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color w:val="auto"/>
        </w:rPr>
        <w:t>Lucid Group,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16, 2024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3</w:t>
      </w:r>
    </w:p>
    <w:p>
      <w:pPr>
        <w:spacing w:after="0" w:line="16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(c)            an executed copy of a certificate of Dan Horwood, Deputy General Counsel and Assistant Secretary of the Company, dated the date hereof (the “Secretary’s Certificate”);</w:t>
      </w:r>
    </w:p>
    <w:p>
      <w:pPr>
        <w:spacing w:after="0" w:line="178" w:lineRule="exact"/>
        <w:rPr>
          <w:sz w:val="20"/>
          <w:szCs w:val="20"/>
          <w:color w:val="auto"/>
        </w:rPr>
      </w:pPr>
    </w:p>
    <w:p>
      <w:pPr>
        <w:ind w:right="220" w:firstLine="1017"/>
        <w:spacing w:after="0" w:line="286" w:lineRule="auto"/>
        <w:rPr>
          <w:sz w:val="20"/>
          <w:szCs w:val="20"/>
          <w:color w:val="auto"/>
        </w:rPr>
      </w:pPr>
      <w:r>
        <w:rPr>
          <w:rFonts w:ascii="Times New Roman" w:cs="Times New Roman" w:eastAsia="Times New Roman" w:hAnsi="Times New Roman"/>
          <w:sz w:val="14"/>
          <w:szCs w:val="14"/>
          <w:color w:val="auto"/>
        </w:rPr>
        <w:t>(d)           a copy of the Company’s Third Amended and Restated Certificate of Incorporation, certified by the Secretary of State of the State of Delaware as of October 16, 2024, and certified pursuant to the Secretary’s Certificate;</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(e)            a copy of the Company’s Second Amended and Restated Bylaws, as amended and in effect as of the date hereof, and certified pursuant to the Secretary’s Certificate; and</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(f)            a copy of certain action by written consent of the Board of Directors of the Company, adopted on October 15, 2024, certified pursuant to the Secretary’s Certificate.</w:t>
      </w:r>
    </w:p>
    <w:p>
      <w:pPr>
        <w:spacing w:after="0" w:line="178" w:lineRule="exact"/>
        <w:rPr>
          <w:sz w:val="20"/>
          <w:szCs w:val="20"/>
          <w:color w:val="auto"/>
        </w:rPr>
      </w:pPr>
    </w:p>
    <w:p>
      <w:pPr>
        <w:jc w:val="both"/>
        <w:ind w:right="260" w:firstLine="1017"/>
        <w:spacing w:after="0" w:line="269" w:lineRule="auto"/>
        <w:rPr>
          <w:sz w:val="20"/>
          <w:szCs w:val="20"/>
          <w:color w:val="auto"/>
        </w:rPr>
      </w:pPr>
      <w:r>
        <w:rPr>
          <w:rFonts w:ascii="Times New Roman" w:cs="Times New Roman" w:eastAsia="Times New Roman" w:hAnsi="Times New Roman"/>
          <w:sz w:val="14"/>
          <w:szCs w:val="14"/>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spacing w:after="0" w:line="136" w:lineRule="exact"/>
        <w:rPr>
          <w:sz w:val="20"/>
          <w:szCs w:val="20"/>
          <w:color w:val="auto"/>
        </w:rPr>
      </w:pPr>
    </w:p>
    <w:p>
      <w:pPr>
        <w:ind w:firstLine="1017"/>
        <w:spacing w:after="0" w:line="263" w:lineRule="auto"/>
        <w:rPr>
          <w:sz w:val="20"/>
          <w:szCs w:val="20"/>
          <w:color w:val="auto"/>
        </w:rPr>
      </w:pPr>
      <w:r>
        <w:rPr>
          <w:rFonts w:ascii="Times New Roman" w:cs="Times New Roman" w:eastAsia="Times New Roman" w:hAnsi="Times New Roman"/>
          <w:sz w:val="14"/>
          <w:szCs w:val="14"/>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 including the facts and conclusions set forth in the Secretary’s Certificate.</w:t>
      </w:r>
    </w:p>
    <w:p>
      <w:pPr>
        <w:spacing w:after="0" w:line="142" w:lineRule="exact"/>
        <w:rPr>
          <w:sz w:val="20"/>
          <w:szCs w:val="20"/>
          <w:color w:val="auto"/>
        </w:rPr>
      </w:pPr>
    </w:p>
    <w:p>
      <w:pPr>
        <w:ind w:right="180" w:firstLine="1017"/>
        <w:spacing w:after="0" w:line="269" w:lineRule="auto"/>
        <w:rPr>
          <w:sz w:val="20"/>
          <w:szCs w:val="20"/>
          <w:color w:val="auto"/>
        </w:rPr>
      </w:pPr>
      <w:r>
        <w:rPr>
          <w:rFonts w:ascii="Times New Roman" w:cs="Times New Roman" w:eastAsia="Times New Roman" w:hAnsi="Times New Roman"/>
          <w:sz w:val="14"/>
          <w:szCs w:val="14"/>
          <w:color w:val="auto"/>
        </w:rPr>
        <w:t>We do not express any opinion with respect to the laws of any jurisdiction other than (i) the laws of the State of New York, and (ii) the General Corporation Law of the State of Delaware (the “DGCL”) (all of the foregoing being referred to as “Opined-on Law”). The Securities may be issued from time to time on a delayed or continuous basis, and this opinion is limited to the laws, including the rules and regulations, as in effect on the date hereof, which laws are subject to change with possible retroactive effect.</w:t>
      </w:r>
    </w:p>
    <w:p>
      <w:pPr>
        <w:spacing w:after="0" w:line="136" w:lineRule="exact"/>
        <w:rPr>
          <w:sz w:val="20"/>
          <w:szCs w:val="20"/>
          <w:color w:val="auto"/>
        </w:rPr>
      </w:pPr>
    </w:p>
    <w:p>
      <w:pPr>
        <w:ind w:right="80" w:firstLine="1017"/>
        <w:spacing w:after="0" w:line="269" w:lineRule="auto"/>
        <w:rPr>
          <w:sz w:val="20"/>
          <w:szCs w:val="20"/>
          <w:color w:val="auto"/>
        </w:rPr>
      </w:pPr>
      <w:r>
        <w:rPr>
          <w:rFonts w:ascii="Times New Roman" w:cs="Times New Roman" w:eastAsia="Times New Roman" w:hAnsi="Times New Roman"/>
          <w:sz w:val="14"/>
          <w:szCs w:val="14"/>
          <w:color w:val="auto"/>
        </w:rPr>
        <w:t>As used herein, “Transaction Documents” means the Depositary Agreements, the Indenture and the supplemental indentures and officer’s certificates establishing the terms of the Debt Securities pursuant thereto, the Warrant Agreements, the Subscription Rights Agreements, the Purchase Contract Agreements, the Purchase Unit Agreements and any applicable underwriting or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716216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color w:val="auto"/>
        </w:rPr>
        <w:t>Lucid Group,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16, 2024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4</w:t>
      </w:r>
    </w:p>
    <w:p>
      <w:pPr>
        <w:spacing w:after="0" w:line="164" w:lineRule="exact"/>
        <w:rPr>
          <w:sz w:val="20"/>
          <w:szCs w:val="20"/>
          <w:color w:val="auto"/>
        </w:rPr>
      </w:pPr>
    </w:p>
    <w:p>
      <w:pPr>
        <w:ind w:firstLine="1017"/>
        <w:spacing w:after="0" w:line="256" w:lineRule="auto"/>
        <w:rPr>
          <w:sz w:val="20"/>
          <w:szCs w:val="20"/>
          <w:color w:val="auto"/>
        </w:rPr>
      </w:pPr>
      <w:r>
        <w:rPr>
          <w:rFonts w:ascii="Times New Roman" w:cs="Times New Roman" w:eastAsia="Times New Roman" w:hAnsi="Times New Roman"/>
          <w:sz w:val="14"/>
          <w:szCs w:val="14"/>
          <w:color w:val="auto"/>
        </w:rPr>
        <w:t>The opinions stated in paragraphs 1 through 8 below presume that all of the following (collectively, the “general conditions”) shall have occurred prior to the issuance of the Securities referred to therein: (i) the Registration Statement, as finally amended (including all necessary post-effective amendments), has become effective under the Securities Act; (ii) an appropriate prospectus supplement or term sheet with respect to such Securities has been prepared, delivered and filed in compliance with the Securities Act and the applicable Rules and Regulations; (iii) the applicable Transaction Documents shall have been duly authorized, executed and delivered by the Company and the other parties thereto, including, if such Securities are to be sold or otherwise distributed pursuant to a firm commitment underwritten offering, the underwriting agreement or purchase agreement with respect thereto; (iv) the Board of Directors of the Company, including any duly authorized committee thereof, shall have taken all necessary corporate action to approve the issuance and sale of such Securities and related matters and appropriate officers of the Company have taken all related action as directed by or under the direction of the Board of Directors of the Company; and (v) the terms of the applicable Transaction Documents and the issuance and sale of such Securities have been duly established in conformity with the certificate of incorporation of the Company so as not to violate any applicable law, the certificate of incorporation of the Company or the bylaws of the Company, or result in a default under or breach of any agreement or instrument binding upon the Company or its properties, and so as to comply with any requirement or restriction imposed by any court or governmental body having jurisdiction over the Company or its properties.</w:t>
      </w:r>
    </w:p>
    <w:p>
      <w:pPr>
        <w:spacing w:after="0" w:line="1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Based upon the foregoing and subject to the qualifications and assumptions stated herein, we are of the opinion that:</w:t>
      </w:r>
    </w:p>
    <w:p>
      <w:pPr>
        <w:spacing w:after="0" w:line="178" w:lineRule="exact"/>
        <w:rPr>
          <w:sz w:val="20"/>
          <w:szCs w:val="20"/>
          <w:color w:val="auto"/>
        </w:rPr>
      </w:pPr>
    </w:p>
    <w:p>
      <w:pPr>
        <w:ind w:right="80" w:firstLine="1017"/>
        <w:spacing w:after="0" w:line="258" w:lineRule="auto"/>
        <w:rPr>
          <w:sz w:val="20"/>
          <w:szCs w:val="20"/>
          <w:color w:val="auto"/>
        </w:rPr>
      </w:pPr>
      <w:r>
        <w:rPr>
          <w:rFonts w:ascii="Times New Roman" w:cs="Times New Roman" w:eastAsia="Times New Roman" w:hAnsi="Times New Roman"/>
          <w:sz w:val="14"/>
          <w:szCs w:val="14"/>
          <w:color w:val="auto"/>
        </w:rPr>
        <w:t>1.             With respect to any shares of Common Stock offered by the Company, including any Indeterminate Securities constituting Common Stock (the “Offered Common Stock”), when (a) the general conditions shall have been satisfied, (b) if the Offered Common Stock is to be certificated, certificates in the form required under the DGCL representing the shares of Offered Common Stock are duly executed and countersigned or, if the Offered Common Stock is to be issued in uncertificated form, a resolution of the Board of Directors has duly authorized the issuance of the Offered Common Stock in uncertificated form and (c) the shares of Offered Common Stock are registered in the Company’s share registry and delivered upon payment of the agreed-upon consideration therefor, the shares of Offered Common Stock, when issued and sold or otherwise distributed in accordance with the provisions of the applicable Transaction Document, will be duly authorized by all requisite corporate action on the part of the Company under the DGCL and validly issued, fully paid and nonassessable, provided that the consideration therefor is not less than $0.0001 per share of Common Stock.</w:t>
      </w:r>
    </w:p>
    <w:p>
      <w:pPr>
        <w:spacing w:after="0" w:line="144" w:lineRule="exact"/>
        <w:rPr>
          <w:sz w:val="20"/>
          <w:szCs w:val="20"/>
          <w:color w:val="auto"/>
        </w:rPr>
      </w:pPr>
    </w:p>
    <w:p>
      <w:pPr>
        <w:ind w:right="180" w:firstLine="1017"/>
        <w:spacing w:after="0" w:line="257" w:lineRule="auto"/>
        <w:rPr>
          <w:sz w:val="20"/>
          <w:szCs w:val="20"/>
          <w:color w:val="auto"/>
        </w:rPr>
      </w:pPr>
      <w:r>
        <w:rPr>
          <w:rFonts w:ascii="Times New Roman" w:cs="Times New Roman" w:eastAsia="Times New Roman" w:hAnsi="Times New Roman"/>
          <w:sz w:val="14"/>
          <w:szCs w:val="14"/>
          <w:color w:val="auto"/>
        </w:rPr>
        <w:t>2.             With respect to the shares of any series of Preferred Stock offered by the Company, including any Indeterminate Securities constituting Preferred Stock of such series (the “Offered Preferred Stock”), when (a) the general conditions shall have been satisfied, (b) the Board of Directors of the Company, or a duly authorized committee thereof, has duly adopted a Certificate of Designations for the Offered Preferred Stock in accordance with the DGCL (the “Certificate”), (c) the filing of the Certificate with the Secretary of State of the State of Delaware has duly occurred, (d) if the Offered Preferred Stock is to be certificated, certificates in the form required under the DGCL representing the shares of Offered Preferred Stock are duly executed and countersigned or, if the Offered Preferred Stock is to be issued in uncertificated form, a resolution of the Board of Directors has duly authorized the issuance of the Offered Preferred Stock in uncertificated form and (e) the shares of Offered Preferred Stock are registered in the Company's share registry and delivered upon payment of the agreed-upon consideration therefor, the shares of Offered Preferred Stock, when issued and sold or otherwise distributed in accordance with the provisions of the applicable Transaction Document, will be duly authorized by all requisite corporate action on the part of the Company under the DGCL and validly issued, fully paid and nonassessable, provided that the consideration therefor is not less than $0.0001 per share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16216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color w:val="auto"/>
        </w:rPr>
        <w:t>Lucid Group,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16, 2024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5</w:t>
      </w:r>
    </w:p>
    <w:p>
      <w:pPr>
        <w:spacing w:after="0" w:line="16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3.            With respect to any Depositary Shares offered by the Company, including any Indeterminate Securities constituting Depositary Shares (the “Offered Depositary Shares”), when</w:t>
      </w:r>
    </w:p>
    <w:p>
      <w:pPr>
        <w:spacing w:after="0" w:line="34" w:lineRule="exact"/>
        <w:rPr>
          <w:sz w:val="20"/>
          <w:szCs w:val="20"/>
          <w:color w:val="auto"/>
        </w:rPr>
      </w:pPr>
    </w:p>
    <w:p>
      <w:pPr>
        <w:ind w:right="60" w:firstLine="5"/>
        <w:spacing w:after="0" w:line="255" w:lineRule="auto"/>
        <w:tabs>
          <w:tab w:leader="none" w:pos="19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conditions shall have been satisfied, (b) the Preferred Stock relating to such Offered Depositary Shares has been duly authorized for issuance by the Company; (c) the Offered Depositary Shares have been duly executed, delivered, countersigned, issued and sold in accordance with the provisions of the applicable Depositary Agreement, and the Offered Depositary Shares have been delivered to the Bank Depositary for deposit in accordance with the applicable Depositary Agreement; and (d) the Receipts evidencing the Depositary Shares have been duly issued against deposit of the related shares of Preferred Stock with the Bank Depositary in accordance with the applicable Depositary Agreement, the Offered Depositary Shares evidenced by such Receipts will entitle the registered holder thereof to the rights specified in such Receipt and in the Deposit Agreement.</w:t>
      </w:r>
    </w:p>
    <w:p>
      <w:pPr>
        <w:spacing w:after="0" w:line="147" w:lineRule="exact"/>
        <w:rPr>
          <w:sz w:val="20"/>
          <w:szCs w:val="20"/>
          <w:color w:val="auto"/>
        </w:rPr>
      </w:pPr>
    </w:p>
    <w:p>
      <w:pPr>
        <w:ind w:right="60" w:firstLine="1017"/>
        <w:spacing w:after="0" w:line="258" w:lineRule="auto"/>
        <w:rPr>
          <w:sz w:val="20"/>
          <w:szCs w:val="20"/>
          <w:color w:val="auto"/>
        </w:rPr>
      </w:pPr>
      <w:r>
        <w:rPr>
          <w:rFonts w:ascii="Times New Roman" w:cs="Times New Roman" w:eastAsia="Times New Roman" w:hAnsi="Times New Roman"/>
          <w:sz w:val="14"/>
          <w:szCs w:val="14"/>
          <w:color w:val="auto"/>
        </w:rPr>
        <w:t>4.            With respect to any series of Debt Securities offered by the Company, including any Indeterminate Securities constituting Debt Securities of such series (the “Offered Debt Securities”), when (a) the general conditions shall have been satisfied, (b) the Indenture has been qualified under the Trust Indenture Act of 1939; (c) the issuance, sale and terms of the Offered Debt Securities and related matters have been approved and established in conformity with the applicable Transaction Documents and (d) the certificates evidencing the Offered Debt Securities have been issued in a form that complies with the provisions of the applicable Transaction Documents and have been duly executed and authenticated in accordance with the provisions of the Indenture and any other applicable Transaction Documents and issued and sold or otherwise distributed in accordance with the provisions of the applicable Transaction Document upon payment of the agreed-upon consideration therefor, the Offered Debt Securities will constitute valid and binding obligations of the Company, enforceable against the Company in accordance with their respective terms under the laws of the State of New York.</w:t>
      </w:r>
    </w:p>
    <w:p>
      <w:pPr>
        <w:spacing w:after="0" w:line="144" w:lineRule="exact"/>
        <w:rPr>
          <w:sz w:val="20"/>
          <w:szCs w:val="20"/>
          <w:color w:val="auto"/>
        </w:rPr>
      </w:pPr>
    </w:p>
    <w:p>
      <w:pPr>
        <w:ind w:firstLine="1017"/>
        <w:spacing w:after="0" w:line="261" w:lineRule="auto"/>
        <w:rPr>
          <w:sz w:val="20"/>
          <w:szCs w:val="20"/>
          <w:color w:val="auto"/>
        </w:rPr>
      </w:pPr>
      <w:r>
        <w:rPr>
          <w:rFonts w:ascii="Times New Roman" w:cs="Times New Roman" w:eastAsia="Times New Roman" w:hAnsi="Times New Roman"/>
          <w:sz w:val="14"/>
          <w:szCs w:val="14"/>
          <w:color w:val="auto"/>
        </w:rPr>
        <w:t>5.            With respect to any Warrants offered by the Company (the “Offered Warrants”), when (a) the general conditions shall have been satisfied, (b) the Common Stock, Preferred Stock and/or Debt Securities for which the Offered Warrants are exercisable have been duly authorized for issuance by the Company and (c) certificates evidencing the Offered Warrants have been duly executed, delivered and countersigned in accordance with the provisions of the applicable Warrant Agreement, the Offered Warrants, when issued and sold or otherwise distributed in accordance with the provisions of the applicable Transaction Document upon payment of the agreed-upon consideration therefor, will constitute valid and binding obligations of the Company, enforceable against the Company in accordance with their respective terms under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327660</wp:posOffset>
            </wp:positionV>
            <wp:extent cx="716216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color w:val="auto"/>
        </w:rPr>
        <w:t>Lucid Group,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16, 2024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6</w:t>
      </w:r>
    </w:p>
    <w:p>
      <w:pPr>
        <w:spacing w:after="0" w:line="164" w:lineRule="exact"/>
        <w:rPr>
          <w:sz w:val="20"/>
          <w:szCs w:val="20"/>
          <w:color w:val="auto"/>
        </w:rPr>
      </w:pPr>
    </w:p>
    <w:p>
      <w:pPr>
        <w:ind w:right="60" w:firstLine="1017"/>
        <w:spacing w:after="0" w:line="261" w:lineRule="auto"/>
        <w:rPr>
          <w:sz w:val="20"/>
          <w:szCs w:val="20"/>
          <w:color w:val="auto"/>
        </w:rPr>
      </w:pPr>
      <w:r>
        <w:rPr>
          <w:rFonts w:ascii="Times New Roman" w:cs="Times New Roman" w:eastAsia="Times New Roman" w:hAnsi="Times New Roman"/>
          <w:sz w:val="14"/>
          <w:szCs w:val="14"/>
          <w:color w:val="auto"/>
        </w:rPr>
        <w:t>6.            With respect to any Subscription Rights offered by the Company (the “Offered Subscription Rights”), when (a) the general conditions shall have been satisfied, (b) the Common Stock, Preferred Stock and/or Debt Securities relating to such Offered Subscription Rights have been duly authorized for issuance by the Company and (c) the Subscription Rights Certificates have been duly executed, delivered and countersigned in accordance with the provisions of the applicable Subscription Rights Agreement, the Offered Subscription Rights, when issued and sold or otherwise distributed in accordance with the provisions of the applicable Transaction Document upon payment of the agreed-upon consideration therefor, will constitute valid and binding obligations of the Company, enforceable against the Company in accordance with their respective terms under the laws of the State of New York.</w:t>
      </w:r>
    </w:p>
    <w:p>
      <w:pPr>
        <w:spacing w:after="0" w:line="141" w:lineRule="exact"/>
        <w:rPr>
          <w:sz w:val="20"/>
          <w:szCs w:val="20"/>
          <w:color w:val="auto"/>
        </w:rPr>
      </w:pPr>
    </w:p>
    <w:p>
      <w:pPr>
        <w:ind w:right="20" w:firstLine="1017"/>
        <w:spacing w:after="0" w:line="261" w:lineRule="auto"/>
        <w:rPr>
          <w:sz w:val="20"/>
          <w:szCs w:val="20"/>
          <w:color w:val="auto"/>
        </w:rPr>
      </w:pPr>
      <w:r>
        <w:rPr>
          <w:rFonts w:ascii="Times New Roman" w:cs="Times New Roman" w:eastAsia="Times New Roman" w:hAnsi="Times New Roman"/>
          <w:sz w:val="14"/>
          <w:szCs w:val="14"/>
          <w:color w:val="auto"/>
        </w:rPr>
        <w:t>7.            With respect to any Purchase Contracts offered by the Company (the “Offered Purchase Contracts”), when (a) the general conditions shall have been satisfied, (b) the Common Stock, Preferred Stock and/or Debt Securities relating to such Offered Purchase Contracts have been duly authorized for issuance by the Company and (c) the Offered Purchase Contracts have been duly executed, delivered and countersigned in accordance with the provisions of the applicable Purchase Contract Agreement, the Offered Purchase Contracts, when issued and sold or otherwise distributed in accordance with the provisions of the applicable Transaction Document upon payment of the agreed-upon consideration therefor, will constitute valid and binding obligations of the Company, enforceable against the Company in accordance with their respective terms under the laws of the State of New York.</w:t>
      </w:r>
    </w:p>
    <w:p>
      <w:pPr>
        <w:spacing w:after="0" w:line="141" w:lineRule="exact"/>
        <w:rPr>
          <w:sz w:val="20"/>
          <w:szCs w:val="20"/>
          <w:color w:val="auto"/>
        </w:rPr>
      </w:pPr>
    </w:p>
    <w:p>
      <w:pPr>
        <w:ind w:firstLine="1017"/>
        <w:spacing w:after="0" w:line="259" w:lineRule="auto"/>
        <w:rPr>
          <w:sz w:val="20"/>
          <w:szCs w:val="20"/>
          <w:color w:val="auto"/>
        </w:rPr>
      </w:pPr>
      <w:r>
        <w:rPr>
          <w:rFonts w:ascii="Times New Roman" w:cs="Times New Roman" w:eastAsia="Times New Roman" w:hAnsi="Times New Roman"/>
          <w:sz w:val="14"/>
          <w:szCs w:val="14"/>
          <w:color w:val="auto"/>
        </w:rPr>
        <w:t>8.            With respect to any Purchase Units offered by the Company (the “Offered Purchase Units”), when (a) the general conditions shall have been satisfied, (b) the Purchase Contract, Debt Securities, Preferred Stock or debt obligations of third parties, including U.S. treasury securities, or any combination of the foregoing, included in such Offered Purchase Units have been duly authorized for issuance, or in the case of debt obligations of third parties, for sale by the Company and (c) certificates evidencing the Offered Purchase Units have been duly executed, delivered and countersigned in accordance with the provisions of the applicable Purchase Unit Agreement, the Offered Purchase Units, when issued and sold or otherwise distributed in accordance with the provisions of the applicable Transaction Document upon payment of the agreed-upon consideration therefor, will constitute valid and binding obligations of the Company, enforceable against the Company in accordance with their respective terms under the laws of the State of New York.</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opinions stated herein are subject to the following assumptions and qualifications:</w:t>
      </w:r>
    </w:p>
    <w:p>
      <w:pPr>
        <w:spacing w:after="0" w:line="178" w:lineRule="exact"/>
        <w:rPr>
          <w:sz w:val="20"/>
          <w:szCs w:val="20"/>
          <w:color w:val="auto"/>
        </w:rPr>
      </w:pPr>
    </w:p>
    <w:p>
      <w:pPr>
        <w:jc w:val="both"/>
        <w:ind w:right="500" w:firstLine="1017"/>
        <w:spacing w:after="0" w:line="269" w:lineRule="auto"/>
        <w:rPr>
          <w:sz w:val="20"/>
          <w:szCs w:val="20"/>
          <w:color w:val="auto"/>
        </w:rPr>
      </w:pPr>
      <w:r>
        <w:rPr>
          <w:rFonts w:ascii="Times New Roman" w:cs="Times New Roman" w:eastAsia="Times New Roman" w:hAnsi="Times New Roman"/>
          <w:sz w:val="14"/>
          <w:szCs w:val="14"/>
          <w:color w:val="auto"/>
        </w:rPr>
        <w:t>(a)            we do not express any opinion with respect to the effect on the opinions stated herein of any bankruptcy, insolvency, reorganization, moratorium, fraudulent transfer, preference and other similar laws or governmental orders affecting creditors’ rights generally, and the opinions stated herein are limited by such laws and governmental orders, and by general principles of equity (regardless of whether enforcement is sought in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716216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color w:val="auto"/>
        </w:rPr>
        <w:t>Lucid Group,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16, 2024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7</w:t>
      </w:r>
    </w:p>
    <w:p>
      <w:pPr>
        <w:spacing w:after="0" w:line="164" w:lineRule="exact"/>
        <w:rPr>
          <w:sz w:val="20"/>
          <w:szCs w:val="20"/>
          <w:color w:val="auto"/>
        </w:rPr>
      </w:pPr>
    </w:p>
    <w:p>
      <w:pPr>
        <w:jc w:val="both"/>
        <w:ind w:firstLine="1017"/>
        <w:spacing w:after="0" w:line="269" w:lineRule="auto"/>
        <w:rPr>
          <w:sz w:val="20"/>
          <w:szCs w:val="20"/>
          <w:color w:val="auto"/>
        </w:rPr>
      </w:pPr>
      <w:r>
        <w:rPr>
          <w:rFonts w:ascii="Times New Roman" w:cs="Times New Roman" w:eastAsia="Times New Roman" w:hAnsi="Times New Roman"/>
          <w:sz w:val="14"/>
          <w:szCs w:val="14"/>
          <w:color w:val="auto"/>
        </w:rPr>
        <w:t>(b)           we do not express any opinion with respect to any law, rule or regulation that is applicable to any party to any of the Transaction Documents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136" w:lineRule="exact"/>
        <w:rPr>
          <w:sz w:val="20"/>
          <w:szCs w:val="20"/>
          <w:color w:val="auto"/>
        </w:rPr>
      </w:pPr>
    </w:p>
    <w:p>
      <w:pPr>
        <w:jc w:val="both"/>
        <w:ind w:right="20" w:firstLine="1017"/>
        <w:spacing w:after="0" w:line="286" w:lineRule="auto"/>
        <w:rPr>
          <w:sz w:val="20"/>
          <w:szCs w:val="20"/>
          <w:color w:val="auto"/>
        </w:rPr>
      </w:pPr>
      <w:r>
        <w:rPr>
          <w:rFonts w:ascii="Times New Roman" w:cs="Times New Roman" w:eastAsia="Times New Roman" w:hAnsi="Times New Roman"/>
          <w:sz w:val="14"/>
          <w:szCs w:val="14"/>
          <w:color w:val="auto"/>
        </w:rPr>
        <w:t>(c)            except to the extent expressly stated in the opinions contained herein, we have assumed that each of the Transaction Documents constitutes the valid and binding obligation of each party to such Transaction Document, enforceable against such party in accordance with its terms;</w:t>
      </w:r>
    </w:p>
    <w:p>
      <w:pPr>
        <w:spacing w:after="0" w:line="125" w:lineRule="exact"/>
        <w:rPr>
          <w:sz w:val="20"/>
          <w:szCs w:val="20"/>
          <w:color w:val="auto"/>
        </w:rPr>
      </w:pPr>
    </w:p>
    <w:p>
      <w:pPr>
        <w:jc w:val="both"/>
        <w:ind w:right="80" w:firstLine="1017"/>
        <w:spacing w:after="0" w:line="269" w:lineRule="auto"/>
        <w:rPr>
          <w:sz w:val="20"/>
          <w:szCs w:val="20"/>
          <w:color w:val="auto"/>
        </w:rPr>
      </w:pPr>
      <w:r>
        <w:rPr>
          <w:rFonts w:ascii="Times New Roman" w:cs="Times New Roman" w:eastAsia="Times New Roman" w:hAnsi="Times New Roman"/>
          <w:sz w:val="14"/>
          <w:szCs w:val="14"/>
          <w:color w:val="auto"/>
        </w:rPr>
        <w:t>(d)           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or regulations, or to the extent any such provision purports to, or has the effect of, waiving or altering any statute of limitations;</w:t>
      </w:r>
    </w:p>
    <w:p>
      <w:pPr>
        <w:spacing w:after="0" w:line="136" w:lineRule="exact"/>
        <w:rPr>
          <w:sz w:val="20"/>
          <w:szCs w:val="20"/>
          <w:color w:val="auto"/>
        </w:rPr>
      </w:pPr>
    </w:p>
    <w:p>
      <w:pPr>
        <w:jc w:val="both"/>
        <w:ind w:firstLine="1017"/>
        <w:spacing w:after="0" w:line="286" w:lineRule="auto"/>
        <w:rPr>
          <w:sz w:val="20"/>
          <w:szCs w:val="20"/>
          <w:color w:val="auto"/>
        </w:rPr>
      </w:pPr>
      <w:r>
        <w:rPr>
          <w:rFonts w:ascii="Times New Roman" w:cs="Times New Roman" w:eastAsia="Times New Roman" w:hAnsi="Times New Roman"/>
          <w:sz w:val="14"/>
          <w:szCs w:val="14"/>
          <w:color w:val="auto"/>
        </w:rPr>
        <w:t>(e)           we do not express any opinion with respect to the enforceability of any provision of any Transaction Document to the extent that such section purports to bind the Company to the exclusive jurisdiction of any particular federal court or courts;</w:t>
      </w:r>
    </w:p>
    <w:p>
      <w:pPr>
        <w:spacing w:after="0" w:line="125" w:lineRule="exact"/>
        <w:rPr>
          <w:sz w:val="20"/>
          <w:szCs w:val="20"/>
          <w:color w:val="auto"/>
        </w:rPr>
      </w:pPr>
    </w:p>
    <w:p>
      <w:pPr>
        <w:jc w:val="both"/>
        <w:ind w:right="20" w:firstLine="1017"/>
        <w:spacing w:after="0" w:line="269" w:lineRule="auto"/>
        <w:rPr>
          <w:sz w:val="20"/>
          <w:szCs w:val="20"/>
          <w:color w:val="auto"/>
        </w:rPr>
      </w:pPr>
      <w:r>
        <w:rPr>
          <w:rFonts w:ascii="Times New Roman" w:cs="Times New Roman" w:eastAsia="Times New Roman" w:hAnsi="Times New Roman"/>
          <w:sz w:val="14"/>
          <w:szCs w:val="14"/>
          <w:color w:val="auto"/>
        </w:rPr>
        <w:t>(f)            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spacing w:after="0" w:line="136" w:lineRule="exact"/>
        <w:rPr>
          <w:sz w:val="20"/>
          <w:szCs w:val="20"/>
          <w:color w:val="auto"/>
        </w:rPr>
      </w:pPr>
    </w:p>
    <w:p>
      <w:pPr>
        <w:jc w:val="both"/>
        <w:ind w:right="60" w:firstLine="1017"/>
        <w:spacing w:after="0" w:line="269" w:lineRule="auto"/>
        <w:rPr>
          <w:sz w:val="20"/>
          <w:szCs w:val="20"/>
          <w:color w:val="auto"/>
        </w:rPr>
      </w:pPr>
      <w:r>
        <w:rPr>
          <w:rFonts w:ascii="Times New Roman" w:cs="Times New Roman" w:eastAsia="Times New Roman" w:hAnsi="Times New Roman"/>
          <w:sz w:val="14"/>
          <w:szCs w:val="14"/>
          <w:color w:val="auto"/>
        </w:rPr>
        <w:t>(g)           the opinions stated herein are limited to the agreements and documents specifically identified in the opinions contained herein (the “Specified Documents”) without regard to any agreement or other document referenced in any such Specified Document (including agreements or other documents incorporated by reference or attached or annexed thereto) and without regard to any other agreement or document relating to any such Specified Document that is not a Transaction Document;</w:t>
      </w:r>
    </w:p>
    <w:p>
      <w:pPr>
        <w:spacing w:after="0" w:line="136" w:lineRule="exact"/>
        <w:rPr>
          <w:sz w:val="20"/>
          <w:szCs w:val="20"/>
          <w:color w:val="auto"/>
        </w:rPr>
      </w:pPr>
    </w:p>
    <w:p>
      <w:pPr>
        <w:jc w:val="both"/>
        <w:ind w:right="60" w:firstLine="1017"/>
        <w:spacing w:after="0" w:line="327" w:lineRule="auto"/>
        <w:rPr>
          <w:sz w:val="20"/>
          <w:szCs w:val="20"/>
          <w:color w:val="auto"/>
        </w:rPr>
      </w:pPr>
      <w:r>
        <w:rPr>
          <w:rFonts w:ascii="Times New Roman" w:cs="Times New Roman" w:eastAsia="Times New Roman" w:hAnsi="Times New Roman"/>
          <w:sz w:val="13"/>
          <w:szCs w:val="13"/>
          <w:color w:val="auto"/>
        </w:rPr>
        <w:t>(h)           we have assumed that any agent of service will have accepted appointment as agent to receive service of process and call to your attention that we do not express any opinion if and to the extent such agent shall resign such appointment. Further, we do not express any opinion with respect to the irrevocability of the designation of such agent to receive service of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302260</wp:posOffset>
            </wp:positionV>
            <wp:extent cx="716216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color w:val="auto"/>
        </w:rPr>
        <w:t>Lucid Group,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16, 2024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8</w:t>
      </w:r>
    </w:p>
    <w:p>
      <w:pPr>
        <w:spacing w:after="0" w:line="164" w:lineRule="exact"/>
        <w:rPr>
          <w:sz w:val="20"/>
          <w:szCs w:val="20"/>
          <w:color w:val="auto"/>
        </w:rPr>
      </w:pPr>
    </w:p>
    <w:p>
      <w:pPr>
        <w:ind w:right="140" w:firstLine="1017"/>
        <w:spacing w:after="0" w:line="269" w:lineRule="auto"/>
        <w:rPr>
          <w:sz w:val="20"/>
          <w:szCs w:val="20"/>
          <w:color w:val="auto"/>
        </w:rPr>
      </w:pPr>
      <w:r>
        <w:rPr>
          <w:rFonts w:ascii="Times New Roman" w:cs="Times New Roman" w:eastAsia="Times New Roman" w:hAnsi="Times New Roman"/>
          <w:sz w:val="14"/>
          <w:szCs w:val="14"/>
          <w:color w:val="auto"/>
        </w:rPr>
        <w:t>(i)            subsequent to the effectiveness of the Indenture and immediately prior to the issuance of any series Offered Debt Securities, the Indenture has not been amended, restated, supplemented or otherwise modified in any way that affects or relates to such series of Offered Debt Securities other than by the applicable Transaction Documents relating to such series of Offered Debt Securities;</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(j)            this opinion letter shall be interpreted in accordance with customary practice of United States lawyers who regularly give opinions in transactions of this type;</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(k)            we have assumed that the choice of New York law to govern any Transaction Documents and that such choice is and will be a valid and legal provision;</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(l)            we have assumed that the Indenture will be duly authorized, executed and delivered by the trustee in substantially the form reviewed by us;</w:t>
      </w:r>
    </w:p>
    <w:p>
      <w:pPr>
        <w:spacing w:after="0" w:line="178" w:lineRule="exact"/>
        <w:rPr>
          <w:sz w:val="20"/>
          <w:szCs w:val="20"/>
          <w:color w:val="auto"/>
        </w:rPr>
      </w:pPr>
    </w:p>
    <w:p>
      <w:pPr>
        <w:ind w:right="40" w:firstLine="1017"/>
        <w:spacing w:after="0" w:line="286" w:lineRule="auto"/>
        <w:rPr>
          <w:sz w:val="20"/>
          <w:szCs w:val="20"/>
          <w:color w:val="auto"/>
        </w:rPr>
      </w:pPr>
      <w:r>
        <w:rPr>
          <w:rFonts w:ascii="Times New Roman" w:cs="Times New Roman" w:eastAsia="Times New Roman" w:hAnsi="Times New Roman"/>
          <w:sz w:val="14"/>
          <w:szCs w:val="14"/>
          <w:color w:val="auto"/>
        </w:rPr>
        <w:t>(i)            we do not express any opinion with respect to the enforceability of any provision contained in any Transaction Document providing for indemnity by any party thereto against any loss in obtaining the currency due to such party under any Transaction Document from a court judgment in another currency;</w:t>
      </w:r>
    </w:p>
    <w:p>
      <w:pPr>
        <w:spacing w:after="0" w:line="125" w:lineRule="exact"/>
        <w:rPr>
          <w:sz w:val="20"/>
          <w:szCs w:val="20"/>
          <w:color w:val="auto"/>
        </w:rPr>
      </w:pPr>
    </w:p>
    <w:p>
      <w:pPr>
        <w:ind w:right="100" w:firstLine="1017"/>
        <w:spacing w:after="0" w:line="286" w:lineRule="auto"/>
        <w:rPr>
          <w:sz w:val="20"/>
          <w:szCs w:val="20"/>
          <w:color w:val="auto"/>
        </w:rPr>
      </w:pPr>
      <w:r>
        <w:rPr>
          <w:rFonts w:ascii="Times New Roman" w:cs="Times New Roman" w:eastAsia="Times New Roman" w:hAnsi="Times New Roman"/>
          <w:sz w:val="14"/>
          <w:szCs w:val="14"/>
          <w:color w:val="auto"/>
        </w:rPr>
        <w:t>(j)            we have assumed that the choice of a currency other than U.S. dollars as the currency in which any Securities may be denominated does not contravene any exchange control or other laws of the jurisdiction of any such currency, and further we call to your attention that a court may not award a judgment in any currency other than U.S. dollars; and</w:t>
      </w:r>
    </w:p>
    <w:p>
      <w:pPr>
        <w:spacing w:after="0" w:line="125" w:lineRule="exact"/>
        <w:rPr>
          <w:sz w:val="20"/>
          <w:szCs w:val="20"/>
          <w:color w:val="auto"/>
        </w:rPr>
      </w:pPr>
    </w:p>
    <w:p>
      <w:pPr>
        <w:jc w:val="both"/>
        <w:ind w:right="140" w:firstLine="1017"/>
        <w:spacing w:after="0" w:line="269" w:lineRule="auto"/>
        <w:rPr>
          <w:sz w:val="20"/>
          <w:szCs w:val="20"/>
          <w:color w:val="auto"/>
        </w:rPr>
      </w:pPr>
      <w:r>
        <w:rPr>
          <w:rFonts w:ascii="Times New Roman" w:cs="Times New Roman" w:eastAsia="Times New Roman" w:hAnsi="Times New Roman"/>
          <w:sz w:val="14"/>
          <w:szCs w:val="14"/>
          <w:color w:val="auto"/>
        </w:rPr>
        <w:t>(k)            to the extent that any opinion relates to the enforceability of the choice of New York law and choice of New York forum provisions contained in any Transaction Document, the opinions stated herein are subject to the qualification that such enforceability may be subject to, in each case, (i) the exceptions and limitations in New York General Obligations Law sections 5-1401 and 5-1402 and (ii) principles of comity and constitutionality.</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In addition, in rendering the foregoing opinions we have also assumed that:</w:t>
      </w:r>
    </w:p>
    <w:p>
      <w:pPr>
        <w:spacing w:after="0" w:line="178" w:lineRule="exact"/>
        <w:rPr>
          <w:sz w:val="20"/>
          <w:szCs w:val="20"/>
          <w:color w:val="auto"/>
        </w:rPr>
      </w:pPr>
    </w:p>
    <w:p>
      <w:pPr>
        <w:ind w:firstLine="1017"/>
        <w:spacing w:after="0" w:line="263" w:lineRule="auto"/>
        <w:rPr>
          <w:sz w:val="20"/>
          <w:szCs w:val="20"/>
          <w:color w:val="auto"/>
        </w:rPr>
      </w:pPr>
      <w:r>
        <w:rPr>
          <w:rFonts w:ascii="Times New Roman" w:cs="Times New Roman" w:eastAsia="Times New Roman" w:hAnsi="Times New Roman"/>
          <w:sz w:val="14"/>
          <w:szCs w:val="14"/>
          <w:color w:val="auto"/>
        </w:rPr>
        <w:t>(a)            neither the execution and delivery by the Company of the Transaction Documents nor the performance by the Company of its obligations thereunder, including the issuance and sale of the applicable Securities: (i) constitutes or will constitute a violation of, or a default under, any lease, indenture, agreement or other instrument to which the Company or its property is subject, (ii) contravenes or will contravene any order or decree of any governmental authority to which the Company or its property is subject, or (iii) violates or will violate any law, rule or regulation to which the Company or its property is subject (except that we do not make the assumption set forth in this clause (iii) with respect to the Opined-on Law); and</w:t>
      </w:r>
    </w:p>
    <w:p>
      <w:pPr>
        <w:spacing w:after="0" w:line="142" w:lineRule="exact"/>
        <w:rPr>
          <w:sz w:val="20"/>
          <w:szCs w:val="20"/>
          <w:color w:val="auto"/>
        </w:rPr>
      </w:pPr>
    </w:p>
    <w:p>
      <w:pPr>
        <w:ind w:right="140" w:firstLine="1017"/>
        <w:spacing w:after="0" w:line="269" w:lineRule="auto"/>
        <w:rPr>
          <w:sz w:val="20"/>
          <w:szCs w:val="20"/>
          <w:color w:val="auto"/>
        </w:rPr>
      </w:pPr>
      <w:r>
        <w:rPr>
          <w:rFonts w:ascii="Times New Roman" w:cs="Times New Roman" w:eastAsia="Times New Roman" w:hAnsi="Times New Roman"/>
          <w:sz w:val="14"/>
          <w:szCs w:val="14"/>
          <w:color w:val="auto"/>
        </w:rPr>
        <w:t>(b)            neither the execution and delivery by the Company of the Transaction Documents nor the performance by the Company of its obligations thereunder, including the issuance and sale of the applicable Securities, requires or will require the consent, approval, licensing or authorization of, or any filing, recording or registration with, any governmental authority under any law, rule or regulation of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324485</wp:posOffset>
            </wp:positionV>
            <wp:extent cx="716216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60"/>
          </w:cols>
          <w:pgMar w:left="300" w:top="739"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color w:val="auto"/>
        </w:rPr>
        <w:t>Lucid Group,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16, 2024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9</w:t>
      </w:r>
    </w:p>
    <w:p>
      <w:pPr>
        <w:spacing w:after="0" w:line="164" w:lineRule="exact"/>
        <w:rPr>
          <w:sz w:val="20"/>
          <w:szCs w:val="20"/>
          <w:color w:val="auto"/>
        </w:rPr>
      </w:pPr>
    </w:p>
    <w:p>
      <w:pPr>
        <w:ind w:firstLine="1017"/>
        <w:spacing w:after="0" w:line="263" w:lineRule="auto"/>
        <w:rPr>
          <w:sz w:val="20"/>
          <w:szCs w:val="20"/>
          <w:color w:val="auto"/>
        </w:rPr>
      </w:pPr>
      <w:r>
        <w:rPr>
          <w:rFonts w:ascii="Times New Roman" w:cs="Times New Roman" w:eastAsia="Times New Roman" w:hAnsi="Times New Roman"/>
          <w:sz w:val="14"/>
          <w:szCs w:val="14"/>
          <w:color w:val="auto"/>
        </w:rPr>
        <w:t>We hereby consent to the reference to our firm under the heading “Legal Matters” in the prospectus forming part of the Registration Statement. We also hereby consent to the filing of this opinion with the Commission as an exhibit to the Registration Statement. In giving this consent, we do not thereby admit that we are within the category of persons whose consent is required under Section 7 of the Securities Act or the Rules and Regulations. This opinion is expressed as of the date hereof unless otherwise expressly stated, and we disclaim any undertaking to advise you of any subsequent changes in the facts stated or assumed herein or of any subsequent changes in applicable laws.</w:t>
      </w:r>
    </w:p>
    <w:p>
      <w:pPr>
        <w:spacing w:after="0" w:line="14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Skadden, Arps, Slate, Meagher &amp; Flom LLP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BDP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16216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20"/>
          </w:cols>
          <w:pgMar w:left="300" w:top="739" w:right="37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800100" cy="389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800100" cy="38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KPMG LLP</w:t>
      </w:r>
    </w:p>
    <w:p>
      <w:pPr>
        <w:spacing w:after="0" w:line="2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Mission Towers I</w:t>
      </w:r>
    </w:p>
    <w:p>
      <w:pPr>
        <w:spacing w:after="0" w:line="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Suite 600</w:t>
      </w:r>
    </w:p>
    <w:p>
      <w:pPr>
        <w:spacing w:after="0" w:line="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3975 Freedom Circle Drive</w:t>
      </w:r>
    </w:p>
    <w:p>
      <w:pPr>
        <w:spacing w:after="0" w:line="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Santa Clara, CA 95054</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190"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7"/>
          <w:szCs w:val="17"/>
          <w:color w:val="auto"/>
        </w:rPr>
        <w:t>We consent to the use of our report dated February 27, 2024, with respect to the consolidated financial statements of Lucid Group, Inc., and the effectiveness of internal control over financial reporting, incorporated herein by reference, and to the reference to our firm under the heading “Experts” in the prospectus.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Santa Clara, California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15, 2024</w:t>
      </w:r>
    </w:p>
    <w:p>
      <w:pPr>
        <w:spacing w:after="0" w:line="17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1"/>
          <w:szCs w:val="11"/>
          <w:color w:val="auto"/>
        </w:rPr>
        <w:t>KPMG LLP, a Delaware limited liability partnership and a member firm of</w:t>
      </w:r>
    </w:p>
    <w:p>
      <w:pPr>
        <w:ind w:left="3960"/>
        <w:spacing w:after="0" w:line="224" w:lineRule="auto"/>
        <w:rPr>
          <w:sz w:val="20"/>
          <w:szCs w:val="20"/>
          <w:color w:val="auto"/>
        </w:rPr>
      </w:pPr>
      <w:r>
        <w:rPr>
          <w:rFonts w:ascii="Times New Roman" w:cs="Times New Roman" w:eastAsia="Times New Roman" w:hAnsi="Times New Roman"/>
          <w:sz w:val="11"/>
          <w:szCs w:val="11"/>
          <w:color w:val="auto"/>
        </w:rPr>
        <w:t>the KPMG global organization of independent member firms affiliated with</w:t>
      </w:r>
    </w:p>
    <w:p>
      <w:pPr>
        <w:ind w:left="3960"/>
        <w:spacing w:after="0"/>
        <w:rPr>
          <w:sz w:val="20"/>
          <w:szCs w:val="20"/>
          <w:color w:val="auto"/>
        </w:rPr>
      </w:pPr>
      <w:r>
        <w:rPr>
          <w:rFonts w:ascii="Times New Roman" w:cs="Times New Roman" w:eastAsia="Times New Roman" w:hAnsi="Times New Roman"/>
          <w:sz w:val="11"/>
          <w:szCs w:val="11"/>
          <w:color w:val="auto"/>
        </w:rPr>
        <w:t>KPMG International Limited, a private English company limited by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16216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305" w:right="31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have issued our report dated February 28, 2023 with respect to the consolidated financial statements of Lucid Group, Inc. as of and for the two years in the period ended December 31, 2022, included in the Annual Report on Form 10-K for the year ended December 31, 2023, which are incorporated by reference in this Registration Statement. We consent to the incorporation by reference of the aforementioned report in this Registration Statement, and to the use of our name as it appears under the caption “Experts.”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6216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4"/>
          <w:szCs w:val="14"/>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162165" cy="133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162165"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177165</wp:posOffset>
            </wp:positionV>
            <wp:extent cx="716216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139065</wp:posOffset>
            </wp:positionV>
            <wp:extent cx="179578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1795780" cy="698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T-1</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 OF ELIGIBILITY UNDER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TRUST INDENTURE ACT OF 1939 OF 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CORPORATION DESIGNATED TO ACT AS TRUSTEE</w:t>
      </w:r>
    </w:p>
    <w:p>
      <w:pPr>
        <w:spacing w:after="0" w:line="5" w:lineRule="exact"/>
        <w:rPr>
          <w:sz w:val="20"/>
          <w:szCs w:val="20"/>
          <w:color w:val="auto"/>
        </w:rPr>
      </w:pPr>
    </w:p>
    <w:p>
      <w:pPr>
        <w:jc w:val="cente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Check if an Application to Determine Eligibility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112395</wp:posOffset>
            </wp:positionV>
            <wp:extent cx="179578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1795780" cy="6985"/>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U.S. BANK TRUST COMPANY, NATIONAL ASSOCIATION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Trustee as specified in its charter)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91-1821036</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165"/>
        </w:trPr>
        <w:tc>
          <w:tcPr>
            <w:tcW w:w="56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800 Nicollet Mall</w:t>
            </w:r>
          </w:p>
        </w:tc>
        <w:tc>
          <w:tcPr>
            <w:tcW w:w="1720" w:type="dxa"/>
            <w:vAlign w:val="bottom"/>
            <w:tcBorders>
              <w:top w:val="single" w:sz="8" w:color="auto"/>
            </w:tcBorders>
          </w:tcPr>
          <w:p>
            <w:pPr>
              <w:spacing w:after="0"/>
              <w:rPr>
                <w:sz w:val="14"/>
                <w:szCs w:val="14"/>
                <w:color w:val="auto"/>
              </w:rPr>
            </w:pPr>
          </w:p>
        </w:tc>
        <w:tc>
          <w:tcPr>
            <w:tcW w:w="3920" w:type="dxa"/>
            <w:vAlign w:val="bottom"/>
            <w:tcBorders>
              <w:top w:val="single" w:sz="8" w:color="auto"/>
              <w:right w:val="single" w:sz="8" w:color="auto"/>
            </w:tcBorders>
          </w:tcPr>
          <w:p>
            <w:pPr>
              <w:spacing w:after="0"/>
              <w:rPr>
                <w:sz w:val="14"/>
                <w:szCs w:val="14"/>
                <w:color w:val="auto"/>
              </w:rPr>
            </w:pPr>
          </w:p>
        </w:tc>
      </w:tr>
      <w:tr>
        <w:trPr>
          <w:trHeight w:val="184"/>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Minneapolis, Minnesota</w:t>
            </w:r>
          </w:p>
        </w:tc>
        <w:tc>
          <w:tcPr>
            <w:tcW w:w="1720" w:type="dxa"/>
            <w:vAlign w:val="bottom"/>
            <w:tcBorders>
              <w:bottom w:val="single" w:sz="8" w:color="auto"/>
            </w:tcBorders>
          </w:tcPr>
          <w:p>
            <w:pPr>
              <w:spacing w:after="0"/>
              <w:rPr>
                <w:sz w:val="15"/>
                <w:szCs w:val="15"/>
                <w:color w:val="auto"/>
              </w:rPr>
            </w:pPr>
          </w:p>
        </w:tc>
        <w:tc>
          <w:tcPr>
            <w:tcW w:w="3920" w:type="dxa"/>
            <w:vAlign w:val="bottom"/>
            <w:tcBorders>
              <w:bottom w:val="single" w:sz="8" w:color="auto"/>
              <w:right w:val="single" w:sz="8" w:color="auto"/>
            </w:tcBorders>
          </w:tcPr>
          <w:p>
            <w:pPr>
              <w:jc w:val="center"/>
              <w:ind w:right="1689"/>
              <w:spacing w:after="0"/>
              <w:rPr>
                <w:sz w:val="20"/>
                <w:szCs w:val="20"/>
                <w:color w:val="auto"/>
              </w:rPr>
            </w:pPr>
            <w:r>
              <w:rPr>
                <w:rFonts w:ascii="Times New Roman" w:cs="Times New Roman" w:eastAsia="Times New Roman" w:hAnsi="Times New Roman"/>
                <w:sz w:val="14"/>
                <w:szCs w:val="14"/>
                <w:color w:val="auto"/>
              </w:rPr>
              <w:t>55402</w:t>
            </w:r>
          </w:p>
        </w:tc>
      </w:tr>
      <w:tr>
        <w:trPr>
          <w:trHeight w:val="160"/>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720" w:type="dxa"/>
            <w:vAlign w:val="bottom"/>
            <w:tcBorders>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jc w:val="center"/>
              <w:ind w:right="1689"/>
              <w:spacing w:after="0"/>
              <w:rPr>
                <w:sz w:val="20"/>
                <w:szCs w:val="20"/>
                <w:color w:val="auto"/>
              </w:rPr>
            </w:pPr>
            <w:r>
              <w:rPr>
                <w:rFonts w:ascii="Times New Roman" w:cs="Times New Roman" w:eastAsia="Times New Roman" w:hAnsi="Times New Roman"/>
                <w:sz w:val="14"/>
                <w:szCs w:val="14"/>
                <w:color w:val="auto"/>
              </w:rPr>
              <w:t>(Zip Code)</w:t>
            </w:r>
          </w:p>
        </w:tc>
      </w:tr>
      <w:tr>
        <w:trPr>
          <w:trHeight w:val="315"/>
        </w:trPr>
        <w:tc>
          <w:tcPr>
            <w:tcW w:w="7380" w:type="dxa"/>
            <w:vAlign w:val="bottom"/>
            <w:gridSpan w:val="2"/>
          </w:tcPr>
          <w:p>
            <w:pPr>
              <w:jc w:val="center"/>
              <w:ind w:left="3825"/>
              <w:spacing w:after="0"/>
              <w:rPr>
                <w:sz w:val="20"/>
                <w:szCs w:val="20"/>
                <w:color w:val="auto"/>
              </w:rPr>
            </w:pPr>
            <w:r>
              <w:rPr>
                <w:rFonts w:ascii="Times New Roman" w:cs="Times New Roman" w:eastAsia="Times New Roman" w:hAnsi="Times New Roman"/>
                <w:sz w:val="14"/>
                <w:szCs w:val="14"/>
                <w:color w:val="auto"/>
              </w:rPr>
              <w:t>Bradley E. Scarbrough</w:t>
            </w:r>
          </w:p>
        </w:tc>
        <w:tc>
          <w:tcPr>
            <w:tcW w:w="3920" w:type="dxa"/>
            <w:vAlign w:val="bottom"/>
          </w:tcPr>
          <w:p>
            <w:pPr>
              <w:spacing w:after="0"/>
              <w:rPr>
                <w:sz w:val="24"/>
                <w:szCs w:val="24"/>
                <w:color w:val="auto"/>
              </w:rPr>
            </w:pPr>
          </w:p>
        </w:tc>
      </w:tr>
      <w:tr>
        <w:trPr>
          <w:trHeight w:val="173"/>
        </w:trPr>
        <w:tc>
          <w:tcPr>
            <w:tcW w:w="7380" w:type="dxa"/>
            <w:vAlign w:val="bottom"/>
            <w:gridSpan w:val="2"/>
          </w:tcPr>
          <w:p>
            <w:pPr>
              <w:jc w:val="center"/>
              <w:ind w:left="3845"/>
              <w:spacing w:after="0"/>
              <w:rPr>
                <w:sz w:val="20"/>
                <w:szCs w:val="20"/>
                <w:color w:val="auto"/>
              </w:rPr>
            </w:pPr>
            <w:r>
              <w:rPr>
                <w:rFonts w:ascii="Times New Roman" w:cs="Times New Roman" w:eastAsia="Times New Roman" w:hAnsi="Times New Roman"/>
                <w:sz w:val="14"/>
                <w:szCs w:val="14"/>
                <w:color w:val="auto"/>
              </w:rPr>
              <w:t>U.S. Bank Trust Company, National Association</w:t>
            </w:r>
          </w:p>
        </w:tc>
        <w:tc>
          <w:tcPr>
            <w:tcW w:w="3920" w:type="dxa"/>
            <w:vAlign w:val="bottom"/>
          </w:tcPr>
          <w:p>
            <w:pPr>
              <w:spacing w:after="0"/>
              <w:rPr>
                <w:sz w:val="15"/>
                <w:szCs w:val="15"/>
                <w:color w:val="auto"/>
              </w:rPr>
            </w:pPr>
          </w:p>
        </w:tc>
      </w:tr>
      <w:tr>
        <w:trPr>
          <w:trHeight w:val="197"/>
        </w:trPr>
        <w:tc>
          <w:tcPr>
            <w:tcW w:w="7380" w:type="dxa"/>
            <w:vAlign w:val="bottom"/>
            <w:gridSpan w:val="2"/>
          </w:tcPr>
          <w:p>
            <w:pPr>
              <w:jc w:val="center"/>
              <w:ind w:left="3825"/>
              <w:spacing w:after="0" w:line="198" w:lineRule="exact"/>
              <w:rPr>
                <w:sz w:val="20"/>
                <w:szCs w:val="20"/>
                <w:color w:val="auto"/>
              </w:rPr>
            </w:pPr>
            <w:r>
              <w:rPr>
                <w:rFonts w:ascii="Times New Roman" w:cs="Times New Roman" w:eastAsia="Times New Roman" w:hAnsi="Times New Roman"/>
                <w:sz w:val="14"/>
                <w:szCs w:val="14"/>
                <w:color w:val="auto"/>
                <w:w w:val="97"/>
              </w:rPr>
              <w:t>633 West 5</w:t>
            </w:r>
            <w:r>
              <w:rPr>
                <w:rFonts w:ascii="Times New Roman" w:cs="Times New Roman" w:eastAsia="Times New Roman" w:hAnsi="Times New Roman"/>
                <w:sz w:val="22"/>
                <w:szCs w:val="22"/>
                <w:color w:val="auto"/>
                <w:w w:val="97"/>
                <w:vertAlign w:val="superscript"/>
              </w:rPr>
              <w:t>th</w:t>
            </w:r>
            <w:r>
              <w:rPr>
                <w:rFonts w:ascii="Times New Roman" w:cs="Times New Roman" w:eastAsia="Times New Roman" w:hAnsi="Times New Roman"/>
                <w:sz w:val="14"/>
                <w:szCs w:val="14"/>
                <w:color w:val="auto"/>
                <w:w w:val="97"/>
              </w:rPr>
              <w:t xml:space="preserve"> Street, 24</w:t>
            </w:r>
            <w:r>
              <w:rPr>
                <w:rFonts w:ascii="Times New Roman" w:cs="Times New Roman" w:eastAsia="Times New Roman" w:hAnsi="Times New Roman"/>
                <w:sz w:val="22"/>
                <w:szCs w:val="22"/>
                <w:color w:val="auto"/>
                <w:w w:val="97"/>
                <w:vertAlign w:val="superscript"/>
              </w:rPr>
              <w:t>th</w:t>
            </w:r>
            <w:r>
              <w:rPr>
                <w:rFonts w:ascii="Times New Roman" w:cs="Times New Roman" w:eastAsia="Times New Roman" w:hAnsi="Times New Roman"/>
                <w:sz w:val="14"/>
                <w:szCs w:val="14"/>
                <w:color w:val="auto"/>
                <w:w w:val="97"/>
              </w:rPr>
              <w:t xml:space="preserve"> Floor,</w:t>
            </w:r>
          </w:p>
        </w:tc>
        <w:tc>
          <w:tcPr>
            <w:tcW w:w="3920" w:type="dxa"/>
            <w:vAlign w:val="bottom"/>
          </w:tcPr>
          <w:p>
            <w:pPr>
              <w:spacing w:after="0"/>
              <w:rPr>
                <w:sz w:val="17"/>
                <w:szCs w:val="17"/>
                <w:color w:val="auto"/>
              </w:rPr>
            </w:pPr>
          </w:p>
        </w:tc>
      </w:tr>
      <w:tr>
        <w:trPr>
          <w:trHeight w:val="169"/>
        </w:trPr>
        <w:tc>
          <w:tcPr>
            <w:tcW w:w="7380" w:type="dxa"/>
            <w:vAlign w:val="bottom"/>
            <w:gridSpan w:val="2"/>
          </w:tcPr>
          <w:p>
            <w:pPr>
              <w:jc w:val="center"/>
              <w:ind w:left="3825"/>
              <w:spacing w:after="0"/>
              <w:rPr>
                <w:sz w:val="20"/>
                <w:szCs w:val="20"/>
                <w:color w:val="auto"/>
              </w:rPr>
            </w:pPr>
            <w:r>
              <w:rPr>
                <w:rFonts w:ascii="Times New Roman" w:cs="Times New Roman" w:eastAsia="Times New Roman" w:hAnsi="Times New Roman"/>
                <w:sz w:val="14"/>
                <w:szCs w:val="14"/>
                <w:color w:val="auto"/>
              </w:rPr>
              <w:t>Los Angeles, CA 90071</w:t>
            </w:r>
          </w:p>
        </w:tc>
        <w:tc>
          <w:tcPr>
            <w:tcW w:w="3920" w:type="dxa"/>
            <w:vAlign w:val="bottom"/>
          </w:tcPr>
          <w:p>
            <w:pPr>
              <w:spacing w:after="0"/>
              <w:rPr>
                <w:sz w:val="14"/>
                <w:szCs w:val="14"/>
                <w:color w:val="auto"/>
              </w:rPr>
            </w:pPr>
          </w:p>
        </w:tc>
      </w:tr>
      <w:tr>
        <w:trPr>
          <w:trHeight w:val="169"/>
        </w:trPr>
        <w:tc>
          <w:tcPr>
            <w:tcW w:w="7380" w:type="dxa"/>
            <w:vAlign w:val="bottom"/>
            <w:gridSpan w:val="2"/>
          </w:tcPr>
          <w:p>
            <w:pPr>
              <w:jc w:val="center"/>
              <w:ind w:left="3825"/>
              <w:spacing w:after="0"/>
              <w:rPr>
                <w:sz w:val="20"/>
                <w:szCs w:val="20"/>
                <w:color w:val="auto"/>
              </w:rPr>
            </w:pPr>
            <w:r>
              <w:rPr>
                <w:rFonts w:ascii="Times New Roman" w:cs="Times New Roman" w:eastAsia="Times New Roman" w:hAnsi="Times New Roman"/>
                <w:sz w:val="14"/>
                <w:szCs w:val="14"/>
                <w:color w:val="auto"/>
              </w:rPr>
              <w:t>(213) 615-6047</w:t>
            </w:r>
          </w:p>
        </w:tc>
        <w:tc>
          <w:tcPr>
            <w:tcW w:w="3920" w:type="dxa"/>
            <w:vAlign w:val="bottom"/>
          </w:tcPr>
          <w:p>
            <w:pPr>
              <w:spacing w:after="0"/>
              <w:rPr>
                <w:sz w:val="14"/>
                <w:szCs w:val="14"/>
                <w:color w:val="auto"/>
              </w:rPr>
            </w:pPr>
          </w:p>
        </w:tc>
      </w:tr>
      <w:tr>
        <w:trPr>
          <w:trHeight w:val="184"/>
        </w:trPr>
        <w:tc>
          <w:tcPr>
            <w:tcW w:w="7380" w:type="dxa"/>
            <w:vAlign w:val="bottom"/>
            <w:gridSpan w:val="2"/>
          </w:tcPr>
          <w:p>
            <w:pPr>
              <w:jc w:val="center"/>
              <w:ind w:left="3845"/>
              <w:spacing w:after="0"/>
              <w:rPr>
                <w:sz w:val="20"/>
                <w:szCs w:val="20"/>
                <w:color w:val="auto"/>
              </w:rPr>
            </w:pPr>
            <w:r>
              <w:rPr>
                <w:rFonts w:ascii="Times New Roman" w:cs="Times New Roman" w:eastAsia="Times New Roman" w:hAnsi="Times New Roman"/>
                <w:sz w:val="14"/>
                <w:szCs w:val="14"/>
                <w:color w:val="auto"/>
              </w:rPr>
              <w:t>(Name, address and telephone number of agent for service)</w:t>
            </w:r>
          </w:p>
        </w:tc>
        <w:tc>
          <w:tcPr>
            <w:tcW w:w="3920" w:type="dxa"/>
            <w:vAlign w:val="bottom"/>
          </w:tcPr>
          <w:p>
            <w:pPr>
              <w:spacing w:after="0"/>
              <w:rPr>
                <w:sz w:val="15"/>
                <w:szCs w:val="15"/>
                <w:color w:val="auto"/>
              </w:rPr>
            </w:pPr>
          </w:p>
        </w:tc>
      </w:tr>
      <w:tr>
        <w:trPr>
          <w:trHeight w:val="388"/>
        </w:trPr>
        <w:tc>
          <w:tcPr>
            <w:tcW w:w="7380" w:type="dxa"/>
            <w:vAlign w:val="bottom"/>
            <w:gridSpan w:val="2"/>
          </w:tcPr>
          <w:p>
            <w:pPr>
              <w:jc w:val="center"/>
              <w:ind w:left="3825"/>
              <w:spacing w:after="0"/>
              <w:rPr>
                <w:sz w:val="20"/>
                <w:szCs w:val="20"/>
                <w:color w:val="auto"/>
              </w:rPr>
            </w:pPr>
            <w:r>
              <w:rPr>
                <w:rFonts w:ascii="Times New Roman" w:cs="Times New Roman" w:eastAsia="Times New Roman" w:hAnsi="Times New Roman"/>
                <w:sz w:val="20"/>
                <w:szCs w:val="20"/>
                <w:b w:val="1"/>
                <w:bCs w:val="1"/>
                <w:color w:val="auto"/>
                <w:w w:val="98"/>
              </w:rPr>
              <w:t>Lucid Group, Inc.</w:t>
            </w:r>
          </w:p>
        </w:tc>
        <w:tc>
          <w:tcPr>
            <w:tcW w:w="3920" w:type="dxa"/>
            <w:vAlign w:val="bottom"/>
          </w:tcPr>
          <w:p>
            <w:pPr>
              <w:spacing w:after="0"/>
              <w:rPr>
                <w:sz w:val="24"/>
                <w:szCs w:val="24"/>
                <w:color w:val="auto"/>
              </w:rPr>
            </w:pPr>
          </w:p>
        </w:tc>
      </w:tr>
      <w:tr>
        <w:trPr>
          <w:trHeight w:val="184"/>
        </w:trPr>
        <w:tc>
          <w:tcPr>
            <w:tcW w:w="7380" w:type="dxa"/>
            <w:vAlign w:val="bottom"/>
            <w:gridSpan w:val="2"/>
          </w:tcPr>
          <w:p>
            <w:pPr>
              <w:jc w:val="center"/>
              <w:ind w:left="3825"/>
              <w:spacing w:after="0"/>
              <w:rPr>
                <w:sz w:val="20"/>
                <w:szCs w:val="20"/>
                <w:color w:val="auto"/>
              </w:rPr>
            </w:pPr>
            <w:r>
              <w:rPr>
                <w:rFonts w:ascii="Times New Roman" w:cs="Times New Roman" w:eastAsia="Times New Roman" w:hAnsi="Times New Roman"/>
                <w:sz w:val="14"/>
                <w:szCs w:val="14"/>
                <w:color w:val="auto"/>
              </w:rPr>
              <w:t>(Exact name of obligor as specified in its charter)</w:t>
            </w:r>
          </w:p>
        </w:tc>
        <w:tc>
          <w:tcPr>
            <w:tcW w:w="3920" w:type="dxa"/>
            <w:vAlign w:val="bottom"/>
          </w:tcPr>
          <w:p>
            <w:pPr>
              <w:spacing w:after="0"/>
              <w:rPr>
                <w:sz w:val="15"/>
                <w:szCs w:val="15"/>
                <w:color w:val="auto"/>
              </w:rPr>
            </w:pPr>
          </w:p>
        </w:tc>
      </w:tr>
      <w:tr>
        <w:trPr>
          <w:trHeight w:val="170"/>
        </w:trPr>
        <w:tc>
          <w:tcPr>
            <w:tcW w:w="7380" w:type="dxa"/>
            <w:vAlign w:val="bottom"/>
            <w:tcBorders>
              <w:bottom w:val="single" w:sz="8" w:color="auto"/>
            </w:tcBorders>
            <w:gridSpan w:val="2"/>
          </w:tcPr>
          <w:p>
            <w:pPr>
              <w:spacing w:after="0"/>
              <w:rPr>
                <w:sz w:val="14"/>
                <w:szCs w:val="14"/>
                <w:color w:val="auto"/>
              </w:rPr>
            </w:pPr>
          </w:p>
        </w:tc>
        <w:tc>
          <w:tcPr>
            <w:tcW w:w="3920" w:type="dxa"/>
            <w:vAlign w:val="bottom"/>
            <w:tcBorders>
              <w:bottom w:val="single" w:sz="8" w:color="auto"/>
            </w:tcBorders>
          </w:tcPr>
          <w:p>
            <w:pPr>
              <w:spacing w:after="0"/>
              <w:rPr>
                <w:sz w:val="14"/>
                <w:szCs w:val="14"/>
                <w:color w:val="auto"/>
              </w:rPr>
            </w:pPr>
          </w:p>
        </w:tc>
      </w:tr>
      <w:tr>
        <w:trPr>
          <w:trHeight w:val="160"/>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1720" w:type="dxa"/>
            <w:vAlign w:val="bottom"/>
            <w:tcBorders>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jc w:val="center"/>
              <w:ind w:right="1689"/>
              <w:spacing w:after="0"/>
              <w:rPr>
                <w:sz w:val="20"/>
                <w:szCs w:val="20"/>
                <w:color w:val="auto"/>
              </w:rPr>
            </w:pPr>
            <w:r>
              <w:rPr>
                <w:rFonts w:ascii="Times New Roman" w:cs="Times New Roman" w:eastAsia="Times New Roman" w:hAnsi="Times New Roman"/>
                <w:sz w:val="14"/>
                <w:szCs w:val="14"/>
                <w:color w:val="auto"/>
              </w:rPr>
              <w:t>85-0891392</w:t>
            </w:r>
          </w:p>
        </w:tc>
      </w:tr>
      <w:tr>
        <w:trPr>
          <w:trHeight w:val="160"/>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720" w:type="dxa"/>
            <w:vAlign w:val="bottom"/>
            <w:tcBorders>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jc w:val="center"/>
              <w:ind w:right="168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60"/>
        </w:trPr>
        <w:tc>
          <w:tcPr>
            <w:tcW w:w="7380" w:type="dxa"/>
            <w:vAlign w:val="bottom"/>
            <w:tcBorders>
              <w:bottom w:val="single" w:sz="8" w:color="auto"/>
            </w:tcBorders>
            <w:gridSpan w:val="2"/>
          </w:tcPr>
          <w:p>
            <w:pPr>
              <w:spacing w:after="0"/>
              <w:rPr>
                <w:sz w:val="13"/>
                <w:szCs w:val="13"/>
                <w:color w:val="auto"/>
              </w:rPr>
            </w:pPr>
          </w:p>
        </w:tc>
        <w:tc>
          <w:tcPr>
            <w:tcW w:w="3920" w:type="dxa"/>
            <w:vAlign w:val="bottom"/>
            <w:tcBorders>
              <w:bottom w:val="single" w:sz="8" w:color="auto"/>
            </w:tcBorders>
          </w:tcPr>
          <w:p>
            <w:pPr>
              <w:spacing w:after="0"/>
              <w:rPr>
                <w:sz w:val="13"/>
                <w:szCs w:val="13"/>
                <w:color w:val="auto"/>
              </w:rPr>
            </w:pPr>
          </w:p>
        </w:tc>
      </w:tr>
      <w:tr>
        <w:trPr>
          <w:trHeight w:val="145"/>
        </w:trPr>
        <w:tc>
          <w:tcPr>
            <w:tcW w:w="5660" w:type="dxa"/>
            <w:vAlign w:val="bottom"/>
            <w:tcBorders>
              <w:left w:val="single" w:sz="8" w:color="auto"/>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7373 Gateway Boulevard</w:t>
            </w:r>
          </w:p>
        </w:tc>
        <w:tc>
          <w:tcPr>
            <w:tcW w:w="1720" w:type="dxa"/>
            <w:vAlign w:val="bottom"/>
          </w:tcPr>
          <w:p>
            <w:pPr>
              <w:spacing w:after="0"/>
              <w:rPr>
                <w:sz w:val="12"/>
                <w:szCs w:val="12"/>
                <w:color w:val="auto"/>
              </w:rPr>
            </w:pPr>
          </w:p>
        </w:tc>
        <w:tc>
          <w:tcPr>
            <w:tcW w:w="3920" w:type="dxa"/>
            <w:vAlign w:val="bottom"/>
            <w:tcBorders>
              <w:right w:val="single" w:sz="8" w:color="auto"/>
            </w:tcBorders>
          </w:tcPr>
          <w:p>
            <w:pPr>
              <w:spacing w:after="0"/>
              <w:rPr>
                <w:sz w:val="12"/>
                <w:szCs w:val="12"/>
                <w:color w:val="auto"/>
              </w:rPr>
            </w:pPr>
          </w:p>
        </w:tc>
      </w:tr>
      <w:tr>
        <w:trPr>
          <w:trHeight w:val="184"/>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Newark, CA</w:t>
            </w:r>
          </w:p>
        </w:tc>
        <w:tc>
          <w:tcPr>
            <w:tcW w:w="1720" w:type="dxa"/>
            <w:vAlign w:val="bottom"/>
            <w:tcBorders>
              <w:bottom w:val="single" w:sz="8" w:color="auto"/>
            </w:tcBorders>
          </w:tcPr>
          <w:p>
            <w:pPr>
              <w:spacing w:after="0"/>
              <w:rPr>
                <w:sz w:val="15"/>
                <w:szCs w:val="15"/>
                <w:color w:val="auto"/>
              </w:rPr>
            </w:pPr>
          </w:p>
        </w:tc>
        <w:tc>
          <w:tcPr>
            <w:tcW w:w="3920" w:type="dxa"/>
            <w:vAlign w:val="bottom"/>
            <w:tcBorders>
              <w:bottom w:val="single" w:sz="8" w:color="auto"/>
              <w:right w:val="single" w:sz="8" w:color="auto"/>
            </w:tcBorders>
          </w:tcPr>
          <w:p>
            <w:pPr>
              <w:jc w:val="center"/>
              <w:ind w:right="1689"/>
              <w:spacing w:after="0"/>
              <w:rPr>
                <w:sz w:val="20"/>
                <w:szCs w:val="20"/>
                <w:color w:val="auto"/>
              </w:rPr>
            </w:pPr>
            <w:r>
              <w:rPr>
                <w:rFonts w:ascii="Times New Roman" w:cs="Times New Roman" w:eastAsia="Times New Roman" w:hAnsi="Times New Roman"/>
                <w:sz w:val="14"/>
                <w:szCs w:val="14"/>
                <w:color w:val="auto"/>
              </w:rPr>
              <w:t>94560</w:t>
            </w:r>
          </w:p>
        </w:tc>
      </w:tr>
      <w:tr>
        <w:trPr>
          <w:trHeight w:val="160"/>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720" w:type="dxa"/>
            <w:vAlign w:val="bottom"/>
            <w:tcBorders>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jc w:val="center"/>
              <w:ind w:right="1689"/>
              <w:spacing w:after="0"/>
              <w:rPr>
                <w:sz w:val="20"/>
                <w:szCs w:val="20"/>
                <w:color w:val="auto"/>
              </w:rPr>
            </w:pPr>
            <w:r>
              <w:rPr>
                <w:rFonts w:ascii="Times New Roman" w:cs="Times New Roman" w:eastAsia="Times New Roman" w:hAnsi="Times New Roman"/>
                <w:sz w:val="14"/>
                <w:szCs w:val="14"/>
                <w:color w:val="auto"/>
              </w:rPr>
              <w:t>(Zip Code)</w:t>
            </w:r>
          </w:p>
        </w:tc>
      </w:tr>
      <w:tr>
        <w:trPr>
          <w:trHeight w:val="429"/>
        </w:trPr>
        <w:tc>
          <w:tcPr>
            <w:tcW w:w="7380" w:type="dxa"/>
            <w:vAlign w:val="bottom"/>
            <w:gridSpan w:val="2"/>
          </w:tcPr>
          <w:p>
            <w:pPr>
              <w:jc w:val="center"/>
              <w:ind w:left="3825"/>
              <w:spacing w:after="0"/>
              <w:rPr>
                <w:sz w:val="20"/>
                <w:szCs w:val="20"/>
                <w:color w:val="auto"/>
              </w:rPr>
            </w:pPr>
            <w:r>
              <w:rPr>
                <w:rFonts w:ascii="Times New Roman" w:cs="Times New Roman" w:eastAsia="Times New Roman" w:hAnsi="Times New Roman"/>
                <w:sz w:val="25"/>
                <w:szCs w:val="25"/>
                <w:b w:val="1"/>
                <w:bCs w:val="1"/>
                <w:color w:val="auto"/>
              </w:rPr>
              <w:t>Debt Securities</w:t>
            </w:r>
          </w:p>
        </w:tc>
        <w:tc>
          <w:tcPr>
            <w:tcW w:w="3920" w:type="dxa"/>
            <w:vAlign w:val="bottom"/>
          </w:tcPr>
          <w:p>
            <w:pPr>
              <w:spacing w:after="0"/>
              <w:rPr>
                <w:sz w:val="24"/>
                <w:szCs w:val="24"/>
                <w:color w:val="auto"/>
              </w:rPr>
            </w:pPr>
          </w:p>
        </w:tc>
      </w:tr>
      <w:tr>
        <w:trPr>
          <w:trHeight w:val="186"/>
        </w:trPr>
        <w:tc>
          <w:tcPr>
            <w:tcW w:w="7380" w:type="dxa"/>
            <w:vAlign w:val="bottom"/>
            <w:gridSpan w:val="2"/>
          </w:tcPr>
          <w:p>
            <w:pPr>
              <w:jc w:val="center"/>
              <w:ind w:left="3825"/>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tc>
        <w:tc>
          <w:tcPr>
            <w:tcW w:w="3920" w:type="dxa"/>
            <w:vAlign w:val="bottom"/>
          </w:tcPr>
          <w:p>
            <w:pPr>
              <w:spacing w:after="0"/>
              <w:rPr>
                <w:sz w:val="16"/>
                <w:szCs w:val="16"/>
                <w:color w:val="auto"/>
              </w:rPr>
            </w:pPr>
          </w:p>
        </w:tc>
      </w:tr>
      <w:tr>
        <w:trPr>
          <w:trHeight w:val="212"/>
        </w:trPr>
        <w:tc>
          <w:tcPr>
            <w:tcW w:w="56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tcPr>
          <w:p>
            <w:pPr>
              <w:spacing w:after="0"/>
              <w:rPr>
                <w:sz w:val="18"/>
                <w:szCs w:val="18"/>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r>
      <w:tr>
        <w:trPr>
          <w:trHeight w:val="565"/>
        </w:trPr>
        <w:tc>
          <w:tcPr>
            <w:tcW w:w="56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92" w:right="319" w:bottom="1440" w:gutter="0" w:footer="0" w:header="0"/>
        </w:sectPr>
      </w:pPr>
    </w:p>
    <w:bookmarkStart w:id="138" w:name="page139"/>
    <w:bookmarkEnd w:id="138"/>
    <w:p>
      <w:pPr>
        <w:ind w:left="5320"/>
        <w:spacing w:after="0"/>
        <w:rPr>
          <w:sz w:val="20"/>
          <w:szCs w:val="20"/>
          <w:color w:val="auto"/>
        </w:rPr>
      </w:pPr>
      <w:r>
        <w:rPr>
          <w:rFonts w:ascii="Times New Roman" w:cs="Times New Roman" w:eastAsia="Times New Roman" w:hAnsi="Times New Roman"/>
          <w:sz w:val="14"/>
          <w:szCs w:val="14"/>
          <w:b w:val="1"/>
          <w:bCs w:val="1"/>
          <w:u w:val="single" w:color="auto"/>
          <w:color w:val="auto"/>
        </w:rPr>
        <w:t>FORM T-1</w:t>
      </w:r>
    </w:p>
    <w:p>
      <w:pPr>
        <w:spacing w:after="0" w:line="17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GENERAL INFORMATION</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Furnish the following information as to the Trustee.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i w:val="1"/>
          <w:iCs w:val="1"/>
          <w:color w:val="auto"/>
        </w:rPr>
        <w:t>Name and address of each examining or supervising authority to which it is subject.</w:t>
      </w:r>
    </w:p>
    <w:p>
      <w:pPr>
        <w:spacing w:after="0" w:line="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Comptroller of the Currency</w:t>
      </w:r>
    </w:p>
    <w:p>
      <w:pPr>
        <w:spacing w:after="0" w:line="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Washington, D.C.</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b)            </w:t>
      </w:r>
      <w:r>
        <w:rPr>
          <w:rFonts w:ascii="Times New Roman" w:cs="Times New Roman" w:eastAsia="Times New Roman" w:hAnsi="Times New Roman"/>
          <w:sz w:val="14"/>
          <w:szCs w:val="14"/>
          <w:i w:val="1"/>
          <w:iCs w:val="1"/>
          <w:color w:val="auto"/>
        </w:rPr>
        <w:t>Whether it is authorized to exercise corporate trust powers.</w:t>
      </w:r>
    </w:p>
    <w:p>
      <w:pPr>
        <w:spacing w:after="0" w:line="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Yes</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 xml:space="preserve">AFFILIATIONS WITH THE OBLIGOR. </w:t>
      </w:r>
      <w:r>
        <w:rPr>
          <w:rFonts w:ascii="Times New Roman" w:cs="Times New Roman" w:eastAsia="Times New Roman" w:hAnsi="Times New Roman"/>
          <w:sz w:val="14"/>
          <w:szCs w:val="14"/>
          <w:i w:val="1"/>
          <w:iCs w:val="1"/>
          <w:color w:val="auto"/>
        </w:rPr>
        <w:t>If the obligor is an affiliate of the Trustee, describe each such affiliation.</w:t>
      </w:r>
    </w:p>
    <w:p>
      <w:pPr>
        <w:spacing w:after="0" w:line="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None</w:t>
      </w:r>
    </w:p>
    <w:p>
      <w:pPr>
        <w:spacing w:after="0" w:line="162" w:lineRule="exact"/>
        <w:rPr>
          <w:sz w:val="20"/>
          <w:szCs w:val="20"/>
          <w:color w:val="auto"/>
        </w:rPr>
      </w:pPr>
    </w:p>
    <w:p>
      <w:pPr>
        <w:ind w:left="1020" w:hanging="1016"/>
        <w:spacing w:after="0" w:line="289" w:lineRule="auto"/>
        <w:tabs>
          <w:tab w:leader="none" w:pos="1000" w:val="left"/>
        </w:tabs>
        <w:rPr>
          <w:sz w:val="20"/>
          <w:szCs w:val="20"/>
          <w:color w:val="auto"/>
        </w:rPr>
      </w:pPr>
      <w:r>
        <w:rPr>
          <w:rFonts w:ascii="Times New Roman" w:cs="Times New Roman" w:eastAsia="Times New Roman" w:hAnsi="Times New Roman"/>
          <w:sz w:val="14"/>
          <w:szCs w:val="14"/>
          <w:b w:val="1"/>
          <w:bCs w:val="1"/>
          <w:color w:val="auto"/>
        </w:rPr>
        <w:t>Items 3-15</w:t>
      </w:r>
      <w:r>
        <w:rPr>
          <w:sz w:val="20"/>
          <w:szCs w:val="20"/>
          <w:color w:val="auto"/>
        </w:rPr>
        <w:tab/>
      </w:r>
      <w:r>
        <w:rPr>
          <w:rFonts w:ascii="Times New Roman" w:cs="Times New Roman" w:eastAsia="Times New Roman" w:hAnsi="Times New Roman"/>
          <w:sz w:val="14"/>
          <w:szCs w:val="14"/>
          <w:i w:val="1"/>
          <w:iCs w:val="1"/>
          <w:color w:val="auto"/>
        </w:rPr>
        <w:t>Items 3-14 are not applicable because to the best of the Trustee's knowledge, the obligor is not in default under any Indenture for which the Trustee acts as Trustee; Item 15 is not applicable because the Trustee is not a foreign trustee.</w:t>
      </w:r>
    </w:p>
    <w:p>
      <w:pPr>
        <w:spacing w:after="0" w:line="1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 xml:space="preserve">LIST OF EXHIBITS: </w:t>
      </w:r>
      <w:r>
        <w:rPr>
          <w:rFonts w:ascii="Times New Roman" w:cs="Times New Roman" w:eastAsia="Times New Roman" w:hAnsi="Times New Roman"/>
          <w:sz w:val="14"/>
          <w:szCs w:val="14"/>
          <w:i w:val="1"/>
          <w:iCs w:val="1"/>
          <w:color w:val="auto"/>
        </w:rPr>
        <w:t>List below all exhibits filed as a part of this statement of eligibility and qualification.</w:t>
      </w:r>
    </w:p>
    <w:p>
      <w:pPr>
        <w:spacing w:after="0" w:line="180" w:lineRule="exact"/>
        <w:rPr>
          <w:sz w:val="20"/>
          <w:szCs w:val="20"/>
          <w:color w:val="auto"/>
        </w:rPr>
      </w:pPr>
    </w:p>
    <w:p>
      <w:pPr>
        <w:ind w:left="1340" w:hanging="329"/>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Trustee, attached as Exhibit 1.</w:t>
      </w:r>
    </w:p>
    <w:p>
      <w:pPr>
        <w:spacing w:after="0" w:line="177" w:lineRule="exact"/>
        <w:rPr>
          <w:rFonts w:ascii="Times New Roman" w:cs="Times New Roman" w:eastAsia="Times New Roman" w:hAnsi="Times New Roman"/>
          <w:sz w:val="14"/>
          <w:szCs w:val="14"/>
          <w:color w:val="auto"/>
        </w:rPr>
      </w:pPr>
    </w:p>
    <w:p>
      <w:pPr>
        <w:ind w:left="1340" w:hanging="329"/>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certificate of authority of the Trustee to commence business, attached as Exhibit 2.</w:t>
      </w:r>
    </w:p>
    <w:p>
      <w:pPr>
        <w:spacing w:after="0" w:line="177" w:lineRule="exact"/>
        <w:rPr>
          <w:rFonts w:ascii="Times New Roman" w:cs="Times New Roman" w:eastAsia="Times New Roman" w:hAnsi="Times New Roman"/>
          <w:sz w:val="14"/>
          <w:szCs w:val="14"/>
          <w:color w:val="auto"/>
        </w:rPr>
      </w:pPr>
    </w:p>
    <w:p>
      <w:pPr>
        <w:ind w:left="1340" w:hanging="329"/>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included in Exhibit 2.</w:t>
      </w:r>
    </w:p>
    <w:p>
      <w:pPr>
        <w:spacing w:after="0" w:line="177" w:lineRule="exact"/>
        <w:rPr>
          <w:rFonts w:ascii="Times New Roman" w:cs="Times New Roman" w:eastAsia="Times New Roman" w:hAnsi="Times New Roman"/>
          <w:sz w:val="14"/>
          <w:szCs w:val="14"/>
          <w:color w:val="auto"/>
        </w:rPr>
      </w:pPr>
    </w:p>
    <w:p>
      <w:pPr>
        <w:ind w:left="1340" w:hanging="329"/>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 attached as Exhibit 4.</w:t>
      </w:r>
    </w:p>
    <w:p>
      <w:pPr>
        <w:spacing w:after="0" w:line="177" w:lineRule="exact"/>
        <w:rPr>
          <w:rFonts w:ascii="Times New Roman" w:cs="Times New Roman" w:eastAsia="Times New Roman" w:hAnsi="Times New Roman"/>
          <w:sz w:val="14"/>
          <w:szCs w:val="14"/>
          <w:color w:val="auto"/>
        </w:rPr>
      </w:pPr>
    </w:p>
    <w:p>
      <w:pPr>
        <w:ind w:left="1340" w:hanging="329"/>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Indenture referred to in Item 4. Not applicable.</w:t>
      </w:r>
    </w:p>
    <w:p>
      <w:pPr>
        <w:spacing w:after="0" w:line="177" w:lineRule="exact"/>
        <w:rPr>
          <w:rFonts w:ascii="Times New Roman" w:cs="Times New Roman" w:eastAsia="Times New Roman" w:hAnsi="Times New Roman"/>
          <w:sz w:val="14"/>
          <w:szCs w:val="14"/>
          <w:color w:val="auto"/>
        </w:rPr>
      </w:pPr>
    </w:p>
    <w:p>
      <w:pPr>
        <w:ind w:left="1340" w:hanging="329"/>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Trust Indenture Act of 1939, attached as Exhibit 6.</w:t>
      </w:r>
    </w:p>
    <w:p>
      <w:pPr>
        <w:spacing w:after="0" w:line="177" w:lineRule="exact"/>
        <w:rPr>
          <w:rFonts w:ascii="Times New Roman" w:cs="Times New Roman" w:eastAsia="Times New Roman" w:hAnsi="Times New Roman"/>
          <w:sz w:val="14"/>
          <w:szCs w:val="14"/>
          <w:color w:val="auto"/>
        </w:rPr>
      </w:pPr>
    </w:p>
    <w:p>
      <w:pPr>
        <w:ind w:left="1340" w:hanging="329"/>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of Condition of the Trustee as of June 30, 2024, published pursuant to law or the requirements of its supervising or examining authority, attached as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16216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80"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to be signed on its behalf by the undersigned, thereunto duly authorized, all in the City of Los Angeles, State of California on the 14th of October, 2024.</w:t>
      </w:r>
    </w:p>
    <w:p>
      <w:pPr>
        <w:spacing w:after="0" w:line="1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U.S. BANK TRUST COMPANY, NATIONAL ASSOCIATION</w:t>
      </w:r>
    </w:p>
    <w:p>
      <w:pPr>
        <w:spacing w:after="0" w:line="178" w:lineRule="exact"/>
        <w:rPr>
          <w:sz w:val="20"/>
          <w:szCs w:val="20"/>
          <w:color w:val="auto"/>
        </w:rPr>
      </w:pPr>
    </w:p>
    <w:p>
      <w:pPr>
        <w:ind w:left="5640"/>
        <w:spacing w:after="0"/>
        <w:tabs>
          <w:tab w:leader="none" w:pos="5960" w:val="left"/>
        </w:tabs>
        <w:rPr>
          <w:sz w:val="20"/>
          <w:szCs w:val="20"/>
          <w:color w:val="auto"/>
        </w:rPr>
      </w:pPr>
      <w:r>
        <w:rPr>
          <w:rFonts w:ascii="Times New Roman" w:cs="Times New Roman" w:eastAsia="Times New Roman" w:hAnsi="Times New Roman"/>
          <w:sz w:val="14"/>
          <w:szCs w:val="14"/>
          <w:color w:val="auto"/>
        </w:rPr>
        <w:t>By:</w:t>
        <w:tab/>
        <w:t>/s/ Bradley E. Scarbrough</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-101600</wp:posOffset>
            </wp:positionV>
            <wp:extent cx="336232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3362325" cy="698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4"/>
          <w:szCs w:val="14"/>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341630</wp:posOffset>
            </wp:positionV>
            <wp:extent cx="716216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ARTICLES OF ASSOCIATION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 S. BANK TRUST COMPANY, NATIONAL ASSOCIATION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purpose of organizing an association (the “Association”) to perform any lawful activities of national banks, the undersigned enter into the following Articles of Association: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FIRST. </w:t>
      </w:r>
      <w:r>
        <w:rPr>
          <w:rFonts w:ascii="Times New Roman" w:cs="Times New Roman" w:eastAsia="Times New Roman" w:hAnsi="Times New Roman"/>
          <w:sz w:val="14"/>
          <w:szCs w:val="14"/>
          <w:color w:val="auto"/>
        </w:rPr>
        <w:t>The title of this Association shall be U. S. Bank Trust Company, National Association.</w:t>
      </w:r>
    </w:p>
    <w:p>
      <w:pPr>
        <w:spacing w:after="0" w:line="17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SECOND. </w:t>
      </w:r>
      <w:r>
        <w:rPr>
          <w:rFonts w:ascii="Times New Roman" w:cs="Times New Roman" w:eastAsia="Times New Roman" w:hAnsi="Times New Roman"/>
          <w:sz w:val="14"/>
          <w:szCs w:val="14"/>
          <w:color w:val="auto"/>
        </w:rPr>
        <w:t>The main office of the Association shall be in the city of Portland, county of Multnomah, state of Oregon. The business of the Association will be limited to fiduciary powers and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support of activities incidental to the exercise of those powers. The Association may not expand or alter its business beyond that stated in this article without the prior approval of the Comptroller of the Currency.</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THIRD. </w:t>
      </w:r>
      <w:r>
        <w:rPr>
          <w:rFonts w:ascii="Times New Roman" w:cs="Times New Roman" w:eastAsia="Times New Roman" w:hAnsi="Times New Roman"/>
          <w:sz w:val="14"/>
          <w:szCs w:val="14"/>
          <w:color w:val="auto"/>
        </w:rPr>
        <w:t>The board of directors of the Association shall consist of not less than five nor more than twenty-five persons, the exact number to be fixed and determined from time to time by resolution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FOURTH. </w:t>
      </w:r>
      <w:r>
        <w:rPr>
          <w:rFonts w:ascii="Times New Roman" w:cs="Times New Roman" w:eastAsia="Times New Roman" w:hAnsi="Times New Roman"/>
          <w:sz w:val="14"/>
          <w:szCs w:val="14"/>
          <w:color w:val="auto"/>
        </w:rPr>
        <w:t>There shall be an annual meeting of the shareholders to elect directors and transact whatever other business may be brought before the meeting. It shall be held at the main office 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sectPr>
      </w:pPr>
    </w:p>
    <w:bookmarkStart w:id="141" w:name="page142"/>
    <w:bookmarkEnd w:id="141"/>
    <w:p>
      <w:pPr>
        <w:jc w:val="both"/>
        <w:spacing w:after="0" w:line="269" w:lineRule="auto"/>
        <w:rPr>
          <w:sz w:val="20"/>
          <w:szCs w:val="20"/>
          <w:color w:val="auto"/>
        </w:rPr>
      </w:pPr>
      <w:r>
        <w:rPr>
          <w:rFonts w:ascii="Times New Roman" w:cs="Times New Roman" w:eastAsia="Times New Roman" w:hAnsi="Times New Roman"/>
          <w:sz w:val="14"/>
          <w:szCs w:val="14"/>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3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FIFTH. </w:t>
      </w:r>
      <w:r>
        <w:rPr>
          <w:rFonts w:ascii="Times New Roman" w:cs="Times New Roman" w:eastAsia="Times New Roman" w:hAnsi="Times New Roman"/>
          <w:sz w:val="14"/>
          <w:szCs w:val="14"/>
          <w:color w:val="auto"/>
        </w:rPr>
        <w:t>The authorized amount of capital stock of the Association shall be 1,000,000 shares of common stock of the par value of ten dollars ($10) each; but said capital stock may be increased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decreased from time to time, according to the provisions of the laws of the United States. The Association shall have only one class of capital stock.</w:t>
      </w:r>
    </w:p>
    <w:p>
      <w:pPr>
        <w:spacing w:after="0" w:line="1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color w:val="auto"/>
        </w:rPr>
        <w:t>Unless otherwise specified in the Articles of Association or required by law, all shares of voting stock shall be voted together as a class, on any matters requiring shareholder approval.</w:t>
      </w:r>
    </w:p>
    <w:p>
      <w:pPr>
        <w:spacing w:after="0" w:line="1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SIXTH. </w:t>
      </w:r>
      <w:r>
        <w:rPr>
          <w:rFonts w:ascii="Times New Roman" w:cs="Times New Roman" w:eastAsia="Times New Roman" w:hAnsi="Times New Roman"/>
          <w:sz w:val="14"/>
          <w:szCs w:val="14"/>
          <w:color w:val="auto"/>
        </w:rPr>
        <w:t>The board of directors shall appoint one of its members president of this Association and one of its members chairperson of the board and shall have the power to appoint one or more 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 shall have the power to:</w:t>
      </w:r>
    </w:p>
    <w:p>
      <w:pPr>
        <w:spacing w:after="0" w:line="178" w:lineRule="exact"/>
        <w:rPr>
          <w:sz w:val="20"/>
          <w:szCs w:val="20"/>
          <w:color w:val="auto"/>
        </w:rPr>
      </w:pPr>
    </w:p>
    <w:p>
      <w:pPr>
        <w:ind w:left="520" w:hanging="515"/>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 the duties of the officers, employees, and agents of the Association.</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Delegate the performance of its duties, but not the responsibility for its duties, to the officers, employees, and agents of the Association.</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 the compensation and enter employment contracts with its officers and employees upon reasonable terms and conditions consistent with applicable law.</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Dismiss officers and employees.</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bonds from officers and employees and to fix the penalty thereof.</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Ratify written policies authorized by the Association's management or committees of the board.</w:t>
      </w:r>
    </w:p>
    <w:p>
      <w:pPr>
        <w:spacing w:after="0" w:line="177" w:lineRule="exact"/>
        <w:rPr>
          <w:rFonts w:ascii="Times New Roman" w:cs="Times New Roman" w:eastAsia="Times New Roman" w:hAnsi="Times New Roman"/>
          <w:sz w:val="14"/>
          <w:szCs w:val="14"/>
          <w:color w:val="auto"/>
        </w:rPr>
      </w:pPr>
    </w:p>
    <w:p>
      <w:pPr>
        <w:ind w:left="520" w:hanging="515"/>
        <w:spacing w:after="0" w:line="286"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294" w:lineRule="exact"/>
        <w:rPr>
          <w:rFonts w:ascii="Times New Roman" w:cs="Times New Roman" w:eastAsia="Times New Roman" w:hAnsi="Times New Roman"/>
          <w:sz w:val="14"/>
          <w:szCs w:val="14"/>
          <w:color w:val="auto"/>
        </w:rPr>
      </w:pPr>
    </w:p>
    <w:p>
      <w:pPr>
        <w:ind w:left="5600" w:hanging="74"/>
        <w:spacing w:after="0"/>
        <w:tabs>
          <w:tab w:leader="none" w:pos="560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43" w:name="page144"/>
    <w:bookmarkEnd w:id="143"/>
    <w:p>
      <w:pPr>
        <w:ind w:left="520" w:hanging="515"/>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and administer the business and affairs of the Association.</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initial Bylaws, not inconsistent with law or the Articles of Association, for managing the business and regulating the affairs of the Association.</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or repeal Bylaws, except to the extent that the Articles of Association reserve this power in whole or in part to the shareholders.</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contracts.</w:t>
      </w:r>
    </w:p>
    <w:p>
      <w:pPr>
        <w:spacing w:after="0" w:line="17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perform all acts that are legal for a board of directors to perform.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SEVENTH. </w:t>
      </w:r>
      <w:r>
        <w:rPr>
          <w:rFonts w:ascii="Times New Roman" w:cs="Times New Roman" w:eastAsia="Times New Roman" w:hAnsi="Times New Roman"/>
          <w:sz w:val="14"/>
          <w:szCs w:val="14"/>
          <w:color w:val="auto"/>
        </w:rPr>
        <w:t>The board of directors shall have the power to change the location of the main office to any authorized branch within the limits of the city of Portland, Oregon, without the approval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EIGHTH. </w:t>
      </w:r>
      <w:r>
        <w:rPr>
          <w:rFonts w:ascii="Times New Roman" w:cs="Times New Roman" w:eastAsia="Times New Roman" w:hAnsi="Times New Roman"/>
          <w:sz w:val="14"/>
          <w:szCs w:val="14"/>
          <w:color w:val="auto"/>
        </w:rPr>
        <w:t>The corporate existence of this Association shall continue until termination according to the laws of the United States.</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NINTH. </w:t>
      </w:r>
      <w:r>
        <w:rPr>
          <w:rFonts w:ascii="Times New Roman" w:cs="Times New Roman" w:eastAsia="Times New Roman" w:hAnsi="Times New Roman"/>
          <w:sz w:val="14"/>
          <w:szCs w:val="14"/>
          <w:color w:val="auto"/>
        </w:rPr>
        <w:t>The board of directors of the Association, or any shareholder owning, in the aggregate, not less than 25 percent of the stock of the Association, may call a special meeting of shareholders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TENTH. </w:t>
      </w:r>
      <w:r>
        <w:rPr>
          <w:rFonts w:ascii="Times New Roman" w:cs="Times New Roman" w:eastAsia="Times New Roman" w:hAnsi="Times New Roman"/>
          <w:sz w:val="14"/>
          <w:szCs w:val="14"/>
          <w:color w:val="auto"/>
        </w:rPr>
        <w:t>These Articles of Association may be amended at any regular or special meeting of the shareholders by the affirmative vote of the holders of a majority of the stock of the Association,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216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44" w:name="page145"/>
    <w:bookmarkEnd w:id="144"/>
    <w:p>
      <w:pPr>
        <w:ind w:left="260"/>
        <w:spacing w:after="0"/>
        <w:rPr>
          <w:sz w:val="20"/>
          <w:szCs w:val="20"/>
          <w:color w:val="auto"/>
        </w:rPr>
      </w:pPr>
      <w:r>
        <w:rPr>
          <w:rFonts w:ascii="Times New Roman" w:cs="Times New Roman" w:eastAsia="Times New Roman" w:hAnsi="Times New Roman"/>
          <w:sz w:val="14"/>
          <w:szCs w:val="14"/>
          <w:color w:val="auto"/>
        </w:rPr>
        <w:t xml:space="preserve">In witness whereof, we have hereunto set our hands this </w:t>
      </w:r>
      <w:r>
        <w:rPr>
          <w:rFonts w:ascii="Times New Roman" w:cs="Times New Roman" w:eastAsia="Times New Roman" w:hAnsi="Times New Roman"/>
          <w:sz w:val="14"/>
          <w:szCs w:val="14"/>
          <w:u w:val="single" w:color="auto"/>
          <w:color w:val="auto"/>
        </w:rPr>
        <w:t>11</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of June, 1997.</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Jeffrey T. Grubb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Jeffrey T. Grubb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358457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3584575" cy="698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Robert D. Sznewajs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Robert D. Sznewajs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358457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3584575" cy="698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Dwight V. Board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Dwight V.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358457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3584575" cy="698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 K. Chatterjee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 K.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358457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3584575" cy="698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Robert Lane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Robert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358457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358457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16216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0159"/>
          </w:cols>
          <w:pgMar w:left="300" w:top="743" w:right="1440" w:bottom="1440" w:gutter="0" w:footer="0" w:header="0"/>
        </w:sectPr>
      </w:pPr>
    </w:p>
    <w:bookmarkStart w:id="145" w:name="page146"/>
    <w:bookmarkEnd w:id="145"/>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123825</wp:posOffset>
            </wp:positionV>
            <wp:extent cx="7162165" cy="54540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7162165" cy="5454015"/>
                    </a:xfrm>
                    <a:prstGeom prst="rect">
                      <a:avLst/>
                    </a:prstGeom>
                    <a:noFill/>
                  </pic:spPr>
                </pic:pic>
              </a:graphicData>
            </a:graphic>
          </wp:anchor>
        </w:drawing>
      </w:r>
    </w:p>
    <w:p>
      <w:pPr>
        <w:sectPr>
          <w:pgSz w:w="11900" w:h="16838" w:orient="portrait"/>
          <w:cols w:equalWidth="0" w:num="1">
            <w:col w:w="9019"/>
          </w:cols>
          <w:pgMar w:left="1440" w:top="737" w:right="1440"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4</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 BANK TRUST COMPANY, NATIONAL ASSOCIATION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AMENDED AND RESTATED BYLAWS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Meetings of Shareholders</w:t>
      </w:r>
    </w:p>
    <w:p>
      <w:pPr>
        <w:spacing w:after="0" w:line="164" w:lineRule="exact"/>
        <w:rPr>
          <w:sz w:val="20"/>
          <w:szCs w:val="20"/>
          <w:color w:val="auto"/>
        </w:rPr>
      </w:pPr>
    </w:p>
    <w:p>
      <w:pPr>
        <w:jc w:val="both"/>
        <w:ind w:firstLine="508"/>
        <w:spacing w:after="0" w:line="259" w:lineRule="auto"/>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Annual Meeting</w:t>
      </w:r>
      <w:r>
        <w:rPr>
          <w:rFonts w:ascii="Times New Roman" w:cs="Times New Roman" w:eastAsia="Times New Roman" w:hAnsi="Times New Roman"/>
          <w:sz w:val="14"/>
          <w:szCs w:val="14"/>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44"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 Every such special meeting, unless otherwise provided by law, shall be called upon not less than ten (10) days nor more than sixty (60) days prior notice stating the purpose of the meeting.</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Nominations for Directors</w:t>
      </w:r>
      <w:r>
        <w:rPr>
          <w:rFonts w:ascii="Times New Roman" w:cs="Times New Roman" w:eastAsia="Times New Roman" w:hAnsi="Times New Roman"/>
          <w:sz w:val="14"/>
          <w:szCs w:val="14"/>
          <w:color w:val="auto"/>
        </w:rPr>
        <w:t>. Nominations for election to the Board may be made by the Board or by any shareholder.</w:t>
      </w:r>
    </w:p>
    <w:p>
      <w:pPr>
        <w:spacing w:after="0" w:line="178"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Proxies</w:t>
      </w:r>
      <w:r>
        <w:rPr>
          <w:rFonts w:ascii="Times New Roman" w:cs="Times New Roman" w:eastAsia="Times New Roman" w:hAnsi="Times New Roman"/>
          <w:sz w:val="14"/>
          <w:szCs w:val="14"/>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25"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1.5. </w:t>
      </w:r>
      <w:r>
        <w:rPr>
          <w:rFonts w:ascii="Times New Roman" w:cs="Times New Roman" w:eastAsia="Times New Roman" w:hAnsi="Times New Roman"/>
          <w:sz w:val="14"/>
          <w:szCs w:val="14"/>
          <w:u w:val="single" w:color="auto"/>
          <w:color w:val="auto"/>
        </w:rPr>
        <w:t>Record Date</w:t>
      </w:r>
      <w:r>
        <w:rPr>
          <w:rFonts w:ascii="Times New Roman" w:cs="Times New Roman" w:eastAsia="Times New Roman" w:hAnsi="Times New Roman"/>
          <w:sz w:val="14"/>
          <w:szCs w:val="14"/>
          <w:color w:val="auto"/>
        </w:rPr>
        <w:t>. The record date for determining shareholders entitled to notice and to vote at any meeting will be thirty days before the date of such meeting, unless otherwise determined by the Board.</w:t>
      </w:r>
    </w:p>
    <w:p>
      <w:pPr>
        <w:spacing w:after="0" w:line="125"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1.6. </w:t>
      </w:r>
      <w:r>
        <w:rPr>
          <w:rFonts w:ascii="Times New Roman" w:cs="Times New Roman" w:eastAsia="Times New Roman" w:hAnsi="Times New Roman"/>
          <w:sz w:val="14"/>
          <w:szCs w:val="14"/>
          <w:u w:val="single" w:color="auto"/>
          <w:color w:val="auto"/>
        </w:rPr>
        <w:t>Quorum and Voting</w:t>
      </w:r>
      <w:r>
        <w:rPr>
          <w:rFonts w:ascii="Times New Roman" w:cs="Times New Roman" w:eastAsia="Times New Roman" w:hAnsi="Times New Roman"/>
          <w:sz w:val="14"/>
          <w:szCs w:val="14"/>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sectPr>
      </w:pPr>
    </w:p>
    <w:bookmarkStart w:id="147" w:name="page148"/>
    <w:bookmarkEnd w:id="147"/>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1.7. </w:t>
      </w:r>
      <w:r>
        <w:rPr>
          <w:rFonts w:ascii="Times New Roman" w:cs="Times New Roman" w:eastAsia="Times New Roman" w:hAnsi="Times New Roman"/>
          <w:sz w:val="14"/>
          <w:szCs w:val="14"/>
          <w:u w:val="single" w:color="auto"/>
          <w:color w:val="auto"/>
        </w:rPr>
        <w:t>Inspectors</w:t>
      </w:r>
      <w:r>
        <w:rPr>
          <w:rFonts w:ascii="Times New Roman" w:cs="Times New Roman" w:eastAsia="Times New Roman" w:hAnsi="Times New Roman"/>
          <w:sz w:val="14"/>
          <w:szCs w:val="14"/>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1.8. </w:t>
      </w:r>
      <w:r>
        <w:rPr>
          <w:rFonts w:ascii="Times New Roman" w:cs="Times New Roman" w:eastAsia="Times New Roman" w:hAnsi="Times New Roman"/>
          <w:sz w:val="14"/>
          <w:szCs w:val="14"/>
          <w:u w:val="single" w:color="auto"/>
          <w:color w:val="auto"/>
        </w:rPr>
        <w:t>Waiver and Consent</w:t>
      </w:r>
      <w:r>
        <w:rPr>
          <w:rFonts w:ascii="Times New Roman" w:cs="Times New Roman" w:eastAsia="Times New Roman" w:hAnsi="Times New Roman"/>
          <w:sz w:val="14"/>
          <w:szCs w:val="14"/>
          <w:color w:val="auto"/>
        </w:rPr>
        <w:t>. The shareholders may act without notice or a meeting by a unanimous written consent by all shareholders.</w:t>
      </w:r>
    </w:p>
    <w:p>
      <w:pPr>
        <w:spacing w:after="0" w:line="178"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1.9. </w:t>
      </w:r>
      <w:r>
        <w:rPr>
          <w:rFonts w:ascii="Times New Roman" w:cs="Times New Roman" w:eastAsia="Times New Roman" w:hAnsi="Times New Roman"/>
          <w:sz w:val="14"/>
          <w:szCs w:val="14"/>
          <w:u w:val="single" w:color="auto"/>
          <w:color w:val="auto"/>
        </w:rPr>
        <w:t>Remote Meetings</w:t>
      </w:r>
      <w:r>
        <w:rPr>
          <w:rFonts w:ascii="Times New Roman" w:cs="Times New Roman" w:eastAsia="Times New Roman" w:hAnsi="Times New Roman"/>
          <w:sz w:val="14"/>
          <w:szCs w:val="14"/>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Directors</w:t>
      </w:r>
    </w:p>
    <w:p>
      <w:pPr>
        <w:spacing w:after="0" w:line="164"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Term of Office</w:t>
      </w:r>
      <w:r>
        <w:rPr>
          <w:rFonts w:ascii="Times New Roman" w:cs="Times New Roman" w:eastAsia="Times New Roman" w:hAnsi="Times New Roman"/>
          <w:sz w:val="14"/>
          <w:szCs w:val="14"/>
          <w:color w:val="auto"/>
        </w:rPr>
        <w:t>. The directors of this Association shall hold office for one year and until their successors are duly elected and qualified, or until their earlier resignation 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removal.</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Powers</w:t>
      </w:r>
      <w:r>
        <w:rPr>
          <w:rFonts w:ascii="Times New Roman" w:cs="Times New Roman" w:eastAsia="Times New Roman" w:hAnsi="Times New Roman"/>
          <w:sz w:val="14"/>
          <w:szCs w:val="14"/>
          <w:color w:val="auto"/>
        </w:rPr>
        <w:t>. In addition to the foregoing, the Board shall have and may exercise all of the powers granted to or conferred upon it by the Articles of Association, the Bylaws and by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law.</w:t>
      </w:r>
    </w:p>
    <w:p>
      <w:pPr>
        <w:spacing w:after="0" w:line="164" w:lineRule="exact"/>
        <w:rPr>
          <w:sz w:val="20"/>
          <w:szCs w:val="20"/>
          <w:color w:val="auto"/>
        </w:rPr>
      </w:pPr>
    </w:p>
    <w:p>
      <w:pPr>
        <w:jc w:val="both"/>
        <w:ind w:firstLine="508"/>
        <w:spacing w:after="0" w:line="258" w:lineRule="auto"/>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Number</w:t>
      </w:r>
      <w:r>
        <w:rPr>
          <w:rFonts w:ascii="Times New Roman" w:cs="Times New Roman" w:eastAsia="Times New Roman" w:hAnsi="Times New Roman"/>
          <w:sz w:val="14"/>
          <w:szCs w:val="14"/>
          <w:color w:val="auto"/>
        </w:rPr>
        <w:t>.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208280</wp:posOffset>
            </wp:positionV>
            <wp:extent cx="716216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48" w:name="page149"/>
    <w:bookmarkEnd w:id="148"/>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u w:val="single" w:color="auto"/>
          <w:color w:val="auto"/>
        </w:rPr>
        <w:t>Organization Meeting</w:t>
      </w:r>
      <w:r>
        <w:rPr>
          <w:rFonts w:ascii="Times New Roman" w:cs="Times New Roman" w:eastAsia="Times New Roman" w:hAnsi="Times New Roman"/>
          <w:sz w:val="14"/>
          <w:szCs w:val="14"/>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2.6. </w:t>
      </w:r>
      <w:r>
        <w:rPr>
          <w:rFonts w:ascii="Times New Roman" w:cs="Times New Roman" w:eastAsia="Times New Roman" w:hAnsi="Times New Roman"/>
          <w:sz w:val="14"/>
          <w:szCs w:val="14"/>
          <w:u w:val="single" w:color="auto"/>
          <w:color w:val="auto"/>
        </w:rPr>
        <w:t>Regular Meetings</w:t>
      </w:r>
      <w:r>
        <w:rPr>
          <w:rFonts w:ascii="Times New Roman" w:cs="Times New Roman" w:eastAsia="Times New Roman" w:hAnsi="Times New Roman"/>
          <w:sz w:val="14"/>
          <w:szCs w:val="14"/>
          <w:color w:val="auto"/>
        </w:rPr>
        <w:t>. The regular meetings of the Board shall be held, without notice, as the Chairman or President may designate and deem suitable.</w:t>
      </w:r>
    </w:p>
    <w:p>
      <w:pPr>
        <w:spacing w:after="0" w:line="178" w:lineRule="exact"/>
        <w:rPr>
          <w:sz w:val="20"/>
          <w:szCs w:val="20"/>
          <w:color w:val="auto"/>
        </w:rPr>
      </w:pPr>
    </w:p>
    <w:p>
      <w:pPr>
        <w:jc w:val="both"/>
        <w:ind w:firstLine="508"/>
        <w:spacing w:after="0" w:line="263" w:lineRule="auto"/>
        <w:rPr>
          <w:sz w:val="20"/>
          <w:szCs w:val="20"/>
          <w:color w:val="auto"/>
        </w:rPr>
      </w:pPr>
      <w:r>
        <w:rPr>
          <w:rFonts w:ascii="Times New Roman" w:cs="Times New Roman" w:eastAsia="Times New Roman" w:hAnsi="Times New Roman"/>
          <w:sz w:val="14"/>
          <w:szCs w:val="14"/>
          <w:color w:val="auto"/>
        </w:rPr>
        <w:t xml:space="preserve">Section 2.7.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42"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2.8. </w:t>
      </w:r>
      <w:r>
        <w:rPr>
          <w:rFonts w:ascii="Times New Roman" w:cs="Times New Roman" w:eastAsia="Times New Roman" w:hAnsi="Times New Roman"/>
          <w:sz w:val="14"/>
          <w:szCs w:val="14"/>
          <w:u w:val="single" w:color="auto"/>
          <w:color w:val="auto"/>
        </w:rPr>
        <w:t>Quorum and Necessary Vote</w:t>
      </w:r>
      <w:r>
        <w:rPr>
          <w:rFonts w:ascii="Times New Roman" w:cs="Times New Roman" w:eastAsia="Times New Roman" w:hAnsi="Times New Roman"/>
          <w:sz w:val="14"/>
          <w:szCs w:val="14"/>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49" w:name="page150"/>
    <w:bookmarkEnd w:id="149"/>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2.9. </w:t>
      </w:r>
      <w:r>
        <w:rPr>
          <w:rFonts w:ascii="Times New Roman" w:cs="Times New Roman" w:eastAsia="Times New Roman" w:hAnsi="Times New Roman"/>
          <w:sz w:val="14"/>
          <w:szCs w:val="14"/>
          <w:u w:val="single" w:color="auto"/>
          <w:color w:val="auto"/>
        </w:rPr>
        <w:t>Written Consent</w:t>
      </w:r>
      <w:r>
        <w:rPr>
          <w:rFonts w:ascii="Times New Roman" w:cs="Times New Roman" w:eastAsia="Times New Roman" w:hAnsi="Times New Roman"/>
          <w:sz w:val="14"/>
          <w:szCs w:val="14"/>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25"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2.10. </w:t>
      </w:r>
      <w:r>
        <w:rPr>
          <w:rFonts w:ascii="Times New Roman" w:cs="Times New Roman" w:eastAsia="Times New Roman" w:hAnsi="Times New Roman"/>
          <w:sz w:val="14"/>
          <w:szCs w:val="14"/>
          <w:u w:val="single" w:color="auto"/>
          <w:color w:val="auto"/>
        </w:rPr>
        <w:t>Remote Meetings</w:t>
      </w:r>
      <w:r>
        <w:rPr>
          <w:rFonts w:ascii="Times New Roman" w:cs="Times New Roman" w:eastAsia="Times New Roman" w:hAnsi="Times New Roman"/>
          <w:sz w:val="14"/>
          <w:szCs w:val="14"/>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25"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u w:val="single" w:color="auto"/>
          <w:color w:val="auto"/>
        </w:rPr>
        <w:t>Vacancies</w:t>
      </w:r>
      <w:r>
        <w:rPr>
          <w:rFonts w:ascii="Times New Roman" w:cs="Times New Roman" w:eastAsia="Times New Roman" w:hAnsi="Times New Roman"/>
          <w:sz w:val="14"/>
          <w:szCs w:val="14"/>
          <w:color w:val="auto"/>
        </w:rPr>
        <w:t>. When any vacancy occurs among the directors, the remaining members of the Board may appoint a director to fill such vacancy at any regular meeting of the Board, or at a special meeting called for that purpose.</w:t>
      </w:r>
    </w:p>
    <w:p>
      <w:pPr>
        <w:spacing w:after="0" w:line="1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u w:val="single" w:color="auto"/>
          <w:color w:val="auto"/>
        </w:rPr>
        <w:t>ARTICLE III</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u w:val="single" w:color="auto"/>
          <w:color w:val="auto"/>
        </w:rPr>
        <w:t>Committees</w:t>
      </w:r>
    </w:p>
    <w:p>
      <w:pPr>
        <w:spacing w:after="0" w:line="164"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3.1. </w:t>
      </w:r>
      <w:r>
        <w:rPr>
          <w:rFonts w:ascii="Times New Roman" w:cs="Times New Roman" w:eastAsia="Times New Roman" w:hAnsi="Times New Roman"/>
          <w:sz w:val="14"/>
          <w:szCs w:val="14"/>
          <w:u w:val="single" w:color="auto"/>
          <w:color w:val="auto"/>
        </w:rPr>
        <w:t>Advisory Board of Directors</w:t>
      </w:r>
      <w:r>
        <w:rPr>
          <w:rFonts w:ascii="Times New Roman" w:cs="Times New Roman" w:eastAsia="Times New Roman" w:hAnsi="Times New Roman"/>
          <w:sz w:val="14"/>
          <w:szCs w:val="14"/>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36" w:lineRule="exact"/>
        <w:rPr>
          <w:sz w:val="20"/>
          <w:szCs w:val="20"/>
          <w:color w:val="auto"/>
        </w:rPr>
      </w:pPr>
    </w:p>
    <w:p>
      <w:pPr>
        <w:jc w:val="both"/>
        <w:ind w:firstLine="508"/>
        <w:spacing w:after="0" w:line="263" w:lineRule="auto"/>
        <w:rPr>
          <w:sz w:val="20"/>
          <w:szCs w:val="20"/>
          <w:color w:val="auto"/>
        </w:rPr>
      </w:pPr>
      <w:r>
        <w:rPr>
          <w:rFonts w:ascii="Times New Roman" w:cs="Times New Roman" w:eastAsia="Times New Roman" w:hAnsi="Times New Roman"/>
          <w:sz w:val="14"/>
          <w:szCs w:val="14"/>
          <w:color w:val="auto"/>
        </w:rPr>
        <w:t xml:space="preserve">Section 3.2. </w:t>
      </w:r>
      <w:r>
        <w:rPr>
          <w:rFonts w:ascii="Times New Roman" w:cs="Times New Roman" w:eastAsia="Times New Roman" w:hAnsi="Times New Roman"/>
          <w:sz w:val="14"/>
          <w:szCs w:val="14"/>
          <w:u w:val="single" w:color="auto"/>
          <w:color w:val="auto"/>
        </w:rPr>
        <w:t>Trust Audit Committee</w:t>
      </w:r>
      <w:r>
        <w:rPr>
          <w:rFonts w:ascii="Times New Roman" w:cs="Times New Roman" w:eastAsia="Times New Roman" w:hAnsi="Times New Roman"/>
          <w:sz w:val="14"/>
          <w:szCs w:val="14"/>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16216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color w:val="auto"/>
        </w:rPr>
        <w:t>The Audit Committee of the financial holding company that is the ultimate parent of this Association, fulfilling the function of the trust audit committee: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  Must not include any officers of the Association or an affiliate who participate significantly in the administration of the Association’s fiduciary activities; and</w:t>
      </w:r>
    </w:p>
    <w:p>
      <w:pPr>
        <w:spacing w:after="0" w:line="178"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4"/>
          <w:szCs w:val="14"/>
          <w:color w:val="auto"/>
        </w:rPr>
        <w:t>(2)  Must consist of a majority of members who are not also members of any committee to which the Board has delegated power to manage and control the fiduciary activities of the Association.</w:t>
      </w:r>
    </w:p>
    <w:p>
      <w:pPr>
        <w:spacing w:after="0" w:line="125"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3.3. </w:t>
      </w:r>
      <w:r>
        <w:rPr>
          <w:rFonts w:ascii="Times New Roman" w:cs="Times New Roman" w:eastAsia="Times New Roman" w:hAnsi="Times New Roman"/>
          <w:sz w:val="14"/>
          <w:szCs w:val="14"/>
          <w:u w:val="single" w:color="auto"/>
          <w:color w:val="auto"/>
        </w:rPr>
        <w:t>Executive Committee</w:t>
      </w:r>
      <w:r>
        <w:rPr>
          <w:rFonts w:ascii="Times New Roman" w:cs="Times New Roman" w:eastAsia="Times New Roman" w:hAnsi="Times New Roman"/>
          <w:sz w:val="14"/>
          <w:szCs w:val="14"/>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25" w:lineRule="exact"/>
        <w:rPr>
          <w:sz w:val="20"/>
          <w:szCs w:val="20"/>
          <w:color w:val="auto"/>
        </w:rPr>
      </w:pPr>
    </w:p>
    <w:p>
      <w:pPr>
        <w:jc w:val="both"/>
        <w:ind w:firstLine="508"/>
        <w:spacing w:after="0" w:line="263" w:lineRule="auto"/>
        <w:rPr>
          <w:sz w:val="20"/>
          <w:szCs w:val="20"/>
          <w:color w:val="auto"/>
        </w:rPr>
      </w:pPr>
      <w:r>
        <w:rPr>
          <w:rFonts w:ascii="Times New Roman" w:cs="Times New Roman" w:eastAsia="Times New Roman" w:hAnsi="Times New Roman"/>
          <w:sz w:val="14"/>
          <w:szCs w:val="14"/>
          <w:color w:val="auto"/>
        </w:rPr>
        <w:t xml:space="preserve">Section 3.4. </w:t>
      </w:r>
      <w:r>
        <w:rPr>
          <w:rFonts w:ascii="Times New Roman" w:cs="Times New Roman" w:eastAsia="Times New Roman" w:hAnsi="Times New Roman"/>
          <w:sz w:val="14"/>
          <w:szCs w:val="14"/>
          <w:u w:val="single" w:color="auto"/>
          <w:color w:val="auto"/>
        </w:rPr>
        <w:t>Trust Management Committee</w:t>
      </w:r>
      <w:r>
        <w:rPr>
          <w:rFonts w:ascii="Times New Roman" w:cs="Times New Roman" w:eastAsia="Times New Roman" w:hAnsi="Times New Roman"/>
          <w:sz w:val="14"/>
          <w:szCs w:val="14"/>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42" w:lineRule="exact"/>
        <w:rPr>
          <w:sz w:val="20"/>
          <w:szCs w:val="20"/>
          <w:color w:val="auto"/>
        </w:rPr>
      </w:pPr>
    </w:p>
    <w:p>
      <w:pPr>
        <w:jc w:val="both"/>
        <w:ind w:firstLine="508"/>
        <w:spacing w:after="0" w:line="263" w:lineRule="auto"/>
        <w:rPr>
          <w:sz w:val="20"/>
          <w:szCs w:val="20"/>
          <w:color w:val="auto"/>
        </w:rPr>
      </w:pPr>
      <w:r>
        <w:rPr>
          <w:rFonts w:ascii="Times New Roman" w:cs="Times New Roman" w:eastAsia="Times New Roman" w:hAnsi="Times New Roman"/>
          <w:sz w:val="14"/>
          <w:szCs w:val="14"/>
          <w:color w:val="auto"/>
        </w:rPr>
        <w:t xml:space="preserve">Section 3.5. </w:t>
      </w:r>
      <w:r>
        <w:rPr>
          <w:rFonts w:ascii="Times New Roman" w:cs="Times New Roman" w:eastAsia="Times New Roman" w:hAnsi="Times New Roman"/>
          <w:sz w:val="14"/>
          <w:szCs w:val="14"/>
          <w:u w:val="single" w:color="auto"/>
          <w:color w:val="auto"/>
        </w:rPr>
        <w:t>Other Committees</w:t>
      </w:r>
      <w:r>
        <w:rPr>
          <w:rFonts w:ascii="Times New Roman" w:cs="Times New Roman" w:eastAsia="Times New Roman" w:hAnsi="Times New Roman"/>
          <w:sz w:val="14"/>
          <w:szCs w:val="14"/>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42"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3.6. </w:t>
      </w:r>
      <w:r>
        <w:rPr>
          <w:rFonts w:ascii="Times New Roman" w:cs="Times New Roman" w:eastAsia="Times New Roman" w:hAnsi="Times New Roman"/>
          <w:sz w:val="14"/>
          <w:szCs w:val="14"/>
          <w:u w:val="single" w:color="auto"/>
          <w:color w:val="auto"/>
        </w:rPr>
        <w:t>Meetings, Minutes and Rules</w:t>
      </w:r>
      <w:r>
        <w:rPr>
          <w:rFonts w:ascii="Times New Roman" w:cs="Times New Roman" w:eastAsia="Times New Roman" w:hAnsi="Times New Roman"/>
          <w:sz w:val="14"/>
          <w:szCs w:val="14"/>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IV</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Officers</w:t>
      </w:r>
    </w:p>
    <w:p>
      <w:pPr>
        <w:spacing w:after="0" w:line="164"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4.1. </w:t>
      </w:r>
      <w:r>
        <w:rPr>
          <w:rFonts w:ascii="Times New Roman" w:cs="Times New Roman" w:eastAsia="Times New Roman" w:hAnsi="Times New Roman"/>
          <w:sz w:val="14"/>
          <w:szCs w:val="14"/>
          <w:u w:val="single" w:color="auto"/>
          <w:color w:val="auto"/>
        </w:rPr>
        <w:t>Chairman of the Board</w:t>
      </w:r>
      <w:r>
        <w:rPr>
          <w:rFonts w:ascii="Times New Roman" w:cs="Times New Roman" w:eastAsia="Times New Roman" w:hAnsi="Times New Roman"/>
          <w:sz w:val="14"/>
          <w:szCs w:val="14"/>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36"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4.2. </w:t>
      </w:r>
      <w:r>
        <w:rPr>
          <w:rFonts w:ascii="Times New Roman" w:cs="Times New Roman" w:eastAsia="Times New Roman" w:hAnsi="Times New Roman"/>
          <w:sz w:val="14"/>
          <w:szCs w:val="14"/>
          <w:u w:val="single" w:color="auto"/>
          <w:color w:val="auto"/>
        </w:rPr>
        <w:t>President</w:t>
      </w:r>
      <w:r>
        <w:rPr>
          <w:rFonts w:ascii="Times New Roman" w:cs="Times New Roman" w:eastAsia="Times New Roman" w:hAnsi="Times New Roman"/>
          <w:sz w:val="14"/>
          <w:szCs w:val="14"/>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36"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4.3. </w:t>
      </w:r>
      <w:r>
        <w:rPr>
          <w:rFonts w:ascii="Times New Roman" w:cs="Times New Roman" w:eastAsia="Times New Roman" w:hAnsi="Times New Roman"/>
          <w:sz w:val="14"/>
          <w:szCs w:val="14"/>
          <w:u w:val="single" w:color="auto"/>
          <w:color w:val="auto"/>
        </w:rPr>
        <w:t>Vice President</w:t>
      </w:r>
      <w:r>
        <w:rPr>
          <w:rFonts w:ascii="Times New Roman" w:cs="Times New Roman" w:eastAsia="Times New Roman" w:hAnsi="Times New Roman"/>
          <w:sz w:val="14"/>
          <w:szCs w:val="14"/>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25" w:lineRule="exact"/>
        <w:rPr>
          <w:sz w:val="20"/>
          <w:szCs w:val="20"/>
          <w:color w:val="auto"/>
        </w:rPr>
      </w:pPr>
    </w:p>
    <w:p>
      <w:pPr>
        <w:jc w:val="both"/>
        <w:ind w:firstLine="508"/>
        <w:spacing w:after="0" w:line="261" w:lineRule="auto"/>
        <w:rPr>
          <w:sz w:val="20"/>
          <w:szCs w:val="20"/>
          <w:color w:val="auto"/>
        </w:rPr>
      </w:pPr>
      <w:r>
        <w:rPr>
          <w:rFonts w:ascii="Times New Roman" w:cs="Times New Roman" w:eastAsia="Times New Roman" w:hAnsi="Times New Roman"/>
          <w:sz w:val="14"/>
          <w:szCs w:val="14"/>
          <w:color w:val="auto"/>
        </w:rPr>
        <w:t xml:space="preserve">Section 4.4. </w:t>
      </w:r>
      <w:r>
        <w:rPr>
          <w:rFonts w:ascii="Times New Roman" w:cs="Times New Roman" w:eastAsia="Times New Roman" w:hAnsi="Times New Roman"/>
          <w:sz w:val="14"/>
          <w:szCs w:val="14"/>
          <w:u w:val="single" w:color="auto"/>
          <w:color w:val="auto"/>
        </w:rPr>
        <w:t>Secretary</w:t>
      </w:r>
      <w:r>
        <w:rPr>
          <w:rFonts w:ascii="Times New Roman" w:cs="Times New Roman" w:eastAsia="Times New Roman" w:hAnsi="Times New Roman"/>
          <w:sz w:val="14"/>
          <w:szCs w:val="14"/>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141"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4.5. </w:t>
      </w:r>
      <w:r>
        <w:rPr>
          <w:rFonts w:ascii="Times New Roman" w:cs="Times New Roman" w:eastAsia="Times New Roman" w:hAnsi="Times New Roman"/>
          <w:sz w:val="14"/>
          <w:szCs w:val="14"/>
          <w:u w:val="single" w:color="auto"/>
          <w:color w:val="auto"/>
        </w:rPr>
        <w:t>Other Officers</w:t>
      </w:r>
      <w:r>
        <w:rPr>
          <w:rFonts w:ascii="Times New Roman" w:cs="Times New Roman" w:eastAsia="Times New Roman" w:hAnsi="Times New Roman"/>
          <w:sz w:val="14"/>
          <w:szCs w:val="14"/>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52" w:name="page153"/>
    <w:bookmarkEnd w:id="152"/>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4.6. </w:t>
      </w:r>
      <w:r>
        <w:rPr>
          <w:rFonts w:ascii="Times New Roman" w:cs="Times New Roman" w:eastAsia="Times New Roman" w:hAnsi="Times New Roman"/>
          <w:sz w:val="14"/>
          <w:szCs w:val="14"/>
          <w:u w:val="single" w:color="auto"/>
          <w:color w:val="auto"/>
        </w:rPr>
        <w:t>Tenure of Office</w:t>
      </w:r>
      <w:r>
        <w:rPr>
          <w:rFonts w:ascii="Times New Roman" w:cs="Times New Roman" w:eastAsia="Times New Roman" w:hAnsi="Times New Roman"/>
          <w:sz w:val="14"/>
          <w:szCs w:val="14"/>
          <w:color w:val="auto"/>
        </w:rPr>
        <w:t>.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 time.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V</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Stock</w:t>
      </w:r>
    </w:p>
    <w:p>
      <w:pPr>
        <w:spacing w:after="0" w:line="164" w:lineRule="exact"/>
        <w:rPr>
          <w:sz w:val="20"/>
          <w:szCs w:val="20"/>
          <w:color w:val="auto"/>
        </w:rPr>
      </w:pPr>
    </w:p>
    <w:p>
      <w:pPr>
        <w:jc w:val="both"/>
        <w:ind w:firstLine="508"/>
        <w:spacing w:after="0" w:line="259" w:lineRule="auto"/>
        <w:rPr>
          <w:sz w:val="20"/>
          <w:szCs w:val="20"/>
          <w:color w:val="auto"/>
        </w:rPr>
      </w:pPr>
      <w:r>
        <w:rPr>
          <w:rFonts w:ascii="Times New Roman" w:cs="Times New Roman" w:eastAsia="Times New Roman" w:hAnsi="Times New Roman"/>
          <w:sz w:val="14"/>
          <w:szCs w:val="14"/>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14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u w:val="single" w:color="auto"/>
          <w:color w:val="auto"/>
        </w:rPr>
        <w:t>ARTICLE VI</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u w:val="single" w:color="auto"/>
          <w:color w:val="auto"/>
        </w:rPr>
        <w:t>Corporate Seal</w:t>
      </w:r>
    </w:p>
    <w:p>
      <w:pPr>
        <w:spacing w:after="0" w:line="164"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16216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VII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64" w:lineRule="exact"/>
        <w:rPr>
          <w:sz w:val="20"/>
          <w:szCs w:val="20"/>
          <w:color w:val="auto"/>
        </w:rPr>
      </w:pPr>
    </w:p>
    <w:p>
      <w:pPr>
        <w:jc w:val="both"/>
        <w:ind w:firstLine="508"/>
        <w:spacing w:after="0" w:line="261" w:lineRule="auto"/>
        <w:rPr>
          <w:sz w:val="20"/>
          <w:szCs w:val="20"/>
          <w:color w:val="auto"/>
        </w:rPr>
      </w:pPr>
      <w:r>
        <w:rPr>
          <w:rFonts w:ascii="Times New Roman" w:cs="Times New Roman" w:eastAsia="Times New Roman" w:hAnsi="Times New Roman"/>
          <w:sz w:val="14"/>
          <w:szCs w:val="14"/>
          <w:color w:val="auto"/>
        </w:rPr>
        <w:t xml:space="preserve">Section 7.1. </w:t>
      </w:r>
      <w:r>
        <w:rPr>
          <w:rFonts w:ascii="Times New Roman" w:cs="Times New Roman" w:eastAsia="Times New Roman" w:hAnsi="Times New Roman"/>
          <w:sz w:val="14"/>
          <w:szCs w:val="14"/>
          <w:u w:val="single" w:color="auto"/>
          <w:color w:val="auto"/>
        </w:rPr>
        <w:t>Execution of Instruments</w:t>
      </w:r>
      <w:r>
        <w:rPr>
          <w:rFonts w:ascii="Times New Roman" w:cs="Times New Roman" w:eastAsia="Times New Roman" w:hAnsi="Times New Roman"/>
          <w:sz w:val="14"/>
          <w:szCs w:val="14"/>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41"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7.2. </w:t>
      </w:r>
      <w:r>
        <w:rPr>
          <w:rFonts w:ascii="Times New Roman" w:cs="Times New Roman" w:eastAsia="Times New Roman" w:hAnsi="Times New Roman"/>
          <w:sz w:val="14"/>
          <w:szCs w:val="14"/>
          <w:u w:val="single" w:color="auto"/>
          <w:color w:val="auto"/>
        </w:rPr>
        <w:t>Records</w:t>
      </w:r>
      <w:r>
        <w:rPr>
          <w:rFonts w:ascii="Times New Roman" w:cs="Times New Roman" w:eastAsia="Times New Roman" w:hAnsi="Times New Roman"/>
          <w:sz w:val="14"/>
          <w:szCs w:val="14"/>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36"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u w:val="single" w:color="auto"/>
          <w:color w:val="auto"/>
        </w:rPr>
        <w:t>Trust Files</w:t>
      </w:r>
      <w:r>
        <w:rPr>
          <w:rFonts w:ascii="Times New Roman" w:cs="Times New Roman" w:eastAsia="Times New Roman" w:hAnsi="Times New Roman"/>
          <w:sz w:val="14"/>
          <w:szCs w:val="14"/>
          <w:color w:val="auto"/>
        </w:rPr>
        <w:t>. There shall be maintained in the Association files all fiduciary records necessary to assure that its fiduciary responsibilities have been properly undertaken and discharged.</w:t>
      </w:r>
    </w:p>
    <w:p>
      <w:pPr>
        <w:spacing w:after="0" w:line="125" w:lineRule="exact"/>
        <w:rPr>
          <w:sz w:val="20"/>
          <w:szCs w:val="20"/>
          <w:color w:val="auto"/>
        </w:rPr>
      </w:pPr>
    </w:p>
    <w:p>
      <w:pPr>
        <w:jc w:val="both"/>
        <w:ind w:firstLine="508"/>
        <w:spacing w:after="0" w:line="269" w:lineRule="auto"/>
        <w:rPr>
          <w:sz w:val="20"/>
          <w:szCs w:val="20"/>
          <w:color w:val="auto"/>
        </w:rPr>
      </w:pPr>
      <w:r>
        <w:rPr>
          <w:rFonts w:ascii="Times New Roman" w:cs="Times New Roman" w:eastAsia="Times New Roman" w:hAnsi="Times New Roman"/>
          <w:sz w:val="14"/>
          <w:szCs w:val="14"/>
          <w:color w:val="auto"/>
        </w:rPr>
        <w:t xml:space="preserve">Section 7.4. </w:t>
      </w:r>
      <w:r>
        <w:rPr>
          <w:rFonts w:ascii="Times New Roman" w:cs="Times New Roman" w:eastAsia="Times New Roman" w:hAnsi="Times New Roman"/>
          <w:sz w:val="14"/>
          <w:szCs w:val="14"/>
          <w:u w:val="single" w:color="auto"/>
          <w:color w:val="auto"/>
        </w:rPr>
        <w:t>Trust Investments</w:t>
      </w:r>
      <w:r>
        <w:rPr>
          <w:rFonts w:ascii="Times New Roman" w:cs="Times New Roman" w:eastAsia="Times New Roman" w:hAnsi="Times New Roman"/>
          <w:sz w:val="14"/>
          <w:szCs w:val="14"/>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136"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7.5. </w:t>
      </w: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where specified otherwise in these Bylaws, prior notice shall be proper if given not more than 30 days nor less than 10 days prior to the event for which notice is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229870</wp:posOffset>
            </wp:positionV>
            <wp:extent cx="716216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54" w:name="page155"/>
    <w:bookmarkEnd w:id="154"/>
    <w:p>
      <w:pPr>
        <w:ind w:left="5220"/>
        <w:spacing w:after="0"/>
        <w:rPr>
          <w:sz w:val="20"/>
          <w:szCs w:val="20"/>
          <w:color w:val="auto"/>
        </w:rPr>
      </w:pPr>
      <w:r>
        <w:rPr>
          <w:rFonts w:ascii="Times New Roman" w:cs="Times New Roman" w:eastAsia="Times New Roman" w:hAnsi="Times New Roman"/>
          <w:sz w:val="14"/>
          <w:szCs w:val="14"/>
          <w:u w:val="single" w:color="auto"/>
          <w:color w:val="auto"/>
        </w:rPr>
        <w:t>ARTICLE VIII</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u w:val="single" w:color="auto"/>
          <w:color w:val="auto"/>
        </w:rPr>
        <w:t>Indemnification</w:t>
      </w:r>
    </w:p>
    <w:p>
      <w:pPr>
        <w:spacing w:after="0" w:line="164" w:lineRule="exact"/>
        <w:rPr>
          <w:sz w:val="20"/>
          <w:szCs w:val="20"/>
          <w:color w:val="auto"/>
        </w:rPr>
      </w:pPr>
    </w:p>
    <w:p>
      <w:pPr>
        <w:jc w:val="both"/>
        <w:ind w:firstLine="508"/>
        <w:spacing w:after="0" w:line="261" w:lineRule="auto"/>
        <w:rPr>
          <w:sz w:val="20"/>
          <w:szCs w:val="20"/>
          <w:color w:val="auto"/>
        </w:rPr>
      </w:pPr>
      <w:r>
        <w:rPr>
          <w:rFonts w:ascii="Times New Roman" w:cs="Times New Roman" w:eastAsia="Times New Roman" w:hAnsi="Times New Roman"/>
          <w:sz w:val="14"/>
          <w:szCs w:val="14"/>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41" w:lineRule="exact"/>
        <w:rPr>
          <w:sz w:val="20"/>
          <w:szCs w:val="20"/>
          <w:color w:val="auto"/>
        </w:rPr>
      </w:pPr>
    </w:p>
    <w:p>
      <w:pPr>
        <w:jc w:val="both"/>
        <w:ind w:firstLine="508"/>
        <w:spacing w:after="0" w:line="263" w:lineRule="auto"/>
        <w:rPr>
          <w:sz w:val="20"/>
          <w:szCs w:val="20"/>
          <w:color w:val="auto"/>
        </w:rPr>
      </w:pPr>
      <w:r>
        <w:rPr>
          <w:rFonts w:ascii="Times New Roman" w:cs="Times New Roman" w:eastAsia="Times New Roman" w:hAnsi="Times New Roman"/>
          <w:sz w:val="14"/>
          <w:szCs w:val="14"/>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IX</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Bylaws: Interpretation and Amendment</w:t>
      </w:r>
    </w:p>
    <w:p>
      <w:pPr>
        <w:spacing w:after="0" w:line="164"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Section 9.1. These Bylaws shall be interpreted in accordance with and subject to appropriate provisions of law, and may be added to, altered, amended, or repealed, at any regular or special meeting of the Board.</w:t>
      </w:r>
    </w:p>
    <w:p>
      <w:pPr>
        <w:spacing w:after="0" w:line="125" w:lineRule="exact"/>
        <w:rPr>
          <w:sz w:val="20"/>
          <w:szCs w:val="20"/>
          <w:color w:val="auto"/>
        </w:rPr>
      </w:pPr>
    </w:p>
    <w:p>
      <w:pPr>
        <w:jc w:val="both"/>
        <w:ind w:firstLine="508"/>
        <w:spacing w:after="0" w:line="286" w:lineRule="auto"/>
        <w:rPr>
          <w:sz w:val="20"/>
          <w:szCs w:val="20"/>
          <w:color w:val="auto"/>
        </w:rPr>
      </w:pPr>
      <w:r>
        <w:rPr>
          <w:rFonts w:ascii="Times New Roman" w:cs="Times New Roman" w:eastAsia="Times New Roman" w:hAnsi="Times New Roman"/>
          <w:sz w:val="14"/>
          <w:szCs w:val="14"/>
          <w:color w:val="auto"/>
        </w:rPr>
        <w:t>Section 9.2. A copy of the Bylaws and all amendments shall at all times be kept in a convenient place at the principal office of the Association, and shall be open for inspection to all shareholders during Association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16216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X</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Fiscal Year</w:t>
      </w:r>
      <w:r>
        <w:rPr>
          <w:rFonts w:ascii="Times New Roman" w:cs="Times New Roman" w:eastAsia="Times New Roman" w:hAnsi="Times New Roman"/>
          <w:sz w:val="14"/>
          <w:szCs w:val="14"/>
          <w:color w:val="auto"/>
        </w:rPr>
        <w:t>. The fiscal year of the Association shall begin on the first day of January in each year and shall end on the thirty-first day of December following.</w:t>
      </w:r>
    </w:p>
    <w:p>
      <w:pPr>
        <w:spacing w:after="0" w:line="178" w:lineRule="exact"/>
        <w:rPr>
          <w:sz w:val="20"/>
          <w:szCs w:val="20"/>
          <w:color w:val="auto"/>
        </w:rPr>
      </w:pPr>
    </w:p>
    <w:p>
      <w:pPr>
        <w:ind w:firstLine="508"/>
        <w:spacing w:after="0" w:line="286" w:lineRule="auto"/>
        <w:rPr>
          <w:sz w:val="20"/>
          <w:szCs w:val="20"/>
          <w:color w:val="auto"/>
        </w:rPr>
      </w:pPr>
      <w:r>
        <w:rPr>
          <w:rFonts w:ascii="Times New Roman" w:cs="Times New Roman" w:eastAsia="Times New Roman" w:hAnsi="Times New Roman"/>
          <w:sz w:val="14"/>
          <w:szCs w:val="14"/>
          <w:color w:val="auto"/>
        </w:rPr>
        <w:t xml:space="preserve">Section 10.2.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(February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229870</wp:posOffset>
            </wp:positionV>
            <wp:extent cx="716216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Exhibit 6</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w:t>
      </w:r>
    </w:p>
    <w:p>
      <w:pPr>
        <w:spacing w:after="0" w:line="180" w:lineRule="exact"/>
        <w:rPr>
          <w:sz w:val="20"/>
          <w:szCs w:val="20"/>
          <w:color w:val="auto"/>
        </w:rPr>
      </w:pPr>
    </w:p>
    <w:p>
      <w:pPr>
        <w:ind w:firstLine="508"/>
        <w:spacing w:after="0" w:line="286" w:lineRule="auto"/>
        <w:rPr>
          <w:sz w:val="20"/>
          <w:szCs w:val="20"/>
          <w:color w:val="auto"/>
        </w:rPr>
      </w:pPr>
      <w:r>
        <w:rPr>
          <w:rFonts w:ascii="Times New Roman" w:cs="Times New Roman" w:eastAsia="Times New Roman" w:hAnsi="Times New Roman"/>
          <w:sz w:val="14"/>
          <w:szCs w:val="14"/>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October 14, 2024</w:t>
      </w:r>
    </w:p>
    <w:p>
      <w:pPr>
        <w:spacing w:after="0" w:line="178" w:lineRule="exact"/>
        <w:rPr>
          <w:sz w:val="20"/>
          <w:szCs w:val="20"/>
          <w:color w:val="auto"/>
        </w:rPr>
      </w:pPr>
    </w:p>
    <w:p>
      <w:pPr>
        <w:ind w:left="5640"/>
        <w:spacing w:after="0"/>
        <w:tabs>
          <w:tab w:leader="none" w:pos="5960" w:val="left"/>
        </w:tabs>
        <w:rPr>
          <w:sz w:val="20"/>
          <w:szCs w:val="20"/>
          <w:color w:val="auto"/>
        </w:rPr>
      </w:pPr>
      <w:r>
        <w:rPr>
          <w:rFonts w:ascii="Times New Roman" w:cs="Times New Roman" w:eastAsia="Times New Roman" w:hAnsi="Times New Roman"/>
          <w:sz w:val="14"/>
          <w:szCs w:val="14"/>
          <w:color w:val="auto"/>
        </w:rPr>
        <w:t>By:</w:t>
        <w:tab/>
        <w:t>/s/ Bradley E. Scarbrough</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-101600</wp:posOffset>
            </wp:positionV>
            <wp:extent cx="336232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3362325" cy="698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4"/>
          <w:szCs w:val="14"/>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6216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640" w:type="dxa"/>
            <w:vAlign w:val="bottom"/>
            <w:gridSpan w:val="3"/>
          </w:tcPr>
          <w:p>
            <w:pPr>
              <w:jc w:val="center"/>
              <w:ind w:right="4025"/>
              <w:spacing w:after="0"/>
              <w:rPr>
                <w:sz w:val="20"/>
                <w:szCs w:val="20"/>
                <w:color w:val="auto"/>
              </w:rPr>
            </w:pPr>
            <w:r>
              <w:rPr>
                <w:rFonts w:ascii="Times New Roman" w:cs="Times New Roman" w:eastAsia="Times New Roman" w:hAnsi="Times New Roman"/>
                <w:sz w:val="14"/>
                <w:szCs w:val="14"/>
                <w:b w:val="1"/>
                <w:bCs w:val="1"/>
                <w:color w:val="auto"/>
              </w:rPr>
              <w:t>Exhibit 7</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4"/>
        </w:trPr>
        <w:tc>
          <w:tcPr>
            <w:tcW w:w="3660" w:type="dxa"/>
            <w:vAlign w:val="bottom"/>
          </w:tcPr>
          <w:p>
            <w:pPr>
              <w:spacing w:after="0"/>
              <w:rPr>
                <w:sz w:val="24"/>
                <w:szCs w:val="24"/>
                <w:color w:val="auto"/>
              </w:rPr>
            </w:pPr>
          </w:p>
        </w:tc>
        <w:tc>
          <w:tcPr>
            <w:tcW w:w="6340" w:type="dxa"/>
            <w:vAlign w:val="bottom"/>
            <w:gridSpan w:val="4"/>
          </w:tcPr>
          <w:p>
            <w:pPr>
              <w:jc w:val="center"/>
              <w:ind w:right="2305"/>
              <w:spacing w:after="0"/>
              <w:rPr>
                <w:sz w:val="20"/>
                <w:szCs w:val="20"/>
                <w:color w:val="auto"/>
              </w:rPr>
            </w:pPr>
            <w:r>
              <w:rPr>
                <w:rFonts w:ascii="Times New Roman" w:cs="Times New Roman" w:eastAsia="Times New Roman" w:hAnsi="Times New Roman"/>
                <w:sz w:val="14"/>
                <w:szCs w:val="14"/>
                <w:b w:val="1"/>
                <w:bCs w:val="1"/>
                <w:color w:val="auto"/>
              </w:rPr>
              <w:t>U.S. Bank Trust Company, National Association</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660" w:type="dxa"/>
            <w:vAlign w:val="bottom"/>
          </w:tcPr>
          <w:p>
            <w:pPr>
              <w:spacing w:after="0"/>
              <w:rPr>
                <w:sz w:val="14"/>
                <w:szCs w:val="14"/>
                <w:color w:val="auto"/>
              </w:rPr>
            </w:pPr>
          </w:p>
        </w:tc>
        <w:tc>
          <w:tcPr>
            <w:tcW w:w="6340" w:type="dxa"/>
            <w:vAlign w:val="bottom"/>
            <w:gridSpan w:val="4"/>
          </w:tcPr>
          <w:p>
            <w:pPr>
              <w:jc w:val="center"/>
              <w:ind w:right="2325"/>
              <w:spacing w:after="0"/>
              <w:rPr>
                <w:sz w:val="20"/>
                <w:szCs w:val="20"/>
                <w:color w:val="auto"/>
              </w:rPr>
            </w:pPr>
            <w:r>
              <w:rPr>
                <w:rFonts w:ascii="Times New Roman" w:cs="Times New Roman" w:eastAsia="Times New Roman" w:hAnsi="Times New Roman"/>
                <w:sz w:val="14"/>
                <w:szCs w:val="14"/>
                <w:b w:val="1"/>
                <w:bCs w:val="1"/>
                <w:color w:val="auto"/>
              </w:rPr>
              <w:t>Statement of Financial Condition</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3660" w:type="dxa"/>
            <w:vAlign w:val="bottom"/>
          </w:tcPr>
          <w:p>
            <w:pPr>
              <w:spacing w:after="0"/>
              <w:rPr>
                <w:sz w:val="16"/>
                <w:szCs w:val="16"/>
                <w:color w:val="auto"/>
              </w:rPr>
            </w:pPr>
          </w:p>
        </w:tc>
        <w:tc>
          <w:tcPr>
            <w:tcW w:w="6340" w:type="dxa"/>
            <w:vAlign w:val="bottom"/>
            <w:gridSpan w:val="4"/>
          </w:tcPr>
          <w:p>
            <w:pPr>
              <w:jc w:val="center"/>
              <w:ind w:right="2325"/>
              <w:spacing w:after="0"/>
              <w:rPr>
                <w:sz w:val="20"/>
                <w:szCs w:val="20"/>
                <w:color w:val="auto"/>
              </w:rPr>
            </w:pPr>
            <w:r>
              <w:rPr>
                <w:rFonts w:ascii="Times New Roman" w:cs="Times New Roman" w:eastAsia="Times New Roman" w:hAnsi="Times New Roman"/>
                <w:sz w:val="14"/>
                <w:szCs w:val="14"/>
                <w:b w:val="1"/>
                <w:bCs w:val="1"/>
                <w:color w:val="auto"/>
              </w:rPr>
              <w:t>as of 6/30/2024</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39"/>
        </w:trPr>
        <w:tc>
          <w:tcPr>
            <w:tcW w:w="3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40" w:type="dxa"/>
            <w:vAlign w:val="bottom"/>
            <w:gridSpan w:val="3"/>
          </w:tcPr>
          <w:p>
            <w:pPr>
              <w:jc w:val="center"/>
              <w:ind w:right="4025"/>
              <w:spacing w:after="0"/>
              <w:rPr>
                <w:sz w:val="20"/>
                <w:szCs w:val="20"/>
                <w:color w:val="auto"/>
              </w:rPr>
            </w:pPr>
            <w:r>
              <w:rPr>
                <w:rFonts w:ascii="Times New Roman" w:cs="Times New Roman" w:eastAsia="Times New Roman" w:hAnsi="Times New Roman"/>
                <w:sz w:val="14"/>
                <w:szCs w:val="14"/>
                <w:b w:val="1"/>
                <w:bCs w:val="1"/>
                <w:color w:val="auto"/>
              </w:rPr>
              <w:t>($000’s)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366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38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6/30/2024</w:t>
            </w:r>
          </w:p>
        </w:tc>
        <w:tc>
          <w:tcPr>
            <w:tcW w:w="100" w:type="dxa"/>
            <w:vAlign w:val="bottom"/>
            <w:tcBorders>
              <w:bottom w:val="single" w:sz="8" w:color="CCEEFF"/>
            </w:tcBorders>
          </w:tcPr>
          <w:p>
            <w:pPr>
              <w:spacing w:after="0"/>
              <w:rPr>
                <w:sz w:val="24"/>
                <w:szCs w:val="24"/>
                <w:color w:val="auto"/>
              </w:rPr>
            </w:pPr>
          </w:p>
        </w:tc>
      </w:tr>
      <w:tr>
        <w:trPr>
          <w:trHeight w:val="16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6340" w:type="dxa"/>
            <w:vAlign w:val="bottom"/>
            <w:gridSpan w:val="4"/>
          </w:tcPr>
          <w:p>
            <w:pPr>
              <w:jc w:val="right"/>
              <w:ind w:right="165"/>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1,420,557</w:t>
            </w: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4,393</w:t>
            </w: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 Funds</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Loans&amp; Lease Financing Receivables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Assets</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1,164</w:t>
            </w: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577,338</w:t>
            </w:r>
          </w:p>
        </w:tc>
      </w:tr>
      <w:tr>
        <w:trPr>
          <w:trHeight w:val="180"/>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153,812</w:t>
            </w:r>
          </w:p>
        </w:tc>
      </w:tr>
      <w:tr>
        <w:trPr>
          <w:trHeight w:val="160"/>
        </w:trPr>
        <w:tc>
          <w:tcPr>
            <w:tcW w:w="36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7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38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2,157,264</w:t>
            </w:r>
          </w:p>
        </w:tc>
        <w:tc>
          <w:tcPr>
            <w:tcW w:w="100" w:type="dxa"/>
            <w:vAlign w:val="bottom"/>
            <w:tcBorders>
              <w:top w:val="single" w:sz="8" w:color="CCEEFF"/>
            </w:tcBorders>
            <w:shd w:val="clear" w:color="auto" w:fill="CCEEFF"/>
          </w:tcPr>
          <w:p>
            <w:pPr>
              <w:spacing w:after="0"/>
              <w:rPr>
                <w:sz w:val="13"/>
                <w:szCs w:val="13"/>
                <w:color w:val="auto"/>
              </w:rPr>
            </w:pPr>
          </w:p>
        </w:tc>
      </w:tr>
      <w:tr>
        <w:trPr>
          <w:trHeight w:val="169"/>
        </w:trPr>
        <w:tc>
          <w:tcPr>
            <w:tcW w:w="3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6340" w:type="dxa"/>
            <w:vAlign w:val="bottom"/>
            <w:gridSpan w:val="4"/>
          </w:tcPr>
          <w:p>
            <w:pPr>
              <w:jc w:val="right"/>
              <w:ind w:right="165"/>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 Funds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Treasury Demand Notes</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Liabilities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Borrowed Money</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Acceptances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8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1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215,138</w:t>
            </w:r>
          </w:p>
        </w:tc>
      </w:tr>
      <w:tr>
        <w:trPr>
          <w:trHeight w:val="160"/>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80" w:type="dxa"/>
            <w:vAlign w:val="bottom"/>
            <w:tcBorders>
              <w:top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215,138</w:t>
            </w:r>
          </w:p>
        </w:tc>
        <w:tc>
          <w:tcPr>
            <w:tcW w:w="100" w:type="dxa"/>
            <w:vAlign w:val="bottom"/>
          </w:tcPr>
          <w:p>
            <w:pPr>
              <w:spacing w:after="0"/>
              <w:rPr>
                <w:sz w:val="13"/>
                <w:szCs w:val="13"/>
                <w:color w:val="auto"/>
              </w:rPr>
            </w:pPr>
          </w:p>
        </w:tc>
      </w:tr>
      <w:tr>
        <w:trPr>
          <w:trHeight w:val="169"/>
        </w:trPr>
        <w:tc>
          <w:tcPr>
            <w:tcW w:w="36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and Preferred Stock</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r>
      <w:tr>
        <w:trPr>
          <w:trHeight w:val="169"/>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Surplus</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1,171,635</w:t>
            </w:r>
          </w:p>
        </w:tc>
      </w:tr>
      <w:tr>
        <w:trPr>
          <w:trHeight w:val="16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Undivided Profits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770,291</w:t>
            </w:r>
          </w:p>
        </w:tc>
      </w:tr>
      <w:tr>
        <w:trPr>
          <w:trHeight w:val="180"/>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Minority Interest in Subsidiaries</w:t>
            </w:r>
          </w:p>
        </w:tc>
        <w:tc>
          <w:tcPr>
            <w:tcW w:w="1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r>
      <w:tr>
        <w:trPr>
          <w:trHeight w:val="160"/>
        </w:trPr>
        <w:tc>
          <w:tcPr>
            <w:tcW w:w="36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 Equity Capital</w:t>
            </w:r>
          </w:p>
        </w:tc>
        <w:tc>
          <w:tcPr>
            <w:tcW w:w="17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38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1,942,126</w:t>
            </w:r>
          </w:p>
        </w:tc>
        <w:tc>
          <w:tcPr>
            <w:tcW w:w="100" w:type="dxa"/>
            <w:vAlign w:val="bottom"/>
            <w:tcBorders>
              <w:top w:val="single" w:sz="8" w:color="CCEEFF"/>
            </w:tcBorders>
            <w:shd w:val="clear" w:color="auto" w:fill="CCEEFF"/>
          </w:tcPr>
          <w:p>
            <w:pPr>
              <w:spacing w:after="0"/>
              <w:rPr>
                <w:sz w:val="13"/>
                <w:szCs w:val="13"/>
                <w:color w:val="auto"/>
              </w:rPr>
            </w:pPr>
          </w:p>
        </w:tc>
      </w:tr>
      <w:tr>
        <w:trPr>
          <w:trHeight w:val="169"/>
        </w:trPr>
        <w:tc>
          <w:tcPr>
            <w:tcW w:w="3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Equity Capital</w:t>
            </w:r>
          </w:p>
        </w:tc>
        <w:tc>
          <w:tcPr>
            <w:tcW w:w="6340" w:type="dxa"/>
            <w:vAlign w:val="bottom"/>
            <w:gridSpan w:val="4"/>
            <w:shd w:val="clear" w:color="auto" w:fill="CCEEFF"/>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2,157,264</w:t>
            </w:r>
          </w:p>
        </w:tc>
      </w:tr>
      <w:tr>
        <w:trPr>
          <w:trHeight w:val="339"/>
        </w:trPr>
        <w:tc>
          <w:tcPr>
            <w:tcW w:w="36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30" w:right="319" w:bottom="1440" w:gutter="0" w:footer="0" w:header="0"/>
        </w:sectPr>
      </w:pPr>
    </w:p>
    <w:bookmarkStart w:id="158" w:name="page159"/>
    <w:bookmarkEnd w:id="158"/>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Lucid Group, Inc.</w:t>
      </w:r>
    </w:p>
    <w:p>
      <w:pPr>
        <w:spacing w:after="0" w:line="13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Table 1: Newly Registered and Carry Forward Securities</w:t>
      </w:r>
    </w:p>
    <w:p>
      <w:pPr>
        <w:spacing w:after="0" w:line="3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8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64" w:lineRule="exact"/>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9ADAF6"/>
          </w:tcPr>
          <w:p>
            <w:pPr>
              <w:jc w:val="center"/>
              <w:ind w:left="37"/>
              <w:spacing w:after="0"/>
              <w:rPr>
                <w:sz w:val="20"/>
                <w:szCs w:val="20"/>
                <w:color w:val="auto"/>
              </w:rPr>
            </w:pPr>
            <w:r>
              <w:rPr>
                <w:rFonts w:ascii="Arial" w:cs="Arial" w:eastAsia="Arial" w:hAnsi="Arial"/>
                <w:sz w:val="17"/>
                <w:szCs w:val="17"/>
                <w:b w:val="1"/>
                <w:bCs w:val="1"/>
                <w:color w:val="auto"/>
                <w:w w:val="95"/>
              </w:rPr>
              <w:t>Fee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vMerge w:val="continue"/>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restart"/>
            <w:shd w:val="clear" w:color="auto" w:fill="9ADAF6"/>
          </w:tcPr>
          <w:p>
            <w:pPr>
              <w:jc w:val="right"/>
              <w:spacing w:after="0"/>
              <w:rPr>
                <w:sz w:val="20"/>
                <w:szCs w:val="20"/>
                <w:color w:val="auto"/>
              </w:rPr>
            </w:pPr>
            <w:r>
              <w:rPr>
                <w:rFonts w:ascii="Arial" w:cs="Arial" w:eastAsia="Arial" w:hAnsi="Arial"/>
                <w:sz w:val="17"/>
                <w:szCs w:val="17"/>
                <w:b w:val="1"/>
                <w:bCs w:val="1"/>
                <w:color w:val="auto"/>
              </w:rPr>
              <w:t>Amount of</w:t>
            </w:r>
          </w:p>
        </w:tc>
        <w:tc>
          <w:tcPr>
            <w:tcW w:w="40" w:type="dxa"/>
            <w:vAlign w:val="bottom"/>
          </w:tcPr>
          <w:p>
            <w:pPr>
              <w:spacing w:after="0"/>
              <w:rPr>
                <w:sz w:val="14"/>
                <w:szCs w:val="14"/>
                <w:color w:val="auto"/>
              </w:rPr>
            </w:pPr>
          </w:p>
        </w:tc>
        <w:tc>
          <w:tcPr>
            <w:tcW w:w="68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4"/>
                <w:szCs w:val="14"/>
                <w:color w:val="auto"/>
              </w:rPr>
            </w:pPr>
          </w:p>
        </w:tc>
        <w:tc>
          <w:tcPr>
            <w:tcW w:w="7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0"/>
                <w:szCs w:val="10"/>
                <w:color w:val="auto"/>
              </w:rPr>
            </w:pPr>
          </w:p>
        </w:tc>
        <w:tc>
          <w:tcPr>
            <w:tcW w:w="960" w:type="dxa"/>
            <w:vAlign w:val="bottom"/>
            <w:vMerge w:val="restart"/>
            <w:shd w:val="clear" w:color="auto" w:fill="9ADAF6"/>
          </w:tcPr>
          <w:p>
            <w:pPr>
              <w:ind w:left="14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0"/>
                <w:szCs w:val="10"/>
                <w:color w:val="auto"/>
              </w:rPr>
            </w:pPr>
          </w:p>
        </w:tc>
        <w:tc>
          <w:tcPr>
            <w:tcW w:w="940" w:type="dxa"/>
            <w:vAlign w:val="bottom"/>
            <w:gridSpan w:val="2"/>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Calculation</w:t>
            </w:r>
          </w:p>
        </w:tc>
        <w:tc>
          <w:tcPr>
            <w:tcW w:w="20" w:type="dxa"/>
            <w:vAlign w:val="bottom"/>
          </w:tcPr>
          <w:p>
            <w:pPr>
              <w:spacing w:after="0"/>
              <w:rPr>
                <w:sz w:val="10"/>
                <w:szCs w:val="10"/>
                <w:color w:val="auto"/>
              </w:rPr>
            </w:pPr>
          </w:p>
        </w:tc>
        <w:tc>
          <w:tcPr>
            <w:tcW w:w="900" w:type="dxa"/>
            <w:vAlign w:val="bottom"/>
            <w:vMerge w:val="restart"/>
            <w:shd w:val="clear" w:color="auto" w:fill="9ADAF6"/>
          </w:tcPr>
          <w:p>
            <w:pPr>
              <w:jc w:val="right"/>
              <w:ind w:right="42"/>
              <w:spacing w:after="0"/>
              <w:rPr>
                <w:sz w:val="20"/>
                <w:szCs w:val="20"/>
                <w:color w:val="auto"/>
              </w:rPr>
            </w:pPr>
            <w:r>
              <w:rPr>
                <w:rFonts w:ascii="Arial" w:cs="Arial" w:eastAsia="Arial" w:hAnsi="Arial"/>
                <w:sz w:val="17"/>
                <w:szCs w:val="17"/>
                <w:b w:val="1"/>
                <w:bCs w:val="1"/>
                <w:color w:val="auto"/>
              </w:rPr>
              <w:t>Amount</w:t>
            </w:r>
          </w:p>
        </w:tc>
        <w:tc>
          <w:tcPr>
            <w:tcW w:w="40" w:type="dxa"/>
            <w:vAlign w:val="bottom"/>
          </w:tcPr>
          <w:p>
            <w:pPr>
              <w:spacing w:after="0"/>
              <w:rPr>
                <w:sz w:val="10"/>
                <w:szCs w:val="10"/>
                <w:color w:val="auto"/>
              </w:rPr>
            </w:pPr>
          </w:p>
        </w:tc>
        <w:tc>
          <w:tcPr>
            <w:tcW w:w="8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Maximum</w:t>
            </w:r>
          </w:p>
        </w:tc>
        <w:tc>
          <w:tcPr>
            <w:tcW w:w="20" w:type="dxa"/>
            <w:vAlign w:val="bottom"/>
          </w:tcPr>
          <w:p>
            <w:pPr>
              <w:spacing w:after="0"/>
              <w:rPr>
                <w:sz w:val="10"/>
                <w:szCs w:val="10"/>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4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with</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jc w:val="center"/>
              <w:ind w:left="17"/>
              <w:spacing w:after="0" w:line="169" w:lineRule="exact"/>
              <w:rPr>
                <w:sz w:val="20"/>
                <w:szCs w:val="20"/>
                <w:color w:val="auto"/>
              </w:rPr>
            </w:pPr>
            <w:r>
              <w:rPr>
                <w:rFonts w:ascii="Arial" w:cs="Arial" w:eastAsia="Arial" w:hAnsi="Arial"/>
                <w:sz w:val="17"/>
                <w:szCs w:val="17"/>
                <w:b w:val="1"/>
                <w:bCs w:val="1"/>
                <w:color w:val="auto"/>
                <w:w w:val="99"/>
              </w:rPr>
              <w:t>or Carry</w:t>
            </w: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8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4"/>
                <w:szCs w:val="14"/>
                <w:color w:val="auto"/>
              </w:rPr>
            </w:pPr>
          </w:p>
        </w:tc>
        <w:tc>
          <w:tcPr>
            <w:tcW w:w="1000" w:type="dxa"/>
            <w:vAlign w:val="bottom"/>
            <w:shd w:val="clear" w:color="auto" w:fill="9ADAF6"/>
          </w:tcPr>
          <w:p>
            <w:pPr>
              <w:jc w:val="right"/>
              <w:spacing w:after="0" w:line="169" w:lineRule="exact"/>
              <w:rPr>
                <w:sz w:val="20"/>
                <w:szCs w:val="20"/>
                <w:color w:val="auto"/>
              </w:rPr>
            </w:pPr>
            <w:r>
              <w:rPr>
                <w:rFonts w:ascii="Arial" w:cs="Arial" w:eastAsia="Arial" w:hAnsi="Arial"/>
                <w:sz w:val="17"/>
                <w:szCs w:val="17"/>
                <w:b w:val="1"/>
                <w:bCs w:val="1"/>
                <w:color w:val="auto"/>
                <w:w w:val="98"/>
              </w:rPr>
              <w:t>Registration</w:t>
            </w:r>
          </w:p>
        </w:tc>
        <w:tc>
          <w:tcPr>
            <w:tcW w:w="4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ind w:left="160"/>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960" w:type="dxa"/>
            <w:vAlign w:val="bottom"/>
            <w:shd w:val="clear" w:color="auto" w:fill="9ADAF6"/>
          </w:tcPr>
          <w:p>
            <w:pPr>
              <w:ind w:left="60"/>
              <w:spacing w:after="0" w:line="117" w:lineRule="exact"/>
              <w:rPr>
                <w:sz w:val="20"/>
                <w:szCs w:val="20"/>
                <w:color w:val="auto"/>
              </w:rPr>
            </w:pPr>
            <w:r>
              <w:rPr>
                <w:rFonts w:ascii="Arial" w:cs="Arial" w:eastAsia="Arial" w:hAnsi="Arial"/>
                <w:sz w:val="13"/>
                <w:szCs w:val="13"/>
                <w:b w:val="1"/>
                <w:bCs w:val="1"/>
                <w:color w:val="auto"/>
              </w:rPr>
              <w:t>Class Title</w:t>
            </w:r>
          </w:p>
        </w:tc>
        <w:tc>
          <w:tcPr>
            <w:tcW w:w="20" w:type="dxa"/>
            <w:vAlign w:val="bottom"/>
          </w:tcPr>
          <w:p>
            <w:pPr>
              <w:spacing w:after="0"/>
              <w:rPr>
                <w:sz w:val="10"/>
                <w:szCs w:val="10"/>
                <w:color w:val="auto"/>
              </w:rPr>
            </w:pPr>
          </w:p>
        </w:tc>
        <w:tc>
          <w:tcPr>
            <w:tcW w:w="840" w:type="dxa"/>
            <w:vAlign w:val="bottom"/>
            <w:vMerge w:val="restart"/>
            <w:shd w:val="clear" w:color="auto" w:fill="9ADAF6"/>
          </w:tcPr>
          <w:p>
            <w:pPr>
              <w:jc w:val="center"/>
              <w:ind w:left="37"/>
              <w:spacing w:after="0"/>
              <w:rPr>
                <w:sz w:val="20"/>
                <w:szCs w:val="20"/>
                <w:color w:val="auto"/>
              </w:rPr>
            </w:pPr>
            <w:r>
              <w:rPr>
                <w:rFonts w:ascii="Arial" w:cs="Arial" w:eastAsia="Arial" w:hAnsi="Arial"/>
                <w:sz w:val="17"/>
                <w:szCs w:val="17"/>
                <w:b w:val="1"/>
                <w:bCs w:val="1"/>
                <w:color w:val="auto"/>
              </w:rPr>
              <w:t>Forward</w:t>
            </w: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9ADAF6"/>
          </w:tcPr>
          <w:p>
            <w:pPr>
              <w:jc w:val="right"/>
              <w:spacing w:after="0" w:line="117" w:lineRule="exact"/>
              <w:rPr>
                <w:sz w:val="20"/>
                <w:szCs w:val="20"/>
                <w:color w:val="auto"/>
              </w:rPr>
            </w:pPr>
            <w:r>
              <w:rPr>
                <w:rFonts w:ascii="Arial" w:cs="Arial" w:eastAsia="Arial" w:hAnsi="Arial"/>
                <w:sz w:val="13"/>
                <w:szCs w:val="13"/>
                <w:b w:val="1"/>
                <w:bCs w:val="1"/>
                <w:color w:val="auto"/>
              </w:rPr>
              <w:t>Registered</w:t>
            </w:r>
          </w:p>
        </w:tc>
        <w:tc>
          <w:tcPr>
            <w:tcW w:w="4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0"/>
                <w:szCs w:val="10"/>
                <w:color w:val="auto"/>
              </w:rPr>
            </w:pPr>
          </w:p>
        </w:tc>
        <w:tc>
          <w:tcPr>
            <w:tcW w:w="86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Offering</w:t>
            </w:r>
          </w:p>
        </w:tc>
        <w:tc>
          <w:tcPr>
            <w:tcW w:w="2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restart"/>
            <w:shd w:val="clear" w:color="auto" w:fill="9ADAF6"/>
          </w:tcPr>
          <w:p>
            <w:pPr>
              <w:jc w:val="right"/>
              <w:ind w:right="275"/>
              <w:spacing w:after="0"/>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0"/>
                <w:szCs w:val="10"/>
                <w:color w:val="auto"/>
              </w:rPr>
            </w:pPr>
          </w:p>
        </w:tc>
        <w:tc>
          <w:tcPr>
            <w:tcW w:w="68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Form</w:t>
            </w:r>
          </w:p>
        </w:tc>
        <w:tc>
          <w:tcPr>
            <w:tcW w:w="4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File</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Unsold</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vMerge w:val="continue"/>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14"/>
                <w:szCs w:val="14"/>
                <w:color w:val="auto"/>
              </w:rPr>
            </w:pPr>
          </w:p>
        </w:tc>
        <w:tc>
          <w:tcPr>
            <w:tcW w:w="7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jc w:val="center"/>
              <w:ind w:left="37"/>
              <w:spacing w:after="0" w:line="191" w:lineRule="exact"/>
              <w:rPr>
                <w:sz w:val="20"/>
                <w:szCs w:val="20"/>
                <w:color w:val="auto"/>
              </w:rPr>
            </w:pPr>
            <w:r>
              <w:rPr>
                <w:rFonts w:ascii="Arial" w:cs="Arial" w:eastAsia="Arial" w:hAnsi="Arial"/>
                <w:sz w:val="17"/>
                <w:szCs w:val="17"/>
                <w:b w:val="1"/>
                <w:bCs w:val="1"/>
                <w:color w:val="auto"/>
                <w:w w:val="97"/>
              </w:rPr>
              <w:t>Rule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00" w:type="dxa"/>
            <w:vAlign w:val="bottom"/>
            <w:gridSpan w:val="9"/>
          </w:tcPr>
          <w:p>
            <w:pPr>
              <w:jc w:val="right"/>
              <w:ind w:right="1255"/>
              <w:spacing w:after="0"/>
              <w:rPr>
                <w:sz w:val="20"/>
                <w:szCs w:val="20"/>
                <w:color w:val="auto"/>
              </w:rPr>
            </w:pPr>
            <w:r>
              <w:rPr>
                <w:rFonts w:ascii="Arial" w:cs="Arial" w:eastAsia="Arial" w:hAnsi="Arial"/>
                <w:sz w:val="17"/>
                <w:szCs w:val="17"/>
                <w:b w:val="1"/>
                <w:bCs w:val="1"/>
                <w:color w:val="auto"/>
              </w:rPr>
              <w:t>Newly Registered Securities</w:t>
            </w: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ind w:left="20"/>
              <w:spacing w:after="0" w:line="186"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1"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91"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960" w:type="dxa"/>
            <w:vAlign w:val="bottom"/>
            <w:vMerge w:val="restart"/>
            <w:shd w:val="clear" w:color="auto" w:fill="E7E7E2"/>
          </w:tcPr>
          <w:p>
            <w:pPr>
              <w:ind w:left="20"/>
              <w:spacing w:after="0" w:line="191"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ind w:left="37"/>
              <w:spacing w:after="0" w:line="191" w:lineRule="exact"/>
              <w:rPr>
                <w:sz w:val="20"/>
                <w:szCs w:val="20"/>
                <w:color w:val="auto"/>
              </w:rPr>
            </w:pPr>
            <w:r>
              <w:rPr>
                <w:rFonts w:ascii="Arial" w:cs="Arial" w:eastAsia="Arial" w:hAnsi="Arial"/>
                <w:sz w:val="17"/>
                <w:szCs w:val="17"/>
                <w:color w:val="auto"/>
                <w:w w:val="96"/>
              </w:rPr>
              <w:t>457(r)</w:t>
            </w: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1" w:lineRule="exact"/>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shd w:val="clear" w:color="auto" w:fill="E7E7E2"/>
          </w:tcPr>
          <w:p>
            <w:pPr>
              <w:ind w:left="20"/>
              <w:spacing w:after="0" w:line="191" w:lineRule="exact"/>
              <w:rPr>
                <w:sz w:val="20"/>
                <w:szCs w:val="20"/>
                <w:color w:val="auto"/>
              </w:rPr>
            </w:pPr>
            <w:r>
              <w:rPr>
                <w:rFonts w:ascii="Arial" w:cs="Arial" w:eastAsia="Arial" w:hAnsi="Arial"/>
                <w:sz w:val="17"/>
                <w:szCs w:val="17"/>
                <w:color w:val="auto"/>
              </w:rPr>
              <w:t>$0.0001 per</w:t>
            </w: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0" w:type="dxa"/>
            <w:vAlign w:val="bottom"/>
            <w:tcBorders>
              <w:left w:val="single" w:sz="8" w:color="auto"/>
            </w:tcBorders>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5"/>
                <w:szCs w:val="15"/>
                <w:color w:val="auto"/>
              </w:rPr>
            </w:pPr>
          </w:p>
        </w:tc>
        <w:tc>
          <w:tcPr>
            <w:tcW w:w="96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ind w:left="37"/>
              <w:spacing w:after="0"/>
              <w:rPr>
                <w:sz w:val="20"/>
                <w:szCs w:val="20"/>
                <w:color w:val="auto"/>
              </w:rPr>
            </w:pPr>
            <w:r>
              <w:rPr>
                <w:rFonts w:ascii="Arial" w:cs="Arial" w:eastAsia="Arial" w:hAnsi="Arial"/>
                <w:sz w:val="17"/>
                <w:szCs w:val="17"/>
                <w:color w:val="auto"/>
                <w:w w:val="96"/>
              </w:rPr>
              <w:t>457(r)</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Stock</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96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ind w:left="37"/>
              <w:spacing w:after="0"/>
              <w:rPr>
                <w:sz w:val="20"/>
                <w:szCs w:val="20"/>
                <w:color w:val="auto"/>
              </w:rPr>
            </w:pPr>
            <w:r>
              <w:rPr>
                <w:rFonts w:ascii="Arial" w:cs="Arial" w:eastAsia="Arial" w:hAnsi="Arial"/>
                <w:sz w:val="17"/>
                <w:szCs w:val="17"/>
                <w:color w:val="auto"/>
                <w:w w:val="96"/>
              </w:rPr>
              <w:t>457(r)</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4</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96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Depositary</w:t>
            </w: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ind w:left="37"/>
              <w:spacing w:after="0"/>
              <w:rPr>
                <w:sz w:val="20"/>
                <w:szCs w:val="20"/>
                <w:color w:val="auto"/>
              </w:rPr>
            </w:pPr>
            <w:r>
              <w:rPr>
                <w:rFonts w:ascii="Arial" w:cs="Arial" w:eastAsia="Arial" w:hAnsi="Arial"/>
                <w:sz w:val="17"/>
                <w:szCs w:val="17"/>
                <w:color w:val="auto"/>
                <w:w w:val="96"/>
              </w:rPr>
              <w:t>457(r)</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Shares</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5</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ind w:left="37"/>
              <w:spacing w:after="0"/>
              <w:rPr>
                <w:sz w:val="20"/>
                <w:szCs w:val="20"/>
                <w:color w:val="auto"/>
              </w:rPr>
            </w:pPr>
            <w:r>
              <w:rPr>
                <w:rFonts w:ascii="Arial" w:cs="Arial" w:eastAsia="Arial" w:hAnsi="Arial"/>
                <w:sz w:val="17"/>
                <w:szCs w:val="17"/>
                <w:color w:val="auto"/>
                <w:w w:val="96"/>
              </w:rPr>
              <w:t>457(r)</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6</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96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w w:val="98"/>
              </w:rPr>
              <w:t>Subscription</w:t>
            </w: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ind w:left="37"/>
              <w:spacing w:after="0"/>
              <w:rPr>
                <w:sz w:val="20"/>
                <w:szCs w:val="20"/>
                <w:color w:val="auto"/>
              </w:rPr>
            </w:pPr>
            <w:r>
              <w:rPr>
                <w:rFonts w:ascii="Arial" w:cs="Arial" w:eastAsia="Arial" w:hAnsi="Arial"/>
                <w:sz w:val="17"/>
                <w:szCs w:val="17"/>
                <w:color w:val="auto"/>
                <w:w w:val="96"/>
              </w:rPr>
              <w:t>457(r)</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Rights</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7</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96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Purchase</w:t>
            </w: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ind w:left="37"/>
              <w:spacing w:after="0"/>
              <w:rPr>
                <w:sz w:val="20"/>
                <w:szCs w:val="20"/>
                <w:color w:val="auto"/>
              </w:rPr>
            </w:pPr>
            <w:r>
              <w:rPr>
                <w:rFonts w:ascii="Arial" w:cs="Arial" w:eastAsia="Arial" w:hAnsi="Arial"/>
                <w:sz w:val="17"/>
                <w:szCs w:val="17"/>
                <w:color w:val="auto"/>
                <w:w w:val="96"/>
              </w:rPr>
              <w:t>457(r)</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Contracts</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8</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96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Purchase</w:t>
            </w: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ind w:left="37"/>
              <w:spacing w:after="0"/>
              <w:rPr>
                <w:sz w:val="20"/>
                <w:szCs w:val="20"/>
                <w:color w:val="auto"/>
              </w:rPr>
            </w:pPr>
            <w:r>
              <w:rPr>
                <w:rFonts w:ascii="Arial" w:cs="Arial" w:eastAsia="Arial" w:hAnsi="Arial"/>
                <w:sz w:val="17"/>
                <w:szCs w:val="17"/>
                <w:color w:val="auto"/>
                <w:w w:val="96"/>
              </w:rPr>
              <w:t>457(r)</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Units</w:t>
            </w: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60" w:type="dxa"/>
            <w:vAlign w:val="bottom"/>
            <w:gridSpan w:val="7"/>
          </w:tcPr>
          <w:p>
            <w:pPr>
              <w:jc w:val="right"/>
              <w:ind w:right="1375"/>
              <w:spacing w:after="0"/>
              <w:rPr>
                <w:sz w:val="20"/>
                <w:szCs w:val="20"/>
                <w:color w:val="auto"/>
              </w:rPr>
            </w:pPr>
            <w:r>
              <w:rPr>
                <w:rFonts w:ascii="Arial" w:cs="Arial" w:eastAsia="Arial" w:hAnsi="Arial"/>
                <w:sz w:val="17"/>
                <w:szCs w:val="17"/>
                <w:b w:val="1"/>
                <w:bCs w:val="1"/>
                <w:color w:val="auto"/>
              </w:rPr>
              <w:t>Carry Forward Securities</w:t>
            </w: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188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8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8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8"/>
              </w:rPr>
              <w:t>Net Fee Due:</w:t>
            </w:r>
          </w:p>
        </w:tc>
        <w:tc>
          <w:tcPr>
            <w:tcW w:w="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$ 0.00</w:t>
            </w:r>
          </w:p>
        </w:tc>
        <w:tc>
          <w:tcPr>
            <w:tcW w:w="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4" w:lineRule="exact"/>
        <w:rPr>
          <w:sz w:val="20"/>
          <w:szCs w:val="20"/>
          <w:color w:val="auto"/>
        </w:rPr>
      </w:pPr>
    </w:p>
    <w:p>
      <w:pPr>
        <w:ind w:left="220" w:right="760"/>
        <w:spacing w:after="0" w:line="268" w:lineRule="auto"/>
        <w:rPr>
          <w:sz w:val="20"/>
          <w:szCs w:val="20"/>
          <w:color w:val="auto"/>
        </w:rPr>
      </w:pPr>
      <w:r>
        <w:rPr>
          <w:rFonts w:ascii="Arial" w:cs="Arial" w:eastAsia="Arial" w:hAnsi="Arial"/>
          <w:sz w:val="17"/>
          <w:szCs w:val="17"/>
          <w:color w:val="auto"/>
        </w:rPr>
        <w:t>1a. Amount Registered, Price Per Unit, and Proposed Maximum Aggregate Offering Price Omitted pursuant to Form S-3 Instructions to the Calculation of Filing Fee Tables and Related Disclosure 2(A)(iii)(c).</w:t>
      </w:r>
    </w:p>
    <w:p>
      <w:pPr>
        <w:spacing w:after="0" w:line="135" w:lineRule="exact"/>
        <w:rPr>
          <w:sz w:val="20"/>
          <w:szCs w:val="20"/>
          <w:color w:val="auto"/>
        </w:rPr>
      </w:pPr>
    </w:p>
    <w:p>
      <w:pPr>
        <w:ind w:left="220" w:right="140"/>
        <w:spacing w:after="0" w:line="238" w:lineRule="auto"/>
        <w:rPr>
          <w:sz w:val="20"/>
          <w:szCs w:val="20"/>
          <w:color w:val="auto"/>
        </w:rPr>
      </w:pPr>
      <w:r>
        <w:rPr>
          <w:rFonts w:ascii="Arial" w:cs="Arial" w:eastAsia="Arial" w:hAnsi="Arial"/>
          <w:sz w:val="17"/>
          <w:szCs w:val="17"/>
          <w:color w:val="auto"/>
        </w:rPr>
        <w:t>1b. An indeterminate aggregate initial offering price, principal amount or number of the securities of each identified class is being registered as may from time to time be issued at indeterminate prices or upon conversion, exchange or exercise of securities registered hereunder to the extent any such securities are, by their terms, convertible into, or exchangeable or exercisable for, such securities, including such securities as may be issued pursuant to anti-dilution adjustments determined at the time of the offering. Securities registered hereunder may be sold either separately or as units comprised of more than one type of security registered hereunder. Separate consideration may or may not be received for securities that are issuable on exercise, conversion or exchange of other securities or that are issued in units. In accordance with Rule 456(b) and Rule 457(r), the registrant is deferring payment of all of the registration fees and will pay any applicable registration fees on a "pay as you go" basis. The registrant will calculate the registration fee applicable to an offer of securities hereunder based on the fee payment rate in effect on the date of such fee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62865</wp:posOffset>
            </wp:positionV>
            <wp:extent cx="704596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7045960" cy="38735"/>
                    </a:xfrm>
                    <a:prstGeom prst="rect">
                      <a:avLst/>
                    </a:prstGeom>
                    <a:noFill/>
                  </pic:spPr>
                </pic:pic>
              </a:graphicData>
            </a:graphic>
          </wp:anchor>
        </w:drawing>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1"/>
          <w:szCs w:val="11"/>
          <w:color w:val="auto"/>
        </w:rPr>
        <w:t>2</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78105</wp:posOffset>
            </wp:positionV>
            <wp:extent cx="704596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7045960" cy="38735"/>
                    </a:xfrm>
                    <a:prstGeom prst="rect">
                      <a:avLst/>
                    </a:prstGeom>
                    <a:noFill/>
                  </pic:spPr>
                </pic:pic>
              </a:graphicData>
            </a:graphic>
          </wp:anchor>
        </w:drawing>
      </w:r>
    </w:p>
    <w:p>
      <w:pPr>
        <w:spacing w:after="0" w:line="261" w:lineRule="exact"/>
        <w:rPr>
          <w:sz w:val="20"/>
          <w:szCs w:val="20"/>
          <w:color w:val="auto"/>
        </w:rPr>
      </w:pPr>
    </w:p>
    <w:p>
      <w:pPr>
        <w:ind w:left="40"/>
        <w:spacing w:after="0"/>
        <w:rPr>
          <w:sz w:val="20"/>
          <w:szCs w:val="20"/>
          <w:color w:val="auto"/>
        </w:rPr>
      </w:pPr>
      <w:r>
        <w:rPr>
          <w:rFonts w:ascii="Arial" w:cs="Arial" w:eastAsia="Arial" w:hAnsi="Arial"/>
          <w:sz w:val="11"/>
          <w:szCs w:val="11"/>
          <w:color w:val="auto"/>
        </w:rPr>
        <w:t>3</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78105</wp:posOffset>
            </wp:positionV>
            <wp:extent cx="704596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7045960" cy="38735"/>
                    </a:xfrm>
                    <a:prstGeom prst="rect">
                      <a:avLst/>
                    </a:prstGeom>
                    <a:noFill/>
                  </pic:spPr>
                </pic:pic>
              </a:graphicData>
            </a:graphic>
          </wp:anchor>
        </w:drawing>
      </w:r>
    </w:p>
    <w:p>
      <w:pPr>
        <w:spacing w:after="0" w:line="261" w:lineRule="exact"/>
        <w:rPr>
          <w:sz w:val="20"/>
          <w:szCs w:val="20"/>
          <w:color w:val="auto"/>
        </w:rPr>
      </w:pPr>
    </w:p>
    <w:p>
      <w:pPr>
        <w:ind w:left="40"/>
        <w:spacing w:after="0"/>
        <w:rPr>
          <w:sz w:val="20"/>
          <w:szCs w:val="20"/>
          <w:color w:val="auto"/>
        </w:rPr>
      </w:pPr>
      <w:r>
        <w:rPr>
          <w:rFonts w:ascii="Arial" w:cs="Arial" w:eastAsia="Arial" w:hAnsi="Arial"/>
          <w:sz w:val="11"/>
          <w:szCs w:val="11"/>
          <w:color w:val="auto"/>
        </w:rPr>
        <w:t>4</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78105</wp:posOffset>
            </wp:positionV>
            <wp:extent cx="7045960"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7045960" cy="38735"/>
                    </a:xfrm>
                    <a:prstGeom prst="rect">
                      <a:avLst/>
                    </a:prstGeom>
                    <a:noFill/>
                  </pic:spPr>
                </pic:pic>
              </a:graphicData>
            </a:graphic>
          </wp:anchor>
        </w:drawing>
      </w:r>
    </w:p>
    <w:p>
      <w:pPr>
        <w:spacing w:after="0" w:line="261" w:lineRule="exact"/>
        <w:rPr>
          <w:sz w:val="20"/>
          <w:szCs w:val="20"/>
          <w:color w:val="auto"/>
        </w:rPr>
      </w:pPr>
    </w:p>
    <w:p>
      <w:pPr>
        <w:ind w:left="40"/>
        <w:spacing w:after="0"/>
        <w:rPr>
          <w:sz w:val="20"/>
          <w:szCs w:val="20"/>
          <w:color w:val="auto"/>
        </w:rPr>
      </w:pPr>
      <w:r>
        <w:rPr>
          <w:rFonts w:ascii="Arial" w:cs="Arial" w:eastAsia="Arial" w:hAnsi="Arial"/>
          <w:sz w:val="11"/>
          <w:szCs w:val="11"/>
          <w:color w:val="auto"/>
        </w:rPr>
        <w:t>5</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78105</wp:posOffset>
            </wp:positionV>
            <wp:extent cx="704596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7045960" cy="38735"/>
                    </a:xfrm>
                    <a:prstGeom prst="rect">
                      <a:avLst/>
                    </a:prstGeom>
                    <a:noFill/>
                  </pic:spPr>
                </pic:pic>
              </a:graphicData>
            </a:graphic>
          </wp:anchor>
        </w:drawing>
      </w:r>
    </w:p>
    <w:p>
      <w:pPr>
        <w:spacing w:after="0" w:line="261" w:lineRule="exact"/>
        <w:rPr>
          <w:sz w:val="20"/>
          <w:szCs w:val="20"/>
          <w:color w:val="auto"/>
        </w:rPr>
      </w:pPr>
    </w:p>
    <w:p>
      <w:pPr>
        <w:ind w:left="40"/>
        <w:spacing w:after="0"/>
        <w:rPr>
          <w:sz w:val="20"/>
          <w:szCs w:val="20"/>
          <w:color w:val="auto"/>
        </w:rPr>
      </w:pPr>
      <w:r>
        <w:rPr>
          <w:rFonts w:ascii="Arial" w:cs="Arial" w:eastAsia="Arial" w:hAnsi="Arial"/>
          <w:sz w:val="11"/>
          <w:szCs w:val="11"/>
          <w:color w:val="auto"/>
        </w:rPr>
        <w:t>6</w:t>
      </w:r>
    </w:p>
    <w:p>
      <w:pPr>
        <w:sectPr>
          <w:pgSz w:w="11900" w:h="16838" w:orient="portrait"/>
          <w:cols w:equalWidth="0" w:num="1">
            <w:col w:w="11360"/>
          </w:cols>
          <w:pgMar w:left="300" w:top="142" w:right="239" w:bottom="0" w:gutter="0" w:footer="0" w:header="0"/>
        </w:sectPr>
      </w:pPr>
    </w:p>
    <w:p>
      <w:pPr>
        <w:spacing w:after="0" w:line="5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See offering note 1.</w:t>
      </w:r>
    </w:p>
    <w:p>
      <w:pPr>
        <w:sectPr>
          <w:pgSz w:w="11900" w:h="16838" w:orient="portrait"/>
          <w:cols w:equalWidth="0" w:num="1">
            <w:col w:w="11360"/>
          </w:cols>
          <w:pgMar w:left="300" w:top="142" w:right="239" w:bottom="0" w:gutter="0" w:footer="0" w:header="0"/>
          <w:type w:val="continuous"/>
        </w:sectPr>
      </w:pPr>
    </w:p>
    <w:bookmarkStart w:id="159" w:name="page160"/>
    <w:bookmarkEnd w:id="159"/>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315595</wp:posOffset>
            </wp:positionH>
            <wp:positionV relativeFrom="page">
              <wp:posOffset>88900</wp:posOffset>
            </wp:positionV>
            <wp:extent cx="704596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7045960" cy="26035"/>
                    </a:xfrm>
                    <a:prstGeom prst="rect">
                      <a:avLst/>
                    </a:prstGeom>
                    <a:noFill/>
                  </pic:spPr>
                </pic:pic>
              </a:graphicData>
            </a:graphic>
          </wp:anchor>
        </w:drawing>
        <w:t>7</w:t>
      </w:r>
    </w:p>
    <w:p>
      <w:pPr>
        <w:spacing w:after="0" w:line="54" w:lineRule="exact"/>
        <w:rPr>
          <w:sz w:val="20"/>
          <w:szCs w:val="20"/>
          <w:color w:val="auto"/>
        </w:rPr>
      </w:pPr>
    </w:p>
    <w:p>
      <w:pPr>
        <w:jc w:val="right"/>
        <w:ind w:right="8459"/>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78105</wp:posOffset>
            </wp:positionV>
            <wp:extent cx="704596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7045960" cy="3873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54" w:lineRule="exact"/>
        <w:rPr>
          <w:sz w:val="20"/>
          <w:szCs w:val="20"/>
          <w:color w:val="auto"/>
        </w:rPr>
      </w:pPr>
    </w:p>
    <w:p>
      <w:pPr>
        <w:jc w:val="right"/>
        <w:ind w:right="8459"/>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78105</wp:posOffset>
            </wp:positionV>
            <wp:extent cx="704596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7045960" cy="38735"/>
                    </a:xfrm>
                    <a:prstGeom prst="rect">
                      <a:avLst/>
                    </a:prstGeom>
                    <a:noFill/>
                  </pic:spPr>
                </pic:pic>
              </a:graphicData>
            </a:graphic>
          </wp:anchor>
        </w:drawing>
      </w:r>
    </w:p>
    <w:sectPr>
      <w:pgSz w:w="11900" w:h="16838" w:orient="portrait"/>
      <w:cols w:equalWidth="0" w:num="1">
        <w:col w:w="10119"/>
      </w:cols>
      <w:pgMar w:left="340" w:top="2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lowerRoman"/>
      <w:start w:val="2"/>
    </w:lvl>
  </w:abstractNum>
  <w:abstractNum w:abstractNumId="6">
    <w:nsid w:val="431BD7B7"/>
    <w:multiLevelType w:val="hybridMultilevel"/>
    <w:lvl w:ilvl="0">
      <w:lvlJc w:val="left"/>
      <w:lvlText w:val="(%1)"/>
      <w:numFmt w:val="decimal"/>
      <w:start w:val="30"/>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07"/>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lvl w:ilvl="1">
      <w:lvlJc w:val="left"/>
      <w:lvlText w:val="(%2)"/>
      <w:numFmt w:val="lowerRoman"/>
      <w:start w:val="1"/>
    </w:lvl>
  </w:abstractNum>
  <w:abstractNum w:abstractNumId="20">
    <w:nsid w:val="79838CB2"/>
    <w:multiLevelType w:val="hybridMultilevel"/>
    <w:lvl w:ilvl="0">
      <w:lvlJc w:val="left"/>
      <w:lvlText w:val="(%1)"/>
      <w:numFmt w:val="lowerRoman"/>
      <w:start w:val="3"/>
    </w:lvl>
  </w:abstractNum>
  <w:abstractNum w:abstractNumId="21">
    <w:nsid w:val="4353D0CD"/>
    <w:multiLevelType w:val="hybridMultilevel"/>
    <w:lvl w:ilvl="0">
      <w:lvlJc w:val="left"/>
      <w:lvlText w:val="(%1)"/>
      <w:numFmt w:val="decimal"/>
      <w:start w:val="2"/>
    </w:lvl>
    <w:lvl w:ilvl="1">
      <w:lvlJc w:val="left"/>
      <w:lvlText w:val="(%2)"/>
      <w:numFmt w:val="lowerRoman"/>
      <w:start w:val="1"/>
    </w:lvl>
  </w:abstractNum>
  <w:abstractNum w:abstractNumId="22">
    <w:nsid w:val="B03E0C6"/>
    <w:multiLevelType w:val="hybridMultilevel"/>
    <w:lvl w:ilvl="0">
      <w:lvlJc w:val="left"/>
      <w:lvlText w:val="(%1)"/>
      <w:numFmt w:val="lowerRoman"/>
      <w:start w:val="4"/>
    </w:lvl>
  </w:abstractNum>
  <w:abstractNum w:abstractNumId="23">
    <w:nsid w:val="189A769B"/>
    <w:multiLevelType w:val="hybridMultilevel"/>
    <w:lvl w:ilvl="0">
      <w:lvlJc w:val="left"/>
      <w:lvlText w:val="(%1)"/>
      <w:numFmt w:val="lowerRoman"/>
      <w:start w:val="10"/>
    </w:lvl>
  </w:abstractNum>
  <w:abstractNum w:abstractNumId="24">
    <w:nsid w:val="54E49EB4"/>
    <w:multiLevelType w:val="hybridMultilevel"/>
    <w:lvl w:ilvl="0">
      <w:lvlJc w:val="left"/>
      <w:lvlText w:val="(%1)"/>
      <w:numFmt w:val="lowerLetter"/>
      <w:start w:val="2"/>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lvl w:ilvl="1">
      <w:lvlJc w:val="left"/>
      <w:lvlText w:val="-"/>
      <w:numFmt w:val="bullet"/>
      <w:start w:val="1"/>
    </w:lvl>
  </w:abstractNum>
  <w:abstractNum w:abstractNumId="28">
    <w:nsid w:val="2901D82"/>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5"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93"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jpe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35" Type="http://schemas.openxmlformats.org/officeDocument/2006/relationships/hyperlink" Target="http://www.sec.gov/ix?doc=/Archives/edgar/data/1811210/000162828024007209/lcid-20231231.htm" TargetMode="External"/><Relationship Id="rId36" Type="http://schemas.openxmlformats.org/officeDocument/2006/relationships/hyperlink" Target="http://www.sec.gov/ix?doc=/Archives/edgar/data/1811210/000110465924051463/tm2333393d2_def14a.htm" TargetMode="External"/><Relationship Id="rId37" Type="http://schemas.openxmlformats.org/officeDocument/2006/relationships/hyperlink" Target="http://www.sec.gov/ix?doc=/Archives/edgar/data/1811210/000162828024020633/lcid-20240331.htm" TargetMode="External"/><Relationship Id="rId38" Type="http://schemas.openxmlformats.org/officeDocument/2006/relationships/hyperlink" Target="http://www.sec.gov/ix?doc=/Archives/edgar/data/1811210/000162828024034730/lcid-20240630.htm" TargetMode="External"/><Relationship Id="rId39" Type="http://schemas.openxmlformats.org/officeDocument/2006/relationships/hyperlink" Target="http://www.sec.gov/ix?doc=/Archives/edgar/data/1811210/000110465924007267/tm244182d1_8k.htm" TargetMode="External"/><Relationship Id="rId40" Type="http://schemas.openxmlformats.org/officeDocument/2006/relationships/hyperlink" Target="http://www.sec.gov/ix?doc=/Archives/edgar/data/1811210/000110465924024581/tm246312d1_8k.htm" TargetMode="External"/><Relationship Id="rId41" Type="http://schemas.openxmlformats.org/officeDocument/2006/relationships/hyperlink" Target="http://www.sec.gov/ix?doc=/Archives/edgar/data/1811210/000110465924064914/tm2415482d1_8k.htm" TargetMode="External"/><Relationship Id="rId42" Type="http://schemas.openxmlformats.org/officeDocument/2006/relationships/hyperlink" Target="http://www.sec.gov/ix?doc=/Archives/edgar/data/1811210/000110465924069080/tm2416547d1_8k.htm" TargetMode="External"/><Relationship Id="rId43" Type="http://schemas.openxmlformats.org/officeDocument/2006/relationships/hyperlink" Target="http://www.sec.gov/ix?doc=/Archives/edgar/data/1811210/000162828024034724/lcid-20240804.htm" TargetMode="External"/><Relationship Id="rId44" Type="http://schemas.openxmlformats.org/officeDocument/2006/relationships/hyperlink" Target="http://www.sec.gov/ix?doc=/Archives/edgar/data/1811210/000162828024037638/lcid-20240816.htm" TargetMode="External"/><Relationship Id="rId46" Type="http://schemas.openxmlformats.org/officeDocument/2006/relationships/hyperlink" Target="http://www.sec.gov/Archives/edgar/data/1811210/000162828022004253/exhibit46descriptionofsecu.htm" TargetMode="External"/><Relationship Id="rId88" Type="http://schemas.openxmlformats.org/officeDocument/2006/relationships/hyperlink" Target="http://www.sec.gov/Archives/edgar/data/1811210/000110465923049685/tm2313633d1_ex3-1.htm" TargetMode="External"/><Relationship Id="rId89" Type="http://schemas.openxmlformats.org/officeDocument/2006/relationships/hyperlink" Target="http://www.sec.gov/Archives/edgar/data/1811210/000110465923028423/tm238322d1_ex3-2.htm" TargetMode="External"/><Relationship Id="rId90" Type="http://schemas.openxmlformats.org/officeDocument/2006/relationships/hyperlink" Target="http://www.sec.gov/Archives/edgar/data/1811210/000110465924041218/tm2410184d1_ex3-1.htm" TargetMode="External"/><Relationship Id="rId91" Type="http://schemas.openxmlformats.org/officeDocument/2006/relationships/hyperlink" Target="http://www.sec.gov/Archives/edgar/data/1811210/000162828024037638/form8-kxex31.htm" TargetMode="External"/><Relationship Id="rId92" Type="http://schemas.openxmlformats.org/officeDocument/2006/relationships/hyperlink" Target="http://www.sec.gov/Archives/edgar/data/1811210/000110465921095842/tm2120294d5_ex4-1.htm" TargetMode="External"/><Relationship Id="rId94" Type="http://schemas.openxmlformats.org/officeDocument/2006/relationships/hyperlink" Target="http://www.sec.gov/Archives/edgar/data/1811210/000110465921026357/tm217491d2_ex10-1.htm" TargetMode="External"/><Relationship Id="rId95" Type="http://schemas.openxmlformats.org/officeDocument/2006/relationships/hyperlink" Target="http://www.sec.gov/Archives/edgar/data/1811210/000110465922115976/tm2229867d2_ex10-2.htm" TargetMode="External"/><Relationship Id="rId96" Type="http://schemas.openxmlformats.org/officeDocument/2006/relationships/hyperlink" Target="http://www.sec.gov/Archives/edgar/data/1811210/000110465923068017/tm2317789d1_ex10-2.htm" TargetMode="External"/><Relationship Id="rId97" Type="http://schemas.openxmlformats.org/officeDocument/2006/relationships/hyperlink" Target="http://www.sec.gov/Archives/edgar/data/1811210/000110465924041218/tm2410184d1_ex10-1.htm" TargetMode="External"/><Relationship Id="rId98" Type="http://schemas.openxmlformats.org/officeDocument/2006/relationships/hyperlink" Target="http://www.sec.gov/Archives/edgar/data/1811210/000162828024037638/form8-k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2024-10-16T15:46:05Z</dcterms:created>
  <dcterms:modified xsi:type="dcterms:W3CDTF">2024-10-16T15:46:05Z</dcterms:modified>
</cp:coreProperties>
</file>