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45"/>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14, 2026, the Company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between the Company and BofA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 (the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relating to the issuance and sale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shares of the Company’s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aggregate net proceeds, after expenses, to the Company of approximately $291.5 million. The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offer the shares of Common Stock from time to time for sale in one or more transactions on the Nasdaq Global Market, in the over-the-counter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negotiated transactions or otherwise at market prices prevailing at the time of sale, at prices related to prevailing market prices or at negotiated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 The Common Stock is being sold pursuant to a prospectus supplement, dated April 14, 2026, and the accompanying prospectus, dated April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each filed with the Securities and Exchange Commission, relating to the Company’s shelf registration statement on Form S-3ASR (File No.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295033).</w:t>
      </w:r>
    </w:p>
    <w:p>
      <w:pPr>
        <w:spacing w:after="0" w:line="20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Company has agreed to indemnify the Underwriter against certain liabilities, including certain liabilities under the Securities Act of 1933, as amended. If the Company is unable to provide the required indemnification, the Company has agreed to contribute to payments the Underwriter may be required to make in respect of those liabilities. In addition, the Underwriting Agreement contains customary representations, warranties and covenants of the Company.</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such agreement, a copy of which is filed herewith as Exhibit 1.1 to this Current Report on Form 8-K and is incorporated herein by reference.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legal opinion of Skadden, Arps, Slate, Meagher &amp; Flom LLP relating to the Common Stock sold pursuant to the Underwriting Agreement is filed as Exhibit 5.1 to this Current Report on Form 8-K.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pricing of the Offering is attached as Exhibit 99.1, and is incorporated into this Item 8.01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1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2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Underwriting Agreement, dated April 14, 2026, between Lucid Group, Inc., and BofA Securities, Inc.</w:t>
            </w:r>
          </w:p>
        </w:tc>
        <w:tc>
          <w:tcPr>
            <w:tcW w:w="2760" w:type="dxa"/>
            <w:vAlign w:val="bottom"/>
          </w:tcPr>
          <w:p>
            <w:pPr>
              <w:spacing w:after="0"/>
              <w:rPr>
                <w:sz w:val="16"/>
                <w:szCs w:val="16"/>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r>
      <w:tr>
        <w:trPr>
          <w:trHeight w:val="196"/>
        </w:trPr>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5.1).</w:t>
            </w:r>
          </w:p>
        </w:tc>
      </w:tr>
      <w:tr>
        <w:trPr>
          <w:trHeight w:val="196"/>
        </w:trPr>
        <w:tc>
          <w:tcPr>
            <w:tcW w:w="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6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April 14, 2026.</w:t>
            </w:r>
          </w:p>
        </w:tc>
        <w:tc>
          <w:tcPr>
            <w:tcW w:w="3280" w:type="dxa"/>
            <w:vAlign w:val="bottom"/>
            <w:tcBorders>
              <w:top w:val="single" w:sz="8" w:color="0000EE"/>
            </w:tcBorders>
            <w:gridSpan w:val="2"/>
          </w:tcPr>
          <w:p>
            <w:pPr>
              <w:spacing w:after="0"/>
              <w:rPr>
                <w:sz w:val="17"/>
                <w:szCs w:val="17"/>
                <w:color w:val="auto"/>
              </w:rPr>
            </w:pPr>
          </w:p>
        </w:tc>
        <w:tc>
          <w:tcPr>
            <w:tcW w:w="4200" w:type="dxa"/>
            <w:vAlign w:val="bottom"/>
            <w:gridSpan w:val="2"/>
          </w:tcPr>
          <w:p>
            <w:pPr>
              <w:spacing w:after="0"/>
              <w:rPr>
                <w:sz w:val="17"/>
                <w:szCs w:val="17"/>
                <w:color w:val="auto"/>
              </w:rPr>
            </w:pPr>
          </w:p>
        </w:tc>
      </w:tr>
      <w:tr>
        <w:trPr>
          <w:trHeight w:val="237"/>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36,057,692 Shares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36,057,692 Shares of Class A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Lucid Group, Inc., a Delaware corporation (the “Company”), confirms its agreement with BofA Securities, Inc. (“BofA” or the “Underwriter”) with respect to the sale by the Company and the purchase by BofA of the number of shares of Class A Common Stock, par value $0.0001 per share, of the Company (“Common Stock”) set forth in Schedule A hereto. The aforesaid 36,057,692 shares of Common Stock to be purchased by BofA are herein called the “Securities.”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understands that BofA proposes to make a public offering of the Securities as soon as BofA deems advisable after this Agreement has been executed and delivered. Ayar Third Investment Company (“Ayar”) has agreed to purchase 55,000 shares of Series C Redeemable Convertible Preferred Stock from the Company pursuant to the Subscription Agreement between Ayar and the Company, dated as of the date hereof (the “Ayar Agreement”), as Placement Shares (as defined in the Ayar Agreement) with respect to the transactions contemplated hereby (the “Ayar Investment”). Uber Technologies Inc. (or one of its affiliates) (“Uber”) has agreed to purchase 24,038,462 shares of Common Stock from the Company pursuant to the Subscription Agreement between Uber and the Company, dated as of the date hereof (the “Uber Agreement” and, together with the Ayar Agreement, the “Concurrent Agreements”), as Placement Shares (as defined in the Uber Agreement) with respect to the transactions contemplated hereby (the “Uber Investment” and, together with the Ayar Investment, the “Concurrent Investments”).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“Commission”) an automatic shelf registration statement on Form S-3 (File No. 333-295033) covering the public offering and sale of certain securities, including the Securities,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and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The base prospectus included in the Registration Statement at the time of its effectiveness used in connection with the offering of the Securities, including the documents incorporated or deemed to be incorporated by reference therein pursuant to Item 12 of Form S-3 under the 1933 Act, are collectively referred to herein as the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BofA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“Applicable Time” means 7:20 A.M., New York City time, on April 14, 2026.</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“General Disclosure Package” means any Issuer General Use Free Writing Prospectuses issued at or prior to the Applicable Time, the preliminary prospectus (including any documents incorporated therein by reference) that is distributed to investors prior to the Applicable Time and the information included on Schedule B-1 hereto, all considered together.</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as evidenced by its being specified in Schedule B-2 hereto.</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the preliminary prospectus or the Prospectus shall be deemed to include all such financial statements and schedules and other information incorporated or deemed incorporated by reference in the Registration Statement, the preliminary prospectus or the Prospectus, as the case may be, prior to the execution and delivery of this Agreement; and all references in this Agreement to amendments or supplements to the Registration Statement, the preliminary prospectus or the Prospectus shall be deemed to include the filing of any document under the Securities Exchange Act of 1934, as amended, and the rules and regulations promulgated thereunder (collectively, the “1934 Act”), incorporated or deemed to be incorporated by reference in the Registration Statement, the preliminary prospectus or the Prospectus, as the case may be, at or after the execution and delivery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BofA as of the date hereof, the Applicable Time and the Closing Time (as defined below), and agrees with BofA, as follows:</w:t>
      </w:r>
    </w:p>
    <w:p>
      <w:pPr>
        <w:spacing w:after="0" w:line="16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Registration Statement and Prospectuses</w:t>
      </w:r>
      <w:r>
        <w:rPr>
          <w:rFonts w:ascii="Times New Roman" w:cs="Times New Roman" w:eastAsia="Times New Roman" w:hAnsi="Times New Roman"/>
          <w:sz w:val="18"/>
          <w:szCs w:val="18"/>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the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each deemed effective date with respect to BofA pursuant to Rule 430B(f)(2) under the 1933 Act Regulations, the Applicable Time, the Closing Time complied and will comply in all material respects with the requirements of the 1933 Act and the 1933 Act Regulations. The preliminary prospectus, the Prospectus and any amendment or supplement thereto, at the time each was filed with the Commission, and, in each case, at the Applicable Time, the Closing Time complied and will comply in all material respects with the requirements of the 1933 Act Regulations and the preliminary prospectus and the Prospectus delivered to BofA for use in connection with this offering was identical to the electronically transmitted copies thereof filed with the Commission pursuant to EDGAR, except to the extent permitted by Regulation S-T.</w:t>
      </w:r>
    </w:p>
    <w:p>
      <w:pPr>
        <w:spacing w:after="0" w:line="18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The documents incorporated or deemed to be incorporated by reference in the Registration Statement, the preliminary prospectus and the Prospectus, when they became effective or at the time they were or hereafter are filed with the Commission, complied and will comply in all material respects with the requirements of the 1934 Act and the rules and regulations of the Commission under the 1934 Act (the “1934 Act Regulations”).</w:t>
      </w:r>
    </w:p>
    <w:p>
      <w:pPr>
        <w:spacing w:after="0" w:line="18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Accurate Disclosure</w:t>
      </w:r>
      <w:r>
        <w:rPr>
          <w:rFonts w:ascii="Times New Roman" w:cs="Times New Roman" w:eastAsia="Times New Roman" w:hAnsi="Times New Roman"/>
          <w:sz w:val="18"/>
          <w:szCs w:val="18"/>
          <w:color w:val="auto"/>
        </w:rPr>
        <w:t>. Neither the Registration Statement nor any amendment thereto, at its effective time, on the date hereof or at the Closing Time, contained, contains or will contain an untrue statement of a material fact or omitted, omits or will omit to state a material fact required to be stated therein or necessary to make the statements therein not misleading. At the Applicable Time and at the Closing Time neither</w:t>
      </w:r>
    </w:p>
    <w:p>
      <w:pPr>
        <w:spacing w:after="0" w:line="1" w:lineRule="exact"/>
        <w:rPr>
          <w:sz w:val="20"/>
          <w:szCs w:val="20"/>
          <w:color w:val="auto"/>
        </w:rPr>
      </w:pPr>
    </w:p>
    <w:p>
      <w:pPr>
        <w:jc w:val="both"/>
        <w:ind w:left="660" w:hanging="4"/>
        <w:spacing w:after="0" w:line="251" w:lineRule="auto"/>
        <w:tabs>
          <w:tab w:leader="none" w:pos="9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Disclosure Package nor (B) any individual Issuer Limited Use Free Writing Prospectus, when considered together with the General Disclosure Package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BofA expressly for use therein. For purposes of this Agreement, the only information so furnished shall be the information under the heading “Underwriting–Commissions and Discounts,” the information under the heading “Underwriting–Short Positions” and the information under the heading “Underwriting–Electronic Distribution” in each case contained in the Prospectus (collectively, the “Underwriter Information”).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 Act Regulations (“Rule 163”) and otherwise complied with the requirements of Rule 163, including without limitation the legending requirement, to qualify such offer for the exemption from Section 5(c) of the 1933 Act provided by Rule 163.</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Well-Known Seasoned Issuer</w:t>
      </w:r>
      <w:r>
        <w:rPr>
          <w:rFonts w:ascii="Times New Roman" w:cs="Times New Roman" w:eastAsia="Times New Roman" w:hAnsi="Times New Roman"/>
          <w:sz w:val="18"/>
          <w:szCs w:val="18"/>
          <w:color w:val="auto"/>
        </w:rPr>
        <w:t>.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Independent Accountants</w:t>
      </w:r>
      <w:r>
        <w:rPr>
          <w:rFonts w:ascii="Times New Roman" w:cs="Times New Roman" w:eastAsia="Times New Roman" w:hAnsi="Times New Roman"/>
          <w:sz w:val="18"/>
          <w:szCs w:val="18"/>
          <w:color w:val="auto"/>
        </w:rPr>
        <w:t>. The accountants (the “Accountants”) who certified the financial statements and supporting schedules included in the Registration Statement, the General Disclosure Package and the Prospectus are independent public accountants as required by the 1933 Act, the 1933 Act Regulations, the 1934 Act and the 1934 Act Regulations and the Public Company Accounting Oversight Board.</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or the 1934 Act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or any development involving a prospective material adverse change in the condition, financial or otherwise, or in the earnings, business or management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Good Standing of Subsidiaries</w:t>
      </w:r>
      <w:r>
        <w:rPr>
          <w:rFonts w:ascii="Times New Roman" w:cs="Times New Roman" w:eastAsia="Times New Roman" w:hAnsi="Times New Roman"/>
          <w:sz w:val="18"/>
          <w:szCs w:val="18"/>
          <w:color w:val="auto"/>
        </w:rPr>
        <w:t>. Each “significant subsidiary” of the Company (as such term is defined in Rule 1-02 of Regulation S-X) (each, a “Subsidiary” and, collectively, the “Subsidiaries”) has been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General Disclosure Package or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Subsidiaries listed on Exhibit 21.1 to the Company’s Annual Report on Form 10-K for the fiscal year ended December 31, 2025, as filed with the Commission.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authorized capital stock of the Company conforms as to legal matters to the description thereof contained in the Registration Statement, the General Disclosure Package, and the Prospectus. All outstanding shares of capital stock of the Company have been duly authorized and validly issued in accordance with the Bylaws, fully paid and non-assessable and conform as to legal matters to the description thereof contained in or incorporated by reference into the Prospectus; and the stockholders of the Company have no preemptive rights with respect to the Securities. As of the date of the Company’s most recent Annual Report on Form 10-K, except as disclosed in the Registration Statement, the General Disclosure Package, and the Prospectus, neither the Company nor any of the Subsidiaries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All outstanding shares of capital stock and options and other rights to acquire capital stock have been issued in compliance with the registration and qualification provisions of all applicable securities laws and were not issued in violation of any preemptive rights, rights of first refusal or other similar rights.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u w:val="single" w:color="auto"/>
          <w:color w:val="auto"/>
        </w:rPr>
        <w:t>  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u w:val="single" w:color="auto"/>
          <w:color w:val="auto"/>
        </w:rPr>
        <w:t>  Securities</w:t>
      </w:r>
      <w:r>
        <w:rPr>
          <w:rFonts w:ascii="Times New Roman" w:cs="Times New Roman" w:eastAsia="Times New Roman" w:hAnsi="Times New Roman"/>
          <w:sz w:val="18"/>
          <w:szCs w:val="18"/>
          <w:color w:val="auto"/>
        </w:rPr>
        <w:t>. The Securities to be offered by the Company hereunder have been duly authorized and, when issued and delivered and paid for as provided herein, will be duly and validly issued in accordance with the third amended and restated certificate of incorporation of the Company, as subsequently amended from time to time, and the second amended and restated bylaws of the Company, as subsequently amended from time to time, and will be fully paid and non-assessable and will conform to the description thereof in the Registration Statement, the General Disclosure Package and the Prospectus; and no such issuance of Securities is subject to any statutory, preemptive or other similar contractual rights to subscribe for the Securities.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There are no persons with registration rights or other similar rights to have any securities of the Company registered for sale or sold by the Company under the 1933 Act, other than those rights that have been disclosed in the Registration Statement, the General Disclosure Package or the Prospectus. No person has the right to include any securities in the Securities to be sold in the offering contemplated by this Agreement, except for any such right that has been complied with or duly waived.</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u w:val="single" w:color="auto"/>
          <w:color w:val="auto"/>
        </w:rPr>
        <w:t>  Absence of Violations, Defaults and Conflicts</w:t>
      </w:r>
      <w:r>
        <w:rPr>
          <w:rFonts w:ascii="Times New Roman" w:cs="Times New Roman" w:eastAsia="Times New Roman" w:hAnsi="Times New Roman"/>
          <w:sz w:val="18"/>
          <w:szCs w:val="18"/>
          <w:color w:val="auto"/>
        </w:rPr>
        <w:t>. Neither the Company nor any of its subsidiaries is (A) in material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singly or in the aggregate, result in a Material Adverse Effect. Neither the Company nor any of its Subsidiaries is in violation of its charter, by-laws or similar organizational document. The execution, delivery and performance of this Agreement and the consummation of the transactions contemplated herein and in the Registration Statement, the General Disclosure Package and the Prospectus (including the issuance and sale of the Securities and the use of the net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(i) the charter, by-laws or similar organizational document of the Company or any of its subsidiaries or (ii) any law, statute, rule, regulation, judgment, order, writ or decree of any Governmental Entity, except, with respect to clause (ii), such violations as would not reasonably be expected to,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prior to its stated maturity, by the Company or any of its subsidiaries.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(xvi)     </w:t>
      </w:r>
      <w:r>
        <w:rPr>
          <w:rFonts w:ascii="Times New Roman" w:cs="Times New Roman" w:eastAsia="Times New Roman" w:hAnsi="Times New Roman"/>
          <w:sz w:val="18"/>
          <w:szCs w:val="18"/>
          <w:u w:val="single" w:color="auto"/>
          <w:color w:val="auto"/>
        </w:rPr>
        <w:t>  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result in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(xvii)    </w:t>
      </w:r>
      <w:r>
        <w:rPr>
          <w:rFonts w:ascii="Times New Roman" w:cs="Times New Roman" w:eastAsia="Times New Roman" w:hAnsi="Times New Roman"/>
          <w:sz w:val="18"/>
          <w:szCs w:val="18"/>
          <w:u w:val="single" w:color="auto"/>
          <w:color w:val="auto"/>
        </w:rPr>
        <w:t>  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the Company or any of its subsidiaries, which might result in a Material Adverse Effect, or which might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could not result in a Material Adverse Effect.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(xviii)   </w:t>
      </w:r>
      <w:r>
        <w:rPr>
          <w:rFonts w:ascii="Times New Roman" w:cs="Times New Roman" w:eastAsia="Times New Roman" w:hAnsi="Times New Roman"/>
          <w:sz w:val="18"/>
          <w:szCs w:val="18"/>
          <w:u w:val="single" w:color="auto"/>
          <w:color w:val="auto"/>
        </w:rPr>
        <w:t>  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(xix)     </w:t>
      </w:r>
      <w:r>
        <w:rPr>
          <w:rFonts w:ascii="Times New Roman" w:cs="Times New Roman" w:eastAsia="Times New Roman" w:hAnsi="Times New Roman"/>
          <w:sz w:val="18"/>
          <w:szCs w:val="18"/>
          <w:u w:val="single" w:color="auto"/>
          <w:color w:val="auto"/>
        </w:rPr>
        <w:t>  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hereby, except (x) such as have been obtained and made under the 1933 Act or the 1934 Act or (y) such consents, approvals, authorizations, orders and registrations or qualifications (A) as may be obtained under applicable securities or blue-sky laws of any state or foreign jurisdiction in connection with the sale of the Securities by BofA or (B) as have been obtained prior to the date herewith.</w:t>
      </w:r>
    </w:p>
    <w:p>
      <w:pPr>
        <w:spacing w:after="0" w:line="187"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  Possession of Licenses and Permits</w:t>
      </w:r>
      <w:r>
        <w:rPr>
          <w:rFonts w:ascii="Times New Roman" w:cs="Times New Roman" w:eastAsia="Times New Roman" w:hAnsi="Times New Roman"/>
          <w:sz w:val="18"/>
          <w:szCs w:val="18"/>
          <w:color w:val="auto"/>
        </w:rPr>
        <w:t>. The Company and its subsidiaries possess such permits, licenses, approvals, consents and other authorizations (collectively, “Governmental Licenses”) issued by the appropriate Governmental Entities necessary to conduct the business now operated by them, except where the failure so to possess would not, singly or in the aggregate, result in a Material Adverse Effect. The Company and its subsidiaries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written notice of proceedings relating to the revocation or modification of any Governmental Licenses which, singly or in the aggregate, if the subject of an unfavorable decision, ruling or finding, would result in a Material Adverse Effect.</w:t>
      </w:r>
    </w:p>
    <w:p>
      <w:pPr>
        <w:spacing w:after="0" w:line="188"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(xxi)     </w:t>
      </w:r>
      <w:r>
        <w:rPr>
          <w:rFonts w:ascii="Times New Roman" w:cs="Times New Roman" w:eastAsia="Times New Roman" w:hAnsi="Times New Roman"/>
          <w:sz w:val="18"/>
          <w:szCs w:val="18"/>
          <w:u w:val="single" w:color="auto"/>
          <w:color w:val="auto"/>
        </w:rPr>
        <w:t>  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1" w:lineRule="exact"/>
        <w:rPr>
          <w:sz w:val="20"/>
          <w:szCs w:val="20"/>
          <w:color w:val="auto"/>
        </w:rPr>
      </w:pPr>
    </w:p>
    <w:p>
      <w:pPr>
        <w:jc w:val="both"/>
        <w:ind w:left="4" w:hanging="4"/>
        <w:spacing w:after="0" w:line="251" w:lineRule="auto"/>
        <w:tabs>
          <w:tab w:leader="none" w:pos="2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singly or in the aggregate, materially affect the value of such property and do not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that would, singly or in the aggregate, be material to the Company and its subsidiaries, taken as a whole.</w:t>
      </w:r>
    </w:p>
    <w:p>
      <w:pPr>
        <w:spacing w:after="0" w:line="194"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(xxii)    </w:t>
      </w:r>
      <w:r>
        <w:rPr>
          <w:rFonts w:ascii="Times New Roman" w:cs="Times New Roman" w:eastAsia="Times New Roman" w:hAnsi="Times New Roman"/>
          <w:sz w:val="18"/>
          <w:szCs w:val="18"/>
          <w:u w:val="single" w:color="auto"/>
          <w:color w:val="auto"/>
        </w:rPr>
        <w:t>  Possession of Intellectual Property</w:t>
      </w:r>
      <w:r>
        <w:rPr>
          <w:rFonts w:ascii="Times New Roman" w:cs="Times New Roman" w:eastAsia="Times New Roman" w:hAnsi="Times New Roman"/>
          <w:sz w:val="18"/>
          <w:szCs w:val="18"/>
          <w:color w:val="auto"/>
        </w:rPr>
        <w:t>. Except as would not, singly or in the aggregate, result in a Material Adverse Effect, (A)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(B) neither the Company nor any of its subsidiaries has received any written notice or is otherwise aware of any infringement of or conflict with asserted rights of others with respect to any Intellectual Property or of any facts or circumstances which would render any Intellectual Property owned by the Company or its Subsidiaries invalid or inadequate to protect the interest of the Company or any of its Subsidiaries therein.</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(xxiii)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Except as described in the Registration Statement, the General Disclosure Package and the Prospectus or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to the Company’s knowledge, there are no events or circumstances that would reasonably be expected to form the basis of an order for clean-up or remediation, or an action, suit or proceeding by any private party or Governmental Entity, against the Company or any of its subsidiaries relating to Hazardous Materials or any Environmental Laws.</w:t>
      </w:r>
    </w:p>
    <w:p>
      <w:pPr>
        <w:spacing w:after="0" w:line="19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(xxiv)    </w:t>
      </w:r>
      <w:r>
        <w:rPr>
          <w:rFonts w:ascii="Times New Roman" w:cs="Times New Roman" w:eastAsia="Times New Roman" w:hAnsi="Times New Roman"/>
          <w:sz w:val="18"/>
          <w:szCs w:val="18"/>
          <w:u w:val="single" w:color="auto"/>
          <w:color w:val="auto"/>
        </w:rPr>
        <w:t>  Accounting Controls and Disclosure Controls</w:t>
      </w:r>
      <w:r>
        <w:rPr>
          <w:rFonts w:ascii="Times New Roman" w:cs="Times New Roman" w:eastAsia="Times New Roman" w:hAnsi="Times New Roman"/>
          <w:sz w:val="18"/>
          <w:szCs w:val="18"/>
          <w:color w:val="auto"/>
        </w:rPr>
        <w:t>. The Company and each of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sz w:val="20"/>
          <w:szCs w:val="20"/>
          <w:color w:val="auto"/>
        </w:rPr>
      </w:pPr>
    </w:p>
    <w:p>
      <w:pPr>
        <w:jc w:val="both"/>
        <w:ind w:left="4" w:hanging="4"/>
        <w:spacing w:after="0" w:line="251" w:lineRule="auto"/>
        <w:tabs>
          <w:tab w:leader="none" w:pos="2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and each of its subsidiaries maintain an effective system of disclosure controls and procedures (as defined in Rule 13a 15 and Rule 15d 15 under the Exchange Act)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(xxv)    </w:t>
      </w:r>
      <w:r>
        <w:rPr>
          <w:rFonts w:ascii="Times New Roman" w:cs="Times New Roman" w:eastAsia="Times New Roman" w:hAnsi="Times New Roman"/>
          <w:sz w:val="18"/>
          <w:szCs w:val="18"/>
          <w:u w:val="single" w:color="auto"/>
          <w:color w:val="auto"/>
        </w:rPr>
        <w:t>  Compliance with the Sarbanes-Oxley Act.</w:t>
      </w:r>
      <w:r>
        <w:rPr>
          <w:rFonts w:ascii="Times New Roman" w:cs="Times New Roman" w:eastAsia="Times New Roman" w:hAnsi="Times New Roman"/>
          <w:sz w:val="18"/>
          <w:szCs w:val="18"/>
          <w:color w:val="auto"/>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(xxvi)   </w:t>
      </w:r>
      <w:r>
        <w:rPr>
          <w:rFonts w:ascii="Times New Roman" w:cs="Times New Roman" w:eastAsia="Times New Roman" w:hAnsi="Times New Roman"/>
          <w:sz w:val="18"/>
          <w:szCs w:val="18"/>
          <w:u w:val="single" w:color="auto"/>
          <w:color w:val="auto"/>
        </w:rPr>
        <w:t>  Payment of Taxes</w:t>
      </w:r>
      <w:r>
        <w:rPr>
          <w:rFonts w:ascii="Times New Roman" w:cs="Times New Roman" w:eastAsia="Times New Roman" w:hAnsi="Times New Roman"/>
          <w:sz w:val="18"/>
          <w:szCs w:val="18"/>
          <w:color w:val="auto"/>
        </w:rPr>
        <w:t>. All United States federal, state, local and non-U.S.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file such a return or pay such a tax would not, in the aggregate, reasonably be expected to have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in the aggregate result in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(xxvii)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Neither of the Company nor any of its subsidiaries has been denied any insurance coverage which it has sought or for which it has applied during the past three years.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(xxviii)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(xxix)   </w:t>
      </w:r>
      <w:r>
        <w:rPr>
          <w:rFonts w:ascii="Times New Roman" w:cs="Times New Roman" w:eastAsia="Times New Roman" w:hAnsi="Times New Roman"/>
          <w:sz w:val="18"/>
          <w:szCs w:val="18"/>
          <w:u w:val="single" w:color="auto"/>
          <w:color w:val="auto"/>
        </w:rPr>
        <w:t>  Absence of Manipulation</w:t>
      </w:r>
      <w:r>
        <w:rPr>
          <w:rFonts w:ascii="Times New Roman" w:cs="Times New Roman" w:eastAsia="Times New Roman" w:hAnsi="Times New Roman"/>
          <w:sz w:val="18"/>
          <w:szCs w:val="18"/>
          <w:color w:val="auto"/>
        </w:rPr>
        <w:t>. Neither the Company nor any controlled affiliate of the Company has taken, nor will the Company or any controlled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 Except as permitted by the 1933 Act and furnished and consented to by BofA prior to distribution, the Company has not distributed any registration statement, preliminary prospectus, prospectus or other offering material in connection with the Securities.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(xxx)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None of the Company, any of its subsidiaries or, to the knowledge of the Company, any director, officer, agent, employee, controlled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(xxxi)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knowledge of the Company, threatened.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(xxxii)   </w:t>
      </w:r>
      <w:r>
        <w:rPr>
          <w:rFonts w:ascii="Times New Roman" w:cs="Times New Roman" w:eastAsia="Times New Roman" w:hAnsi="Times New Roman"/>
          <w:sz w:val="18"/>
          <w:szCs w:val="18"/>
          <w:u w:val="single" w:color="auto"/>
          <w:color w:val="auto"/>
        </w:rPr>
        <w:t>  OFAC</w:t>
      </w:r>
      <w:r>
        <w:rPr>
          <w:rFonts w:ascii="Times New Roman" w:cs="Times New Roman" w:eastAsia="Times New Roman" w:hAnsi="Times New Roman"/>
          <w:sz w:val="18"/>
          <w:szCs w:val="18"/>
          <w:color w:val="auto"/>
        </w:rPr>
        <w:t>. None of the Company, any of its subsidiaries or, to the knowledge of the Company, any director, officer, agent, employee, controlled affiliate or representative of the Company or any of its subsidiaries is an individual or entity (“Person”) currently the subject or target of any sanctions of or administered or enforced by the United States Government, including, without limitation, the U.S. Department of the Treasury’s Office of Foreign Assets Control (“OFAC”), the U.S. Department of State, the United Nations Security Council, the European Union, His Majesty’s Treasury, or other relevant sanctions authority (collectively, “Sanctions”), nor is the Company or any of its subsidiaries located, organized or resident in a country or territory that is the subject of Sanctions (including, without limitation, Cuba, Iran, North Korea, Syria, the Crimea, Kherson, and Zaporizhzhia regions of Ukraine, the so-called Donetsk People’s Republic and the so-called Luhansk People’s Republic); and the Company will not, directly or indirectly, use the proceeds of the sale of the Securities, or lend, contribute or otherwise make available such proceeds to any subsidiaries, joint venture partners or other Person, to (A)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or (B) finance any of the Company’s operations or activities (including joint ventures) in the Russian Federation, or to purchase Russian origin crude oil or refined petroleum products.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(xxxiii)  </w:t>
      </w:r>
      <w:r>
        <w:rPr>
          <w:rFonts w:ascii="Times New Roman" w:cs="Times New Roman" w:eastAsia="Times New Roman" w:hAnsi="Times New Roman"/>
          <w:sz w:val="18"/>
          <w:szCs w:val="18"/>
          <w:u w:val="single" w:color="auto"/>
          <w:color w:val="auto"/>
        </w:rPr>
        <w:t>  Outbound Investments</w:t>
      </w:r>
      <w:r>
        <w:rPr>
          <w:rFonts w:ascii="Times New Roman" w:cs="Times New Roman" w:eastAsia="Times New Roman" w:hAnsi="Times New Roman"/>
          <w:sz w:val="18"/>
          <w:szCs w:val="18"/>
          <w:color w:val="auto"/>
        </w:rPr>
        <w:t>. Neither the Company nor any of its subsidiaries is or has any present intention to become a “covered foreign person,” as that term is used in the regulations administered and enforced by the U.S. Treasury Department under U.S. Executive Order 14105 and codified at 31 C.F.R. § 850.101 et seq. (the “Outbound Investment Rules”). Neither the Company nor any of its subsidiaries currently engages,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(as defined below), or (iii) any other activity that would cause BofA or any of its affiliates to be in violation of the Outbound Investment Rules or cause BofA or any of its affiliates to be legally prohibited by the Outbound Investment Rules from performing under this Agreement. For purposes of this Agreement, a “U.S. Person” means any United States citizen, lawful permanent resident, entity organized under the laws of the United States or any jurisdiction within the United States, including any foreign branch of any such entity, or any person in the United States.</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(xxxiv)  </w:t>
      </w:r>
      <w:r>
        <w:rPr>
          <w:rFonts w:ascii="Times New Roman" w:cs="Times New Roman" w:eastAsia="Times New Roman" w:hAnsi="Times New Roman"/>
          <w:sz w:val="18"/>
          <w:szCs w:val="18"/>
          <w:u w:val="single" w:color="auto"/>
          <w:color w:val="auto"/>
        </w:rPr>
        <w:t>  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the General Disclosure Package and the Prospectus, the Company (i) does not have any material lending or other relationship with any bank or lending affiliate of BofA and (ii) does not intend to use any of the proceeds from the sale of the Securities to repay any outstanding debt owed to any affiliate of BofA.</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(xxxv)   </w:t>
      </w:r>
      <w:r>
        <w:rPr>
          <w:rFonts w:ascii="Times New Roman" w:cs="Times New Roman" w:eastAsia="Times New Roman" w:hAnsi="Times New Roman"/>
          <w:sz w:val="18"/>
          <w:szCs w:val="18"/>
          <w:u w:val="single" w:color="auto"/>
          <w:color w:val="auto"/>
        </w:rPr>
        <w:t>  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(xxxvi)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(A) Except as would not, singly or in the aggregate, result in a Material Adverse Effect, there has been no security breach or incident, unauthorized access or disclosure, or other compromise of or relating to the Company or its subsidiaries information technology and computer systems, networks, hardware, software, data and databases (including the data and information maintained, processed or stored by the Company and its subsidiaries), equipment or technology (collectively, “IT Systems and Data”); (B) neither the Company nor its subsidiaries have been notified of, and each of them have no knowledge of any material event or condition that could result in, any security breach or incident, unauthorized access or disclosure or other compromise to their IT Systems and Data; and (C) the Company and its subsidiaries have implemented commercially reasonable controls, policies, procedures, and technological safeguards designed to maintain and protect the integrity, continuous operation, redundancy and security of their material IT Systems and Data reasonably consistent with applicable binding industry standards and practices, or as required by applicable binding regulatory standards. The Company and its subsidiaries are presently in material compliance with all applicable laws or statutes and all judgments, orders, rules and regulations of any court or arbitrator or governmental or regulatory authority, public-facing policies and statements and contractual obligations relating to the privacy and security of IT Systems and Data and to the protection of such IT Systems and Data from unauthorized use, access, misappropriation or modification.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(xxxvii) </w:t>
      </w:r>
      <w:r>
        <w:rPr>
          <w:rFonts w:ascii="Times New Roman" w:cs="Times New Roman" w:eastAsia="Times New Roman" w:hAnsi="Times New Roman"/>
          <w:sz w:val="18"/>
          <w:szCs w:val="18"/>
          <w:u w:val="single" w:color="auto"/>
          <w:color w:val="auto"/>
        </w:rPr>
        <w:t>  Uyghur Forced Labor Prevention Act.</w:t>
      </w:r>
      <w:r>
        <w:rPr>
          <w:rFonts w:ascii="Times New Roman" w:cs="Times New Roman" w:eastAsia="Times New Roman" w:hAnsi="Times New Roman"/>
          <w:sz w:val="18"/>
          <w:szCs w:val="18"/>
          <w:color w:val="auto"/>
        </w:rPr>
        <w:t xml:space="preserve"> The operations of neither the Company nor any 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 The Company and its subsidiaries have implemented policies and controls reasonably designed to mitigate the risks of forced labor in their supply chains and to ensure compliance with Section 307 of the Tariff Act of 1930.</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(xxxviii) </w:t>
      </w:r>
      <w:r>
        <w:rPr>
          <w:rFonts w:ascii="Times New Roman" w:cs="Times New Roman" w:eastAsia="Times New Roman" w:hAnsi="Times New Roman"/>
          <w:sz w:val="18"/>
          <w:szCs w:val="18"/>
          <w:u w:val="single" w:color="auto"/>
          <w:color w:val="auto"/>
        </w:rPr>
        <w:t> Issuer Free Writing Prospectus</w:t>
      </w:r>
      <w:r>
        <w:rPr>
          <w:rFonts w:ascii="Times New Roman" w:cs="Times New Roman" w:eastAsia="Times New Roman" w:hAnsi="Times New Roman"/>
          <w:sz w:val="18"/>
          <w:szCs w:val="18"/>
          <w:color w:val="auto"/>
        </w:rPr>
        <w:t>. The Company has not made any offer relating to the Securities that would constitute an Issuer Free Writing Prospectus or that would otherwise constitute a “free writing prospectus,” or a portion thereof, required to be filed by the Company with the Commission or retained by the Company under Rule 433.</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6" w:name="page17"/>
    <w:bookmarkEnd w:id="16"/>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BofA or to counsel for BofA shall be deemed a representation and warranty by the Company to BofA as to the matters covered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Sale and Delivery to BofA;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 Company agrees to sell to BofA, and BofA agrees to purchase from the Company, at the price per share set forth in Schedule A, that number of Securities set forth in Schedule A.</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or security entitlements for, the Securities shall be made at the offices of Simpson Thacher &amp; Bartlett LLP, 2475 Hanover Street, Palo Alto, CA 94304, or at such other place as shall be agreed upon by BofA and the Company, at 9:00 A.M. (New York City time) on the first (second, if the pricing occurs after 4:30 P.M. (New York City time) on any given day) business day after the date hereof, or such other time not later than ten business days after such date as shall be agreed upon by BofA and the Company (such time and date of payment and delivery being herein called “Closing Time”).</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BofA for the account of BofA of certificates or security entitlements for the Securities to be purchased by BofA.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Covenants of the Company</w:t>
      </w:r>
      <w:r>
        <w:rPr>
          <w:rFonts w:ascii="Times New Roman" w:cs="Times New Roman" w:eastAsia="Times New Roman" w:hAnsi="Times New Roman"/>
          <w:sz w:val="18"/>
          <w:szCs w:val="18"/>
          <w:color w:val="auto"/>
        </w:rPr>
        <w:t>. The Company covenants with BofA as follows:</w:t>
      </w: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Compliance with Securities Regulations and Commission Requests</w:t>
      </w:r>
      <w:r>
        <w:rPr>
          <w:rFonts w:ascii="Times New Roman" w:cs="Times New Roman" w:eastAsia="Times New Roman" w:hAnsi="Times New Roman"/>
          <w:sz w:val="17"/>
          <w:szCs w:val="17"/>
          <w:color w:val="auto"/>
        </w:rPr>
        <w:t>. The Company, subject to Section 3(b), will comply with the requirements of Rule 430B, and will notify BofA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the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w:t>
      </w:r>
    </w:p>
    <w:p>
      <w:pPr>
        <w:spacing w:after="0" w:line="11" w:lineRule="exact"/>
        <w:rPr>
          <w:sz w:val="20"/>
          <w:szCs w:val="20"/>
          <w:color w:val="auto"/>
        </w:rPr>
      </w:pPr>
    </w:p>
    <w:p>
      <w:pPr>
        <w:jc w:val="both"/>
        <w:ind w:firstLine="8"/>
        <w:spacing w:after="0" w:line="255" w:lineRule="auto"/>
        <w:tabs>
          <w:tab w:leader="none" w:pos="2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1933 Act Regulations without regard to the proviso therein and otherwise in accordance with Rules 456(b) and 457(r) under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BofA or for the Company, to</w:t>
      </w:r>
    </w:p>
    <w:p>
      <w:pPr>
        <w:spacing w:after="0" w:line="1" w:lineRule="exact"/>
        <w:rPr>
          <w:sz w:val="20"/>
          <w:szCs w:val="20"/>
          <w:color w:val="auto"/>
        </w:rPr>
      </w:pPr>
    </w:p>
    <w:p>
      <w:pPr>
        <w:jc w:val="both"/>
        <w:ind w:firstLine="8"/>
        <w:spacing w:after="0" w:line="251" w:lineRule="auto"/>
        <w:tabs>
          <w:tab w:leader="none" w:pos="2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BofA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BofA with copies of any such amendment or supplement and (C) file with the Commission any such amendment or supplement; provided that the Company shall not file or use any such amendment or supplement to which BofA or counsel for BofA shall object. The Company will furnish to BofA such number of copies of such amendment or supplement as BofA may reasonably request. The Company has given BofA notice of any filings made pursuant to the 1934 Act or 1934 Act Regulations within 48 hours prior to the Applicable Time; the Company will give BofA notice of its intention to make any such filing from the Applicable Time to the Closing Time and will furnish BofA with copies of any such documents a reasonable amount of time prior to such proposed filing, as the case may be, and will not file or use any such document to which BofA or counsel for BofA shall reasonably object.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BofA and counsel for BofA, without charge, conformed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BofA, without charge, a conformed copy of the Registration Statement as originally filed and each amendment thereto (without exhibits) for BofA. The copies of the Registration Statement and each amendment thereto furnished to BofA will be identical to the electronically transmitted copies thereof filed with the Commission pursuant to EDGAR, except to the extent permitted by Regulation S-T.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BofA, without charge, as many copies of the preliminary prospectus as BofA reasonably requested, and the Company hereby consents to the use of such copies for purposes permitted by the 1933 Act. The Company will furnish to BofA, without charge, during the period when a prospectus relating to the Securities is (or, but for the exception afforded by Rule 172, would be) required to be delivered under the 1933 Act, such number of copies of the Prospectus (as amended or supplemented) as BofA may reasonably request. The Prospectus and any amendments or supplements thereto furnished to BofA will be identical to the electronically transmitted copies thereof filed with the Commission pursuant to EDGAR, except to the extent permitted by Regulation S-T.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BofA, to qualify the Securities for offering and sale under the applicable securities laws of such states and other jurisdictions (domestic or foreign) as BofA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 securityholders as soon as practicable an earnings statement for the purposes of, and to provide to BofA the benefits contemplated by, the last paragraph of Section 11(a) of the 1933 Act; provided the Company will be deemed to have furnished such statement to securityholders and BofA to the extent it is filed with the Commission pursuant to EDGAR.</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 Registration Statement, the General Disclosure Package and the Prospectus under “Use of Proceeds.”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best efforts to effect and maintain the listing of the Securities on the Nasdaq Global Select Market.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60 days from the date of the Prospectus, the Company will not, without the prior written consent of BofA,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(B) any shares of Common Stock issued by the Company upon the exercise of an option, warrant or employee stock purchase plan purchase right or the conversion of a security outstanding on the date hereof and referred to in the Registration Statement, the General Disclosure Package and the Prospectus, including but not limited to, for the avoidance of doubt, the issuance of shares of Common Stock pursuant to conversion of the Company’s 1.25% Convertible Senior Notes due 2026, 5.00% Convertible Senior Notes due 2030 or 7.00% Convertible Senior Notes due 2031, the issuance of shares of Common Stock pursuant to the Company’s Series A Redeemable Convertible Preferred Stock, Series B Redeemable Convertible Preferred Stock and Series C Redeemable Convertible Preferred Stock, (C) any shares of Common Stock issued upon the exercise, vesting or settlement of equity awards or the issuance of equity awards granted pursuant to existing employee benefit plans of the Company existing on the date hereof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entry into any agreements to issue or the issuance of Common Stock and/or Related Securities (not exceeding 5% of the aggregate number of Common Stock outstanding immediately following the offering of Securities pursuant to this Agreement) in connection with one or more acquisitions by the Company, either directly or through any of its subsidiaries (which acquisitions may be structured as acquisition of equity or assets, merger or consolidation), (F) any action required to be taken under the Company’s Investor Rights Agreement dated February 22, 2021, as amended from time to time, (G) the resale registration set forth in the Uber Agreement or (H) for avoidance of the doubt, any shares of Series C Redeemable Convertible Preferred Stock and Common Stock issued in the Concurrent Investments; provided that each transferee who receives Common Stock or Related Securities pursuant to clause (E) shall execute or otherwise be subject to an agreement substantially in the form of Exhibit A hereto for the remainder of the relevant 60-day period hereunder. For purposes of the foregoing, “Related Securities” shall mean any options or warrants or other rights to acquire Common Stock or any securities exchangeable or exercisable for or convertible into Common Stock, or to acquire other securities or rights ultimately exchangeable or exercisable for, or convertible into,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it 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unless it obtains the prior written consent of BofA; provided that BofA will be deemed to have consented to the Issuer Free Writing Prospectuses listed on Schedule B-2 hereto and any “road show that is a written communication” within the meaning of Rule 433(d)(8)(i) that has been reviewed by BofA. The Company represents that it has treated or agrees that it will treat each such free writing prospectus consented to, or deemed consented to, by BofA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BofA and will promptly amend or supplement, at its own expense, such Issuer Free Writing Prospectus to eliminate or correct such conflict, untrue statement or omission.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No Amendment, Modification, Termination or Waiver of Concurrent Agreements</w:t>
      </w:r>
      <w:r>
        <w:rPr>
          <w:rFonts w:ascii="Times New Roman" w:cs="Times New Roman" w:eastAsia="Times New Roman" w:hAnsi="Times New Roman"/>
          <w:sz w:val="18"/>
          <w:szCs w:val="18"/>
          <w:color w:val="auto"/>
        </w:rPr>
        <w:t>. Prior to the closing of the Concurrent Investments, the Company agrees that, without prior written consent of BofA, the Company will not, amend, modify, terminate or waive any provision of (i) the Ayar Agreement relating to the economic terms of the Ayar Investment or (ii) the Uber Agreement relating to the economic terms of the Uber Investment, in each case, as disclosed in the General Disclosure Package and the Prospectus, and will use all commercially reasonable efforts to consummate the closing contemplated by the Ayar Agreement and the Uber Agreement in accordance with their respective terms. In addition, the Company agrees that, during a period of 60 days from the date of the Prospectus, without the prior written consent of BofA, the Company will not amend, modify, terminate or waive Section 5.06 of the Ayar Agreement, Section 5.06 of the Uber Agreement or Section 5.06 of the Subscription Agreement, dated as of July 16, 2025, by and between the Company and SMB Holdings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BofA of copies of the preliminary prospectus, each Issuer Free Writing Prospectus and the Prospectus and any amendments or supplements thereto and any costs associated with electronic delivery of any of the foregoing by BofA to investors,</w:t>
      </w:r>
    </w:p>
    <w:p>
      <w:pPr>
        <w:spacing w:after="0" w:line="1" w:lineRule="exact"/>
        <w:rPr>
          <w:sz w:val="20"/>
          <w:szCs w:val="20"/>
          <w:color w:val="auto"/>
        </w:rPr>
      </w:pPr>
    </w:p>
    <w:p>
      <w:pPr>
        <w:jc w:val="both"/>
        <w:ind w:firstLine="8"/>
        <w:spacing w:after="0" w:line="251" w:lineRule="auto"/>
        <w:tabs>
          <w:tab w:leader="none" w:pos="3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preparation, issuance and delivery of the certificates or security entitlements for the Securities to BofA, including any stock or other transfer taxes and any stamp or other duties payable upon the sale, issuance or delivery of the Securities to BofA,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BofA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(viii) the filing fees incident to, and the reasonable and documented fees and disbursements of counsel to BofA in connection with the review by FINRA of the terms of the sale of the Securities and (ix) the fees and expenses incurred in connection with the listing of the Securities on the Nasdaq Global Select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fees and disbursements of counsel to BofA incurred in connection with clauses (v) and (viii) shall not exceed $15,000.</w:t>
      </w:r>
    </w:p>
    <w:p>
      <w:pPr>
        <w:spacing w:after="0" w:line="190"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Termination of Agreement</w:t>
      </w:r>
      <w:r>
        <w:rPr>
          <w:rFonts w:ascii="Times New Roman" w:cs="Times New Roman" w:eastAsia="Times New Roman" w:hAnsi="Times New Roman"/>
          <w:sz w:val="17"/>
          <w:szCs w:val="17"/>
          <w:color w:val="auto"/>
        </w:rPr>
        <w:t>. If this Agreement is terminated by BofA in accordance with the provisions of Section 5 or Section 9 hereof, the Company shall reimburse BofA for all of its out-of-pocket expenses, including the reasonable and documented fees and disbursements of counsel for BofA.</w:t>
      </w:r>
    </w:p>
    <w:p>
      <w:pPr>
        <w:spacing w:after="0" w:line="1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Conditions of BofA’s Obligations</w:t>
      </w:r>
      <w:r>
        <w:rPr>
          <w:rFonts w:ascii="Times New Roman" w:cs="Times New Roman" w:eastAsia="Times New Roman" w:hAnsi="Times New Roman"/>
          <w:sz w:val="18"/>
          <w:szCs w:val="18"/>
          <w:color w:val="auto"/>
        </w:rPr>
        <w:t>. The obligations of BofA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at the Closing Time, no stop order suspending the effectiveness of the Registration Statement or any post-effective amendment thereto has been issued under the 1933 Act, no order preventing or suspending the use of the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Opinions of Counsel for Company</w:t>
      </w:r>
      <w:r>
        <w:rPr>
          <w:rFonts w:ascii="Times New Roman" w:cs="Times New Roman" w:eastAsia="Times New Roman" w:hAnsi="Times New Roman"/>
          <w:sz w:val="18"/>
          <w:szCs w:val="18"/>
          <w:color w:val="auto"/>
        </w:rPr>
        <w:t>. At the Closing Time, BofA shall have received the favorable opinions, dated the Closing Time, of Skadden, Arps, Slate, Meagher &amp; Flom LLP, counsel for the Company, in form and substance satisfactory to counsel for BofA.</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Opinion of Counsel for BofA</w:t>
      </w:r>
      <w:r>
        <w:rPr>
          <w:rFonts w:ascii="Times New Roman" w:cs="Times New Roman" w:eastAsia="Times New Roman" w:hAnsi="Times New Roman"/>
          <w:sz w:val="18"/>
          <w:szCs w:val="18"/>
          <w:color w:val="auto"/>
        </w:rPr>
        <w:t>. At the Closing Time, BofA shall have received the favorable opinion, dated the Closing Time, of Simpson Thacher &amp; Bartlett LLP, counsel for BofA, in form and substance satisfactory to BofA.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BofA.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 At the Closing Time, there shall not have been, since the date hereof or since the respective dates as of which information is given in the Registration Statement, the General Disclosure Package or the Prospectus, any Material Adverse Effect, and BofA shall have received a certificate of the Chief Executive Officer or of the Chief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the preliminary prospectus or the Prospectus has been issued and no proceedings for any of those purposes have been instituted or are pending or, to their knowledge, contemplated.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Accountant’s Comfort Letter; CFO Certificate</w:t>
      </w:r>
      <w:r>
        <w:rPr>
          <w:rFonts w:ascii="Times New Roman" w:cs="Times New Roman" w:eastAsia="Times New Roman" w:hAnsi="Times New Roman"/>
          <w:sz w:val="18"/>
          <w:szCs w:val="18"/>
          <w:color w:val="auto"/>
        </w:rPr>
        <w:t>. At the time of the execution of this Agreement, BofA shall have received from (i) KPMG LLP a letter, dated such date, in form and substance satisfactory to BofA,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 and (ii) the Chief Financial Officer of the Company a certificate, dated such date, in form and substance satisfactory to BofA, containing statements and information with respect to certain financial information contained in the Registration Statement, the General Disclosure Package and the Prospectus.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Bring-down Comfort Letter; CFO Certificate</w:t>
      </w:r>
      <w:r>
        <w:rPr>
          <w:rFonts w:ascii="Times New Roman" w:cs="Times New Roman" w:eastAsia="Times New Roman" w:hAnsi="Times New Roman"/>
          <w:sz w:val="18"/>
          <w:szCs w:val="18"/>
          <w:color w:val="auto"/>
        </w:rPr>
        <w:t>. At the Closing Time, BofA shall have received from (i) KPMG LLP a letter dated as of the Closing Time to the effect that they reaffirm the statements made in the letter furnished pursuant to subsection (e)(i) of this Section, except that the specified date referred to shall be a date not more than three business days prior to the Closing Time, and (ii) the Chief Financial Officer of the Company a certificate, dated as of the Closing Time, in form and substance satisfactory to BofA, containing statements and information with respect to certain financial information contained in the Registration Statement, the General Disclosure Package and the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Nasdaq Global Select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BofA shall have received an agreement substantially in the form of Exhibit A hereto signed by the persons listed on Schedule C hereto.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Securities Ratings</w:t>
      </w:r>
      <w:r>
        <w:rPr>
          <w:rFonts w:ascii="Times New Roman" w:cs="Times New Roman" w:eastAsia="Times New Roman" w:hAnsi="Times New Roman"/>
          <w:sz w:val="18"/>
          <w:szCs w:val="18"/>
          <w:color w:val="auto"/>
        </w:rPr>
        <w:t>. Neither the Company nor its subsidiaries have any debt securities or preferred stock that are rated by any “nationally recognized statistical rating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counsel for BofA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BofA and counsel for BofA.</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 Agreement, the obligations of BofA to purchase the Securities may be terminated by BofA by notice to the Company at any time at or prior to Closing Time and such termination shall be without liability of any party to any other party except as provided in Section 4 and except that Sections 1, 6, 7, 8, 14, 15, 16 and 17 shall survive any such termination and remain in full force and effect.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Effectiveness of Ayar Agreement</w:t>
      </w:r>
      <w:r>
        <w:rPr>
          <w:rFonts w:ascii="Times New Roman" w:cs="Times New Roman" w:eastAsia="Times New Roman" w:hAnsi="Times New Roman"/>
          <w:sz w:val="18"/>
          <w:szCs w:val="18"/>
          <w:color w:val="auto"/>
        </w:rPr>
        <w:t>. The Ayar Agreement shall be in full force and effect and there shall not be, to the Company’s knowledge, any reason at the Closing Time that the closing contemplated by the Ayar Agreement will not be consummated in accordance with its terms.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Effectiveness of Uber Agreement</w:t>
      </w:r>
      <w:r>
        <w:rPr>
          <w:rFonts w:ascii="Times New Roman" w:cs="Times New Roman" w:eastAsia="Times New Roman" w:hAnsi="Times New Roman"/>
          <w:sz w:val="18"/>
          <w:szCs w:val="18"/>
          <w:color w:val="auto"/>
        </w:rPr>
        <w:t>. The Uber Agreement shall be in full force and effect and there shall not be, to the Company’s knowledge, any reason at the Closing Time that the closing contemplated by the Uber Agreement will not be consummated in accordance with its terms.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of BofA</w:t>
      </w:r>
      <w:r>
        <w:rPr>
          <w:rFonts w:ascii="Times New Roman" w:cs="Times New Roman" w:eastAsia="Times New Roman" w:hAnsi="Times New Roman"/>
          <w:sz w:val="18"/>
          <w:szCs w:val="18"/>
          <w:color w:val="auto"/>
        </w:rPr>
        <w:t>. The Company agrees to indemnify and hold harmless BofA, its affiliates (as such term is defined in Rule 501(b) under the 1933 Act (each, an “Affiliate”)), its selling agents and employees and each person, if any, who controls BofA within the meaning of Section 15 of the 1933 Act or Section 20 of the 1934 Act as follows:</w:t>
      </w:r>
    </w:p>
    <w:p>
      <w:pPr>
        <w:spacing w:after="0" w:line="17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the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the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against any and all expense whatsoever, as incurred (including the fees and disbursements of counsel chosen by BofA),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BofA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BofA,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w:t>
      </w:r>
    </w:p>
    <w:p>
      <w:pPr>
        <w:spacing w:after="0" w:line="3"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each indemnified party from all liability arising out of such litigation, investigation, proceeding or claim and</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as to or an admission of fault, culpability or a failure to act by or on behalf of any indemnified party.</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reasonable and documented fees and expenses of counsel, such indemnifying party agrees that it shall be liable for any settlement of the nature contemplated by Section 6(a)(ii) effected without its written consent if (i) such settlement is entered into more than 90 days after receipt by such indemnifying party of the aforesaid request, (ii) such indemnifying party shall have received notice of the terms of such settlement at least 60 days prior to such settlement being entered into and (iii) such indemnifying party shall not have reimbursed such indemnified party in accordance with such request prior to the date of such settlement.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BofA,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BofA,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BofA,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difference between (x) the aggregate price to the public received by BofA and (y) the aggregate price paid by BofA to the Company for the Securities, on the other hand, bear to the aggregate price to the public received by BofA.</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The relative fault of the Company, on the one hand, and BofA, on the other hand, shall be determined by reference to, among other things, whether any such untrue or alleged untrue statement of a material fact or omission or alleged omission to state a material fact relates to information supplied by the Company or by BofA and the parties’ relative intent, knowledge, access to information and opportunity to correct or prevent such statement or omission.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BofA agree that it would not be just and equitable if contribution pursuant to this Section 7 were determined by pro rata allocation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BofA shall not be required to contribute any amount in excess of the underwriting commissions received by BofA in connection with the Securities underwritten by it and distributed to the public.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7, each person, if any, who controls BofA within the meaning of Section 15 of the 1933 Act or Section 20 of the 1934 Act and BofA’s Affiliates and selling agents shall have the same rights to contribution as BofA,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BofA or its Affiliates or selling agents, any person controlling BofA, its officers or directors or any person controlling the Company and (ii) delivery of and payment for the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BofA may terminate this Agreement, by notice to the Company, at any time at or prior to the Closing Time (i) if there has been, in the judgment of BofA,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BofA,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American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 except as provided in Section 4 hereof, and provided further that Sections 1, 6, 7, 8, 14, 15, 16 and 17 shall survive such termination and remain in full force and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BofA shall be directed to BofA Securities, Inc., One Bryant Park, New York, New York 10036, with a copy to Attention: ECM Legal (email: dg.ecm_legal@bofa.com), and, if sent to the Company, shall be directed to it at 7373 Gateway Blvd, Newark, CA 94560, Attention: General Counsel, email: Legal@lucidmotors.com. Each party to this Agreement may change such address for notices by sending to the parties to this Agreement written notice of a new address for such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BofA, on the other hand, (b) in connection with the offering of the Securities and the process leading thereto, BofA is and has been acting solely as a principal and is not the agent or fiduciary of the Company, any of its subsidiaries or their respective stockholders, creditors, employees or any other party, (c) BofA has not assumed or will assume an advisory or fiduciary responsibility in favor of the Company with respect to the offering of the Securities or the process leading thereto (irrespective of whether BofA has advised or is currently advising the Company or any of its subsidiaries on other matters) and BofA has no obligation to the Company with respect to the offering of the Securities except the obligations expressly set forth in this Agreement, (d) BofA and its affiliates may be engaged in a broad range of transactions that involve interests that differ from those of the Company, (e) BofA has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BofA in connection with the transactions contemplated herein constitutes a recommendation, investment advice or solicitation of any action by BofA with respect to any entity or natural person.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Authorized Disclosure</w:t>
      </w:r>
      <w:r>
        <w:rPr>
          <w:rFonts w:ascii="Times New Roman" w:cs="Times New Roman" w:eastAsia="Times New Roman" w:hAnsi="Times New Roman"/>
          <w:sz w:val="18"/>
          <w:szCs w:val="18"/>
          <w:color w:val="auto"/>
        </w:rPr>
        <w:t>. Notwithstanding anything herein to the contrary, the Company is authorized to disclose to any persons the U.S. federal and state income tax treatment and tax structure of the potential transaction and all materials of any kind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Section 14,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Parties</w:t>
      </w:r>
      <w:r>
        <w:rPr>
          <w:rFonts w:ascii="Times New Roman" w:cs="Times New Roman" w:eastAsia="Times New Roman" w:hAnsi="Times New Roman"/>
          <w:sz w:val="18"/>
          <w:szCs w:val="18"/>
          <w:color w:val="auto"/>
        </w:rPr>
        <w:t>. This Agreement shall each inure to the benefit of and be binding upon BofA and the Company and their respective successors. Nothing expressed or mentioned in this Agreement is intended or shall be construed to give any person, firm or corporation, other than BofA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BofA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and BofA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Counterparts and Electronic Signatures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between BofA and the Company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jc w:val="right"/>
        <w:ind w:right="8720"/>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Fabrizio Wittenburg,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604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185" w:lineRule="auto"/>
        <w:framePr w:w="1640" w:h="160" w:wrap="auto" w:vAnchor="page" w:hAnchor="page" w:x="280" w:y="2005"/>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Name of Underwriter</w:t>
      </w:r>
    </w:p>
    <w:p>
      <w:pPr>
        <w:spacing w:after="0" w:line="196" w:lineRule="auto"/>
        <w:framePr w:w="1600" w:h="160" w:wrap="auto" w:vAnchor="page" w:hAnchor="page" w:x="280" w:y="2437"/>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BofA Securities, Inc.</w:t>
      </w:r>
    </w:p>
    <w:p>
      <w:pPr>
        <w:ind w:left="5060"/>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rFonts w:ascii="Times New Roman" w:cs="Times New Roman" w:eastAsia="Times New Roman" w:hAnsi="Times New Roman"/>
          <w:sz w:val="17"/>
          <w:szCs w:val="17"/>
          <w:u w:val="single" w:color="auto"/>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per share for the Securities to be paid by the Underwriter shall be $8.112.</w:t>
      </w:r>
    </w:p>
    <w:p>
      <w:pPr>
        <w:spacing w:after="0" w:line="225" w:lineRule="exact"/>
        <w:rPr>
          <w:rFonts w:ascii="Times New Roman" w:cs="Times New Roman" w:eastAsia="Times New Roman" w:hAnsi="Times New Roman"/>
          <w:sz w:val="17"/>
          <w:szCs w:val="17"/>
          <w:u w:val="single" w:color="auto"/>
          <w:color w:val="auto"/>
        </w:rPr>
      </w:pPr>
    </w:p>
    <w:p>
      <w:pPr>
        <w:ind w:left="506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rFonts w:ascii="Times New Roman" w:cs="Times New Roman" w:eastAsia="Times New Roman" w:hAnsi="Times New Roman"/>
          <w:sz w:val="17"/>
          <w:szCs w:val="17"/>
          <w:u w:val="single" w:color="auto"/>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07" w:lineRule="exact"/>
        <w:rPr>
          <w:rFonts w:ascii="Times New Roman" w:cs="Times New Roman" w:eastAsia="Times New Roman" w:hAnsi="Times New Roman"/>
          <w:sz w:val="17"/>
          <w:szCs w:val="17"/>
          <w:u w:val="single" w:color="auto"/>
          <w:color w:val="auto"/>
        </w:rPr>
      </w:pPr>
    </w:p>
    <w:p>
      <w:pPr>
        <w:ind w:left="5060"/>
        <w:spacing w:after="0"/>
        <w:rPr>
          <w:sz w:val="20"/>
          <w:szCs w:val="20"/>
          <w:color w:val="auto"/>
        </w:rPr>
      </w:pPr>
      <w:r>
        <w:rPr>
          <w:rFonts w:ascii="Times New Roman" w:cs="Times New Roman" w:eastAsia="Times New Roman" w:hAnsi="Times New Roman"/>
          <w:sz w:val="18"/>
          <w:szCs w:val="18"/>
          <w:color w:val="auto"/>
        </w:rPr>
        <w:t>36,057,692</w:t>
      </w:r>
    </w:p>
    <w:p>
      <w:pPr>
        <w:spacing w:after="0" w:line="20" w:lineRule="exact"/>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column">
              <wp:posOffset>2576830</wp:posOffset>
            </wp:positionH>
            <wp:positionV relativeFrom="paragraph">
              <wp:posOffset>154305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u w:val="single" w:color="auto"/>
          <w:color w:val="auto"/>
        </w:rPr>
      </w:pPr>
    </w:p>
    <w:p>
      <w:pPr>
        <w:spacing w:after="0" w:line="235" w:lineRule="exact"/>
        <w:rPr>
          <w:rFonts w:ascii="Times New Roman" w:cs="Times New Roman" w:eastAsia="Times New Roman" w:hAnsi="Times New Roman"/>
          <w:sz w:val="17"/>
          <w:szCs w:val="17"/>
          <w:u w:val="single" w:color="auto"/>
          <w:color w:val="auto"/>
        </w:rPr>
      </w:pPr>
    </w:p>
    <w:tbl>
      <w:tblPr>
        <w:tblLayout w:type="fixed"/>
        <w:tblInd w:w="132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$292,500,000</w:t>
            </w:r>
          </w:p>
        </w:tc>
      </w:tr>
      <w:tr>
        <w:trPr>
          <w:trHeight w:val="20"/>
        </w:trPr>
        <w:tc>
          <w:tcPr>
            <w:tcW w:w="274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200" w:lineRule="exact"/>
        <w:rPr>
          <w:rFonts w:ascii="Times New Roman" w:cs="Times New Roman" w:eastAsia="Times New Roman" w:hAnsi="Times New Roman"/>
          <w:sz w:val="17"/>
          <w:szCs w:val="17"/>
          <w:u w:val="single" w:color="auto"/>
          <w:color w:val="auto"/>
        </w:rPr>
      </w:pPr>
    </w:p>
    <w:p>
      <w:pPr>
        <w:spacing w:after="0" w:line="200" w:lineRule="exact"/>
        <w:rPr>
          <w:rFonts w:ascii="Times New Roman" w:cs="Times New Roman" w:eastAsia="Times New Roman" w:hAnsi="Times New Roman"/>
          <w:sz w:val="17"/>
          <w:szCs w:val="17"/>
          <w:u w:val="single" w:color="auto"/>
          <w:color w:val="auto"/>
        </w:rPr>
      </w:pPr>
    </w:p>
    <w:p>
      <w:pPr>
        <w:spacing w:after="0" w:line="230" w:lineRule="exact"/>
        <w:rPr>
          <w:rFonts w:ascii="Times New Roman" w:cs="Times New Roman" w:eastAsia="Times New Roman" w:hAnsi="Times New Roman"/>
          <w:sz w:val="17"/>
          <w:szCs w:val="17"/>
          <w:u w:val="single" w:color="auto"/>
          <w:color w:val="auto"/>
        </w:rPr>
      </w:pPr>
    </w:p>
    <w:p>
      <w:pPr>
        <w:ind w:left="5280"/>
        <w:spacing w:after="0"/>
        <w:rPr>
          <w:sz w:val="20"/>
          <w:szCs w:val="20"/>
          <w:color w:val="auto"/>
        </w:rPr>
      </w:pPr>
      <w:r>
        <w:rPr>
          <w:rFonts w:ascii="Times New Roman" w:cs="Times New Roman" w:eastAsia="Times New Roman" w:hAnsi="Times New Roman"/>
          <w:sz w:val="18"/>
          <w:szCs w:val="18"/>
          <w:color w:val="auto"/>
        </w:rPr>
        <w:t>Sch A - 1</w:t>
      </w:r>
    </w:p>
    <w:p>
      <w:pPr>
        <w:spacing w:after="0" w:line="20" w:lineRule="exact"/>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SCHEDULE B-1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is selling 36,057,692 shares of Common Stock in the public offering.</w:t>
      </w:r>
    </w:p>
    <w:p>
      <w:pPr>
        <w:spacing w:after="0" w:line="225" w:lineRule="exact"/>
        <w:rPr>
          <w:sz w:val="20"/>
          <w:szCs w:val="20"/>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share is $8.32. The Company expects net proceeds from the public offering, after estimated expenses, of approximately $291.5 million.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gross proceeds of approximately $1.05 billion from previously disclosed investments from affiliates of the Public Investment Fund and Uber, together with the public offering.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1100"/>
        <w:spacing w:after="0"/>
        <w:rPr>
          <w:sz w:val="20"/>
          <w:szCs w:val="20"/>
          <w:color w:val="auto"/>
        </w:rPr>
      </w:pPr>
      <w:r>
        <w:rPr>
          <w:rFonts w:ascii="Times New Roman" w:cs="Times New Roman" w:eastAsia="Times New Roman" w:hAnsi="Times New Roman"/>
          <w:sz w:val="18"/>
          <w:szCs w:val="18"/>
          <w:color w:val="auto"/>
        </w:rPr>
        <w:t>SCHEDULE C</w:t>
      </w:r>
    </w:p>
    <w:p>
      <w:pPr>
        <w:spacing w:after="0" w:line="22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8"/>
          <w:szCs w:val="18"/>
          <w:u w:val="single" w:color="auto"/>
          <w:color w:val="auto"/>
        </w:rPr>
        <w:t>List of Persons and Entities Subject to Lock-up</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Winterhoff</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Taoufiq Boussaid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Turqi Alnowaiser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Grimm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Liveris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Nichelle Maynard-Elliott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Chabi Nouri</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 Winitzer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Janet Wong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Lambert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Third Investment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Sch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from directors, executive officers and Ayar pursuant to Section 5(i)]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Underwriter named in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Proposed Public Offering by Lucid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and Madams: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undersigned, a stockholder and/or an officer and/or a director of Lucid Group, Inc., a Delaware corporation (the “Company”), understands that BofA Securities Inc. (“BofA”) proposes to enter into an underwriting agreement (the “Underwriting Agreement”) with the Company providing for an underwritten public offering (the “Public Offering”) of the Class A common stock, par value $0.0001 per share, of the Company (the “Common Stock”). In recognition of the benefit that such an offering will confer upon the undersigned as a stockholder and/or an officer and/or a director of the Company, and for other good and valuable consideration, the receipt and sufficiency of which are hereby acknowledged, the undersigned agrees with BofA that, during the period beginning on the date hereof and ending on the date that is 60 days from the date of the Underwriting Agreement (the “Lock-up Period”), the undersigned will not, without the prior written consent of BofA (the “Lock-Up Release Agent”),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without the prior written consent of the Lock-Up Release Agent, provided that in the case of any transfer of Lock-Up Securities pursuant to clauses (i)‎ through (vii)‎ set forth below,</w:t>
      </w:r>
    </w:p>
    <w:p>
      <w:pPr>
        <w:ind w:left="260" w:hanging="252"/>
        <w:spacing w:after="0"/>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BofA receives a signed lock-up agreement for the balance of the Lock-Up Period from each donee, trustee, distributee, or transferee, as the case may be,</w:t>
      </w:r>
    </w:p>
    <w:p>
      <w:pPr>
        <w:spacing w:after="0" w:line="20" w:lineRule="exact"/>
        <w:rPr>
          <w:rFonts w:ascii="Times New Roman" w:cs="Times New Roman" w:eastAsia="Times New Roman" w:hAnsi="Times New Roman"/>
          <w:sz w:val="17"/>
          <w:szCs w:val="17"/>
          <w:color w:val="auto"/>
        </w:rPr>
      </w:pPr>
    </w:p>
    <w:p>
      <w:pPr>
        <w:jc w:val="both"/>
        <w:ind w:right="20" w:firstLine="8"/>
        <w:spacing w:after="0" w:line="255" w:lineRule="auto"/>
        <w:tabs>
          <w:tab w:leader="none" w:pos="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transfer shall not involve a disposition for value, (3) any required public report or filing (including filings under Section 16(a) of the Securities Exchange Act of 1934, as amended (the “Exchange Act”)) shall disclose the nature of such transfer and that the Lock-Up Securities remain subject to this lock-up agreement, and (4) the undersigned does not otherwise voluntarily effect any public filing or report regarding such transfers: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intestacy;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to charitable organizations or for bona fide estate planning purposes; or</w:t>
      </w:r>
    </w:p>
    <w:p>
      <w:pPr>
        <w:spacing w:after="0" w:line="22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 if the undersigned is a trust, to a trustor or beneficiary of the trust or to the estate of a beneficiary of such trust; or</w:t>
      </w:r>
    </w:p>
    <w:p>
      <w:pPr>
        <w:spacing w:after="0" w:line="17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 or</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any person or entity to whom a transfer would be permissible under clauses (i)‎ through (v)‎ above; or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operation of law, such as pursuant to a qualified domestic order, divorce settlement, divorce decree, separation agreement or related court order;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 employee or a director of, or a service provider to, the Company or any of its subsidiaries upon the death, disability or termination of employment, in each case, of such person;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provided that in the event that such tender offer, merger, consolidation or other similar transaction is not completed, the undersigned’s Lock-Up Securities shall remain subject to this lock-up agreement; or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stock options or warrants, or the vesting or settlement of any restricted stock units or other compensatory equity securities in respect of shares of the Company outstanding as of the date hereof for any payment due for the exercise of options or other rights to purchase securities of the Company (including, in each case, by way of a “cashless” or “net exercise”) and to cover tax withholding obligations or taxes due (including estimated taxes and remittance payments) in connection with such vesting, settlement or exercise (including by means of a “net settlement,” “sell to cover” or otherwise); provided that any shares received upon any exercise or settlement of such equity awards (after giving effect to any net or cashless exercise or sell-to-cover transaction pursuant to this clause (x)) will remain subject to this lock-up agreement;</w:t>
      </w:r>
    </w:p>
    <w:p>
      <w:pPr>
        <w:spacing w:after="0" w:line="200" w:lineRule="exact"/>
        <w:rPr>
          <w:sz w:val="20"/>
          <w:szCs w:val="20"/>
          <w:color w:val="auto"/>
        </w:rPr>
      </w:pPr>
    </w:p>
    <w:p>
      <w:pPr>
        <w:spacing w:after="0" w:line="20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4" w:name="page35"/>
    <w:bookmarkEnd w:id="34"/>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trading plans established in accordance with Rule 10b5-1 under the Exchange Act prior to the date hereof;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7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any Series A Convertible Preferred Stock, Series B Convertible Preferred Stock or Series C Convertible Preferred Stock, provided that any such shares of Common Stock received upon such exercise, vesting, settlement or conversion shall be subject to the terms of this lock-up agreement.]</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the undersigned may enter into a trading plan established in accordance with Rule 10b5-1 under the Exchange Act during the Lock-Up Period so long as no transfers are effected under such trading plan prior to the expiration of the Lock-Up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may sell shares of Common Stock of the Company purchased by the undersigned on the open market following the Public Offering if and only if (i) such sales are not required to be reported in any public report or filing with the Securities and Exchange Commission, or otherwise and (ii) the undersigned does not otherwise voluntarily effect any public filing or report regarding such sales.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lock-up agreement, “Change of Control” means the transfer to or acquisition by (whether by tender offer, merger, consolidation, division or other similar transaction), in one transaction or a series of related transactions, a person or entity or group of affiliated persons or entities (other than an underwriter pursuant to an offering), of the Company’s voting securities if, after such transfer or acquisition, such person, entity or group of affiliated persons or entities would beneficially own (as defined in Rule 13d-3 promulgated under the Exchange Act) more than 90% of the outstanding voting securities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this lock-up agreement shall not be deemed to prohibit the Company from amending or supplementing its existing resale registration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lock-up agreement will automatically terminate and the undersigned shall be released from all obligations hereunder upon the earliest to occur of (A) the Company advising BofA in writing that it has determined not to proceed with the Public Offering, (B) the Underwriting Agreement being executed but then terminated (other than the provisions thereof which survive termination) prior to payment for and delivery of any Common Stock to be sold thereunder, or (C) June 30, 2026, if the Underwriting Agreement does not become effective by such date.</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5" w:lineRule="exact"/>
        <w:rPr>
          <w:sz w:val="20"/>
          <w:szCs w:val="20"/>
          <w:color w:val="auto"/>
        </w:rPr>
      </w:pPr>
    </w:p>
    <w:p>
      <w:pPr>
        <w:ind w:left="120" w:hanging="112"/>
        <w:spacing w:after="0"/>
        <w:tabs>
          <w:tab w:leader="none" w:pos="1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be included just in Ayar’s lock up.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tbl>
      <w:tblPr>
        <w:tblLayout w:type="fixed"/>
        <w:tblInd w:w="406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5.1</w:t>
            </w:r>
          </w:p>
        </w:tc>
      </w:tr>
      <w:tr>
        <w:trPr>
          <w:trHeight w:val="434"/>
        </w:trPr>
        <w:tc>
          <w:tcPr>
            <w:tcW w:w="3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 UNIVERSITY AVENUE</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PALO ALTO, CALIFORNIA 94301</w:t>
            </w: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194"/>
        </w:trPr>
        <w:tc>
          <w:tcPr>
            <w:tcW w:w="1280" w:type="dxa"/>
            <w:vAlign w:val="bottom"/>
          </w:tcPr>
          <w:p>
            <w:pPr>
              <w:spacing w:after="0"/>
              <w:rPr>
                <w:sz w:val="16"/>
                <w:szCs w:val="16"/>
                <w:color w:val="auto"/>
              </w:rPr>
            </w:pPr>
          </w:p>
        </w:tc>
        <w:tc>
          <w:tcPr>
            <w:tcW w:w="2060" w:type="dxa"/>
            <w:vAlign w:val="bottom"/>
            <w:gridSpan w:val="2"/>
          </w:tcPr>
          <w:p>
            <w:pPr>
              <w:ind w:left="48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3840" w:type="dxa"/>
            <w:vAlign w:val="bottom"/>
            <w:gridSpan w:val="4"/>
          </w:tcPr>
          <w:p>
            <w:pPr>
              <w:jc w:val="center"/>
              <w:ind w:left="950"/>
              <w:spacing w:after="0" w:line="194" w:lineRule="exact"/>
              <w:rPr>
                <w:sz w:val="20"/>
                <w:szCs w:val="20"/>
                <w:color w:val="auto"/>
              </w:rPr>
            </w:pPr>
            <w:r>
              <w:rPr>
                <w:rFonts w:ascii="Times New Roman" w:cs="Times New Roman" w:eastAsia="Times New Roman" w:hAnsi="Times New Roman"/>
                <w:sz w:val="18"/>
                <w:szCs w:val="18"/>
                <w:color w:val="auto"/>
                <w:w w:val="99"/>
              </w:rPr>
              <w:t>OFFICES</w:t>
            </w: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334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TEL: (650) 470-4500</w:t>
            </w:r>
          </w:p>
        </w:tc>
        <w:tc>
          <w:tcPr>
            <w:tcW w:w="2140" w:type="dxa"/>
            <w:vAlign w:val="bottom"/>
          </w:tcPr>
          <w:p>
            <w:pPr>
              <w:spacing w:after="0"/>
              <w:rPr>
                <w:sz w:val="17"/>
                <w:szCs w:val="17"/>
                <w:color w:val="auto"/>
              </w:rPr>
            </w:pPr>
          </w:p>
        </w:tc>
        <w:tc>
          <w:tcPr>
            <w:tcW w:w="1700" w:type="dxa"/>
            <w:vAlign w:val="bottom"/>
            <w:gridSpan w:val="3"/>
          </w:tcPr>
          <w:p>
            <w:pPr>
              <w:ind w:left="500"/>
              <w:spacing w:after="0" w:line="19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3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18"/>
        </w:trPr>
        <w:tc>
          <w:tcPr>
            <w:tcW w:w="3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FAX: (650) 470-4570</w:t>
            </w: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3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www.skadden.com</w:t>
            </w: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HOUSTON</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NEW YORK</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WILMINGTON</w:t>
            </w:r>
          </w:p>
        </w:tc>
      </w:tr>
      <w:tr>
        <w:trPr>
          <w:trHeight w:val="194"/>
        </w:trPr>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00" w:type="dxa"/>
            <w:vAlign w:val="bottom"/>
            <w:gridSpan w:val="3"/>
          </w:tcPr>
          <w:p>
            <w:pPr>
              <w:ind w:left="500"/>
              <w:spacing w:after="0" w:line="194"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18"/>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00" w:type="dxa"/>
            <w:vAlign w:val="bottom"/>
            <w:gridSpan w:val="3"/>
          </w:tcPr>
          <w:p>
            <w:pPr>
              <w:jc w:val="center"/>
              <w:ind w:right="1030"/>
              <w:spacing w:after="0"/>
              <w:rPr>
                <w:sz w:val="20"/>
                <w:szCs w:val="20"/>
                <w:color w:val="auto"/>
              </w:rPr>
            </w:pPr>
            <w:r>
              <w:rPr>
                <w:rFonts w:ascii="Times New Roman" w:cs="Times New Roman" w:eastAsia="Times New Roman" w:hAnsi="Times New Roman"/>
                <w:sz w:val="18"/>
                <w:szCs w:val="18"/>
                <w:color w:val="auto"/>
                <w:w w:val="97"/>
              </w:rPr>
              <w:t>PARIS</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00" w:type="dxa"/>
            <w:vAlign w:val="bottom"/>
            <w:gridSpan w:val="3"/>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SHANGHAI</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8"/>
              </w:rPr>
              <w:t>TOKYO</w:t>
            </w:r>
          </w:p>
        </w:tc>
      </w:tr>
      <w:tr>
        <w:trPr>
          <w:trHeight w:val="234"/>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4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TORONTO</w:t>
            </w:r>
          </w:p>
        </w:tc>
      </w:tr>
      <w:tr>
        <w:trPr>
          <w:trHeight w:val="43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April 14, 2026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California 94560</w:t>
      </w:r>
    </w:p>
    <w:p>
      <w:pPr>
        <w:spacing w:after="0" w:line="207" w:lineRule="exact"/>
        <w:rPr>
          <w:sz w:val="20"/>
          <w:szCs w:val="20"/>
          <w:color w:val="auto"/>
        </w:rPr>
      </w:pPr>
    </w:p>
    <w:p>
      <w:pPr>
        <w:ind w:left="2820"/>
        <w:spacing w:after="0"/>
        <w:tabs>
          <w:tab w:leader="none" w:pos="33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u w:val="single" w:color="auto"/>
          <w:color w:val="auto"/>
        </w:rPr>
        <w:t>Offering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We have acted as special United States counsel to Lucid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public offering by the Company of 36,057,692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w:t>
      </w:r>
    </w:p>
    <w:p>
      <w:pPr>
        <w:spacing w:after="0" w:line="176"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the registration statement on Form S-3ASR (File No. 333-295033) of the Company relating to Common Stock of the Company filed on April 14, 2026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allowing for delayed offerings pursuant to Rule 415 of the General Rules and Regulations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including the information deemed to be a part of the registration statement pursuant to Rule 430B of the Rules and Regulations being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prospectus, dated April 14, 2026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which forms a part of and is included in the Registration Statement;</w:t>
      </w:r>
    </w:p>
    <w:p>
      <w:pPr>
        <w:spacing w:after="0" w:line="23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(c)            the prospectus supplement, dated April 14, 2026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relating to the offering of the Shares, in the form filed with the Commission pursuant to Rule 424(b) of the Rules and Regulations;</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(d)            an executed copy of the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dated April 14, 2026, between the Company and BofA Securities, Inc. (the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relating to the sale by the Company to the Underwriter of the Shares;</w:t>
      </w:r>
    </w:p>
    <w:p>
      <w:pPr>
        <w:spacing w:after="0" w:line="16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(e)            an executed copy of a certificate of Brian K. Tomkiel, General Counsel and Corporate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(f)            a copy of the Company’s Third Amended and Restated Certificate of Incorporation certified by the Secretary of State of the State of Delaware as of April 13, 2026, and certified pursuant to the Secretary’s Certificate as being in effect on each of the respective dates of the resolutions referred to below and as of the date hereof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(g)            a copy of the Company’s Second Amended and Restated Bylaws, as amended and certified pursuant to the Secretary’s Certificate as being in effect on each of the respective dates of the resolutions referred to below and as of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(h)            a copy of certain resolutions of the Board of Directors of the Company, adopted on April 9, 2026 and certain resolutions of the Special Pricing Subcommittee thereof, adopted on April 13, 2026, certified pursuant to the Secretary’s Certificate.</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Certificate of Incorporation and the factual representations and warranties set forth in the Underwriting Agreement.</w:t>
      </w:r>
    </w:p>
    <w:p>
      <w:pPr>
        <w:spacing w:after="0" w:line="187"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Certificate of Incorporation and the Bylaws.</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Shares have been duly authorized by all requisite corporate action on the part of the Company under the DGCL and when issued and sold in accordance with the Underwriting Agreement, will be validly issued, fully paid and nonassessable, provided that the consideration therefor is not less than $0.0001 per Share.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in rendering the foregoing opinion we have assumed that:</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            the Company’s issuance of the Shares does not and will not (i) except to the extent expressly stated in the opinion contained herein, violate any statute to which the Company or such issuance is subject, or (ii) constitute a violation of, or a breach under, or require the consent or approval of any other person under, any agreement or instrument binding on the Company (except that we do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2025, although we have assumed compliance with any covenant, restriction or provision with respect to financial ratios or tests or any aspect of the financial condition or results of operations of the Company contained in such agreements or instruments); and</w:t>
      </w:r>
    </w:p>
    <w:p>
      <w:pPr>
        <w:spacing w:after="0" w:line="18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(b)            the Company’s authorized capital stock is as set forth in the Certificate of Incorporation, and we have relied solely on the certified copy thereof issued by the Secretary of State of the State of Delaware and have not made any other inquiries or investigations.</w:t>
      </w:r>
    </w:p>
    <w:p>
      <w:pPr>
        <w:spacing w:after="0" w:line="162"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 transactions of this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Preliminary Prospectus and the Prospectus.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Lucid Group, Inc. Announces Registered Public Offering of Common Stock; Total Raise of Approximately $1.05 Billion with Previously Announced Investments from Uber and PIF</w:t>
      </w:r>
    </w:p>
    <w:p>
      <w:pPr>
        <w:spacing w:after="0" w:line="15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prices its $300 million registered offering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Uber to increase its total investments in Lucid to $500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Ayar Third Investment Company, an affiliate of the Public Investment Fund, to purchase $550 million of Lucid’s convertible preferred stock</w:t>
      </w:r>
    </w:p>
    <w:p>
      <w:pPr>
        <w:spacing w:after="0" w:line="22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Newark, Calif. — April 14, 2026 </w:t>
      </w:r>
      <w:r>
        <w:rPr>
          <w:rFonts w:ascii="Times New Roman" w:cs="Times New Roman" w:eastAsia="Times New Roman" w:hAnsi="Times New Roman"/>
          <w:sz w:val="18"/>
          <w:szCs w:val="18"/>
          <w:color w:val="auto"/>
        </w:rPr>
        <w:t>— Lucid Group, Inc. (NASDAQ: LCID), maker of the world’s most advanced electric vehicles,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of its underwritten public offering of its common stock for gross proceeds of $300 million. The underwritten offering is expected to close on or about April 15, 2026, subject to customary closing conditions.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earlier today, Uber will increase its purchase commitment to at least 35,000 Lucid vehicles designed exclusively for use as part of Uber’s future global robotaxi service. Uber has also committed to an additional $200 million investment in Lucid, raising Uber’s total investments to $500 million to date. Ayar Third Investment has also committed a new investment of $550 million of convertible preferred stock, further strengthening the strategic partnership between the PIF and Lucid. Together with the gross proceeds from the underwritten offering, the total raise for these transactions is expected to be approximately $1.05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acting as the sole underwriter for the underwritten offering.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underwritten offering is being made pursuant to Lucid’s effective shelf registration statement on Form S-3ASR, including a base prospectus, filed with the Securities and Exchange Commission (the “SEC”), and a prospectus supplement relating to the underwritten offering. Prospective investors should read the prospectus supplement and the accompanying base prospectus in that registration statement and other documents that Lucid has filed or will file with the SEC for information about Lucid and the underwritten offering. You may obtain these documents for free by visiting EDGAR on the SEC’s website at www.sec.gov. Alternatively, copies of the prospectus supplement and the base prospectus may be obtained from BofA Securities, Inc., NC1-022-02-25, 201 North Tryon Street, Charlotte, NC 28255-0001, Attn: Prospectus Department, or by email at dg.prospectus_requests@bofa.com.</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shares of Lucid’s common stock, nor shall there be any sale of these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the closings of and use of proceeds from the underwritten offering and private placements to Uber and Ayar, Uber’s purchase of Lucid Midsize SUV vehicles, Lucid’s expansion into the robotaxi market,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333333"/>
        </w:rPr>
        <w:t>This communication contains trademarks, service marks, trade names and copyrights of Lucid Group, Inc. and its subsidiaries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1"/>
    </w:lvl>
  </w:abstractNum>
  <w:abstractNum w:abstractNumId="2">
    <w:nsid w:val="5BD062C2"/>
    <w:multiLevelType w:val="hybridMultilevel"/>
    <w:lvl w:ilvl="0">
      <w:lvlJc w:val="left"/>
      <w:lvlText w:val="(%1)"/>
      <w:numFmt w:val="upperLetter"/>
      <w:start w:val="2"/>
    </w:lvl>
  </w:abstractNum>
  <w:abstractNum w:abstractNumId="3">
    <w:nsid w:val="12200854"/>
    <w:multiLevelType w:val="hybridMultilevel"/>
    <w:lvl w:ilvl="0">
      <w:lvlJc w:val="left"/>
      <w:lvlText w:val="(%1)"/>
      <w:numFmt w:val="upperLetter"/>
      <w:start w:val="2"/>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Roman"/>
      <w:start w:val="3"/>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Roman"/>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1)"/>
      <w:numFmt w:val="lowerRoman"/>
      <w:start w:val="11"/>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2026-04-14T06:56:46Z</dcterms:created>
  <dcterms:modified xsi:type="dcterms:W3CDTF">2026-04-14T06:56:46Z</dcterms:modified>
</cp:coreProperties>
</file>