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November 4, 2025</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0"/>
        </w:rPr>
        <w:t xml:space="preserve">Item 1.01 </w:t>
      </w:r>
      <w:r>
        <w:rPr>
          <w:rFonts w:ascii="Times New Roman;serif" w:hAnsi="Times New Roman;serif"/>
          <w:b/>
          <w:color w:val="000000"/>
          <w:sz w:val="20"/>
          <w:shd w:fill="FFFFFF" w:val="clear"/>
        </w:rPr>
        <w:t>Entry into a Material Definitive Agreement.</w:t>
      </w:r>
    </w:p>
    <w:p>
      <w:pPr>
        <w:pStyle w:val="TextBody"/>
        <w:bidi w:val="0"/>
        <w:spacing w:lineRule="auto" w:line="288" w:before="200" w:after="283"/>
        <w:jc w:val="left"/>
        <w:rPr/>
      </w:pPr>
      <w:r>
        <w:rPr>
          <w:rFonts w:ascii="Times New Roman;serif" w:hAnsi="Times New Roman;serif"/>
          <w:b w:val="false"/>
          <w:color w:val="000000"/>
          <w:sz w:val="20"/>
        </w:rPr>
        <w:t>As previously announced by Lucid Group, Inc. (“</w:t>
      </w:r>
      <w:r>
        <w:rPr>
          <w:rFonts w:ascii="Times New Roman;serif" w:hAnsi="Times New Roman;serif"/>
          <w:b/>
          <w:i/>
          <w:color w:val="000000"/>
          <w:sz w:val="20"/>
        </w:rPr>
        <w:t>Lucid</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on August 4, 2024, the Company entered into a credit agreement providing for an unsecured delayed draw term loan facility (the “</w:t>
      </w:r>
      <w:r>
        <w:rPr>
          <w:rFonts w:ascii="Times New Roman;serif" w:hAnsi="Times New Roman;serif"/>
          <w:b/>
          <w:i/>
          <w:color w:val="000000"/>
          <w:sz w:val="20"/>
        </w:rPr>
        <w:t>DDTL Facility</w:t>
      </w:r>
      <w:r>
        <w:rPr>
          <w:color w:val="000000"/>
        </w:rPr>
        <w:t>”</w:t>
      </w:r>
      <w:r>
        <w:rPr>
          <w:rFonts w:ascii="Times New Roman;serif" w:hAnsi="Times New Roman;serif"/>
          <w:b w:val="false"/>
          <w:color w:val="000000"/>
          <w:sz w:val="20"/>
        </w:rPr>
        <w:t>) in an aggregate principal amount of $750 million with Ayar Third Investment Company (“</w:t>
      </w:r>
      <w:r>
        <w:rPr>
          <w:rFonts w:ascii="Times New Roman;serif" w:hAnsi="Times New Roman;serif"/>
          <w:b/>
          <w:i/>
          <w:color w:val="000000"/>
          <w:sz w:val="20"/>
        </w:rPr>
        <w:t>Ayar</w:t>
      </w:r>
      <w:r>
        <w:rPr>
          <w:color w:val="000000"/>
        </w:rPr>
        <w:t>”</w:t>
      </w:r>
      <w:r>
        <w:rPr>
          <w:rFonts w:ascii="Times New Roman;serif" w:hAnsi="Times New Roman;serif"/>
          <w:b w:val="false"/>
          <w:color w:val="000000"/>
          <w:sz w:val="20"/>
        </w:rPr>
        <w:t>), an affiliate of</w:t>
      </w:r>
      <w:r>
        <w:rPr>
          <w:color w:val="000000"/>
          <w:shd w:fill="FFFFFF" w:val="clear"/>
        </w:rPr>
        <w:t xml:space="preserve"> </w:t>
      </w:r>
      <w:r>
        <w:rPr>
          <w:rFonts w:ascii="Times New Roman;serif" w:hAnsi="Times New Roman;serif"/>
          <w:b w:val="false"/>
          <w:color w:val="000000"/>
          <w:sz w:val="20"/>
        </w:rPr>
        <w:t>the Public Investment Fund (“</w:t>
      </w:r>
      <w:r>
        <w:rPr>
          <w:rFonts w:ascii="Times New Roman;serif" w:hAnsi="Times New Roman;serif"/>
          <w:b/>
          <w:i/>
          <w:color w:val="000000"/>
          <w:sz w:val="20"/>
        </w:rPr>
        <w:t>PIF</w:t>
      </w:r>
      <w:r>
        <w:rPr>
          <w:color w:val="000000"/>
        </w:rPr>
        <w:t>”</w:t>
      </w:r>
      <w:r>
        <w:rPr>
          <w:rFonts w:ascii="Times New Roman;serif" w:hAnsi="Times New Roman;serif"/>
          <w:b w:val="false"/>
          <w:color w:val="000000"/>
          <w:sz w:val="20"/>
        </w:rPr>
        <w:t>), as the sole lender, and as administrative agent thereunder. The final maturity date of the DDTL Facility is August 4, 2029.</w:t>
      </w:r>
    </w:p>
    <w:p>
      <w:pPr>
        <w:pStyle w:val="TextBody"/>
        <w:bidi w:val="0"/>
        <w:spacing w:lineRule="auto" w:line="288" w:before="200" w:after="283"/>
        <w:jc w:val="left"/>
        <w:rPr/>
      </w:pPr>
      <w:r>
        <w:rPr>
          <w:rFonts w:ascii="Times New Roman;serif" w:hAnsi="Times New Roman;serif"/>
          <w:b w:val="false"/>
          <w:color w:val="000000"/>
          <w:sz w:val="20"/>
        </w:rPr>
        <w:t>On November 4, 2025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the Company entered into an Amendment No. 1 to Credit Agreement (the “</w:t>
      </w:r>
      <w:r>
        <w:rPr>
          <w:rFonts w:ascii="Times New Roman;serif" w:hAnsi="Times New Roman;serif"/>
          <w:b/>
          <w:i/>
          <w:color w:val="000000"/>
          <w:sz w:val="20"/>
        </w:rPr>
        <w:t>DDTL Amendment</w:t>
      </w:r>
      <w:r>
        <w:rPr>
          <w:color w:val="000000"/>
        </w:rPr>
        <w:t>”</w:t>
      </w:r>
      <w:r>
        <w:rPr>
          <w:rFonts w:ascii="Times New Roman;serif" w:hAnsi="Times New Roman;serif"/>
          <w:b w:val="false"/>
          <w:color w:val="000000"/>
          <w:sz w:val="20"/>
        </w:rPr>
        <w:t>), pursuant to which the aggregate delayed draw term commitment was increased from $750 million to an aggregate principal amount of approximately $2.0 billion.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DDTL Amendment, within 30 days after the Effective Date, the Company shall pay to Ayar, an upfront fee in an amount equal to 0.75% of the result of (x) the aggregate delayed draw term commitments as of the date of such payment minus (y) $750,000,000. In addition, the Company is required to pay a quarterly undrawn fee at a rate equal to 0.50% per annum on the total amount of the unused commitments of the DDTL Facility. As of the date hereof, the Company has not requested any draws under the DDTL Facility.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terms of the DDTL Amendment is not a complete description thereof and is qualified in its entirety by the full text of such agreement, which is filed as Exhibit 10.1 hereto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issued a press release announcing its results for the third quarter ended September 30, 2025.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erif" w:hAnsi="Times New Roman;serif"/>
          <w:b w:val="false"/>
          <w:color w:val="000000"/>
          <w:sz w:val="20"/>
        </w:rPr>
        <w:t xml:space="preserve">Lucid uses its </w:t>
      </w:r>
      <w:r>
        <w:rPr>
          <w:rFonts w:ascii="Times New Roman;serif" w:hAnsi="Times New Roman;serif"/>
          <w:b w:val="false"/>
          <w:color w:val="000000"/>
          <w:sz w:val="20"/>
          <w:u w:val="single"/>
        </w:rPr>
        <w:t>ir.lucidmotors.com</w:t>
      </w:r>
      <w:r>
        <w:rPr>
          <w:color w:val="000000"/>
        </w:rPr>
        <w:t xml:space="preserve"> </w:t>
      </w:r>
      <w:r>
        <w:rPr>
          <w:rFonts w:ascii="Times New Roman;serif" w:hAnsi="Times New Roman;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5.02 </w:t>
      </w:r>
      <w:r>
        <w:rPr>
          <w:rFonts w:ascii="Times New Roman;serif" w:hAnsi="Times New Roman;serif"/>
          <w:b/>
          <w:color w:val="000000"/>
          <w:sz w:val="20"/>
          <w:shd w:fill="FFFFFF" w:val="clear"/>
        </w:rPr>
        <w:t>Departure of Directors or Certain Officers; Election of Directors; Appointment of Certain Officers; Compensatory Arrangements of Certain Officers.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announced that Eric Bach, Senior Vice President, Product and Chief Engineer, has left the Company, effective as of November 5, 2025. Mr. Bach is eligible to receive severance benefits under the Company’s Executive Severance Plan, subject to the terms and conditions thereof. Also effective as of November 5, 2025, Emad Dlala, has been appointed to Senior Vice President, Engineering and Digital. Mr. Dlala most recently served as Senior Vice President of Powertrain and joined Lucid in 2015.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2"/>
        <w:gridCol w:w="2642"/>
        <w:gridCol w:w="378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3fy258k-ex101.htm">
              <w:r>
                <w:rPr>
                  <w:rStyle w:val="InternetLink"/>
                  <w:rFonts w:ascii="Times New Roman;serif" w:hAnsi="Times New Roman;serif"/>
                  <w:b w:val="false"/>
                  <w:color w:val="000080"/>
                  <w:sz w:val="20"/>
                  <w:u w:val="single"/>
                </w:rPr>
                <w:t xml:space="preserve">Amendment No. 1 to Credit Agreement, dated November </w:t>
              </w:r>
            </w:hyperlink>
            <w:hyperlink w:anchor="q3fy258k-ex101.htm">
              <w:r>
                <w:rPr>
                  <w:rStyle w:val="InternetLink"/>
                  <w:rFonts w:ascii="Times New Roman;serif" w:hAnsi="Times New Roman;serif"/>
                  <w:b w:val="false"/>
                  <w:color w:val="000080"/>
                  <w:sz w:val="20"/>
                  <w:u w:val="single"/>
                </w:rPr>
                <w:t>4</w:t>
              </w:r>
            </w:hyperlink>
            <w:hyperlink w:anchor="q3fy258k-ex101.htm">
              <w:r>
                <w:rPr>
                  <w:rStyle w:val="InternetLink"/>
                  <w:rFonts w:ascii="Times New Roman;serif" w:hAnsi="Times New Roman;serif"/>
                  <w:b w:val="false"/>
                  <w:color w:val="000080"/>
                  <w:sz w:val="20"/>
                  <w:u w:val="single"/>
                </w:rPr>
                <w:t>, 2025, among Lucid Group, Inc., and Ayar Third Investment Company, as the sole lender and administrative agent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3fy25ex991earnings.htm">
              <w:r>
                <w:rPr>
                  <w:rStyle w:val="InternetLink"/>
                  <w:rFonts w:ascii="Times New Roman;serif" w:hAnsi="Times New Roman;serif"/>
                  <w:b w:val="false"/>
                  <w:color w:val="000080"/>
                  <w:sz w:val="20"/>
                  <w:u w:val="single"/>
                </w:rPr>
                <w:t xml:space="preserve">Lucid Press Release Dated </w:t>
              </w:r>
            </w:hyperlink>
            <w:hyperlink w:anchor="q3fy25ex991earnings.htm">
              <w:r>
                <w:rPr>
                  <w:rStyle w:val="InternetLink"/>
                  <w:rFonts w:ascii="Times New Roman;serif" w:hAnsi="Times New Roman;serif"/>
                  <w:b w:val="false"/>
                  <w:color w:val="000080"/>
                  <w:sz w:val="20"/>
                  <w:u w:val="single"/>
                </w:rPr>
                <w:t xml:space="preserve">November </w:t>
              </w:r>
            </w:hyperlink>
            <w:hyperlink w:anchor="q3fy25ex991earnings.htm">
              <w:r>
                <w:rPr>
                  <w:rStyle w:val="InternetLink"/>
                  <w:rFonts w:ascii="Times New Roman;serif" w:hAnsi="Times New Roman;serif"/>
                  <w:b w:val="false"/>
                  <w:color w:val="000080"/>
                  <w:sz w:val="20"/>
                  <w:u w:val="single"/>
                </w:rPr>
                <w:t>5</w:t>
              </w:r>
            </w:hyperlink>
            <w:hyperlink w:anchor="q3fy25ex991earnings.htm">
              <w:r>
                <w:rPr>
                  <w:rStyle w:val="InternetLink"/>
                  <w:rFonts w:ascii="Times New Roman;serif" w:hAnsi="Times New Roman;serif"/>
                  <w:b w:val="false"/>
                  <w:color w:val="000080"/>
                  <w:sz w:val="20"/>
                  <w:u w:val="single"/>
                </w:rPr>
                <w:t>,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37" w:type="dxa"/>
        <w:jc w:val="left"/>
        <w:tblInd w:w="0" w:type="dxa"/>
        <w:tblLayout w:type="fixed"/>
        <w:tblCellMar>
          <w:top w:w="28" w:type="dxa"/>
          <w:left w:w="28" w:type="dxa"/>
          <w:bottom w:w="28" w:type="dxa"/>
          <w:right w:w="28" w:type="dxa"/>
        </w:tblCellMar>
      </w:tblPr>
      <w:tblGrid>
        <w:gridCol w:w="797"/>
        <w:gridCol w:w="700"/>
        <w:gridCol w:w="707"/>
        <w:gridCol w:w="308"/>
        <w:gridCol w:w="308"/>
        <w:gridCol w:w="308"/>
        <w:gridCol w:w="587"/>
        <w:gridCol w:w="587"/>
        <w:gridCol w:w="835"/>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November 5, 2025</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 NO. 1 TO CREDIT AGREEMENT</w:t>
      </w:r>
    </w:p>
    <w:p>
      <w:pPr>
        <w:pStyle w:val="TextBody"/>
        <w:bidi w:val="0"/>
        <w:spacing w:lineRule="auto" w:line="288" w:before="0" w:after="240"/>
        <w:ind w:left="0" w:right="0" w:firstLine="720"/>
        <w:jc w:val="both"/>
        <w:rPr/>
      </w:pPr>
      <w:r>
        <w:rPr>
          <w:rFonts w:ascii="Times New Roman;serif" w:hAnsi="Times New Roman;serif"/>
          <w:b/>
          <w:color w:val="000000"/>
          <w:sz w:val="24"/>
        </w:rPr>
        <w:t>AMENDMENT NO. 1 TO CREDIT AGREEMENT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November 4, 2025, by and among Lucid Group, Inc., 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and Ayar Third Investment Company, as administrative agent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as lender (the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PRELIMINARY STATEMENTS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Borrower, the Lender and the Administrative Agent are parties to that certain Credit Agreement, dated as of August 4, 2024 (as amended, restated, amended and restated, supplemented or otherwise modified prior to the Amendment No. 1 Effective Date (as defined below),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and as amended by this Amendment, the “</w:t>
      </w:r>
      <w:r>
        <w:rPr>
          <w:rFonts w:ascii="Times New Roman;serif" w:hAnsi="Times New Roman;serif"/>
          <w:b w:val="false"/>
          <w:color w:val="000000"/>
          <w:sz w:val="24"/>
          <w:u w:val="single"/>
        </w:rPr>
        <w:t>Amended Credit Agreement</w:t>
      </w:r>
      <w:r>
        <w:rPr>
          <w:color w:val="000000"/>
        </w:rPr>
        <w:t>”</w:t>
      </w:r>
      <w:r>
        <w:rPr>
          <w:rFonts w:ascii="Times New Roman;serif" w:hAnsi="Times New Roman;serif"/>
          <w:b w:val="false"/>
          <w:color w:val="000000"/>
          <w:sz w:val="24"/>
        </w:rPr>
        <w:t>; capitalized terms used in this Amendment and not otherwise defined in this Amendment have the same meanings as specified in the Amended Credit Agreement);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Borrower desires to increase the Aggregate Delayed Draw Term Commitment by $1,228,787,899.58 (the “</w:t>
      </w:r>
      <w:r>
        <w:rPr>
          <w:rFonts w:ascii="Times New Roman;serif" w:hAnsi="Times New Roman;serif"/>
          <w:b w:val="false"/>
          <w:color w:val="000000"/>
          <w:sz w:val="24"/>
          <w:u w:val="single"/>
        </w:rPr>
        <w:t>Commitment Increase</w:t>
      </w:r>
      <w:r>
        <w:rPr>
          <w:color w:val="000000"/>
        </w:rPr>
        <w:t>”</w:t>
      </w:r>
      <w:r>
        <w:rPr>
          <w:rFonts w:ascii="Times New Roman;serif" w:hAnsi="Times New Roman;serif"/>
          <w:b w:val="false"/>
          <w:color w:val="000000"/>
          <w:sz w:val="24"/>
        </w:rPr>
        <w:t>) to an aggregate principal amount of $1,978,787,899.58.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agreements contained herein and other good and valuable consideration, the sufficiency and receipt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Amendments to the Credit Agreement; Etc</w:t>
      </w:r>
      <w:r>
        <w:rPr>
          <w:rFonts w:ascii="Times New Roman;serif" w:hAnsi="Times New Roman;serif"/>
          <w:b w:val="false"/>
          <w:color w:val="000000"/>
          <w:sz w:val="24"/>
        </w:rPr>
        <w:t>. Effective as of the Amendment No. 1 Effective Date (as defined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(a)Schedule 1.01(c) to the Credit Agreement is hereby amended and restated in its entirety as set forth in Schedule I attached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definition of “Aggregate Delayed Draw Term Commitment” is hereby amended and restated in its entirety as set forth below; and:</w:t>
      </w:r>
    </w:p>
    <w:p>
      <w:pPr>
        <w:pStyle w:val="TextBody"/>
        <w:bidi w:val="0"/>
        <w:spacing w:lineRule="auto" w:line="288" w:before="0" w:after="240"/>
        <w:jc w:val="both"/>
        <w:rPr/>
      </w:pPr>
      <w:r>
        <w:rPr>
          <w:color w:val="000000"/>
        </w:rPr>
        <w:t>“</w:t>
      </w:r>
      <w:r>
        <w:rPr>
          <w:rFonts w:ascii="Times New Roman;serif" w:hAnsi="Times New Roman;serif"/>
          <w:b/>
          <w:color w:val="000000"/>
          <w:sz w:val="24"/>
        </w:rPr>
        <w:t>Aggregate Delayed Draw Term Commitment</w:t>
      </w:r>
      <w:r>
        <w:rPr>
          <w:color w:val="000000"/>
        </w:rPr>
        <w:t xml:space="preserve">” </w:t>
      </w:r>
      <w:r>
        <w:rPr>
          <w:rFonts w:ascii="Times New Roman;serif" w:hAnsi="Times New Roman;serif"/>
          <w:b w:val="false"/>
          <w:color w:val="000000"/>
          <w:sz w:val="24"/>
        </w:rPr>
        <w:t xml:space="preserve">shall mean, at any time, the aggregate of the Delayed Draw Commitments of all of the Lenders, as increased or reduced from time to time pursuant to the terms and conditions hereof. As of the Effective Date, the Aggregate Delayed Draw Term Commitment is $750,000,000. As of the date of effectiveness of that certain Amendment No. 1 to Credit Agreement, dated as of November 4, 2025, among the Borrower, the Lenders party thereto and the Administrative Agent, the Aggregate Delayed Draw Term Commitment is $1,978,787,899.58.” </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(c)Section 2.09(c) of the Credit Agreement is hereby amended and restated in its entirety as set forth below:</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The Borrower may from time to time, at its election, terminate the Delayed Draw Term Commitments in full (or solely to the extent approved by the Lenders in writing, which may be by email, in part and in minimum increments required by such Lenders). Once reduced, such commitments may not be reinstated or increased.”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Conditions to Effectiveness</w:t>
      </w:r>
      <w:r>
        <w:rPr>
          <w:rFonts w:ascii="Times New Roman;serif" w:hAnsi="Times New Roman;serif"/>
          <w:b w:val="false"/>
          <w:color w:val="000000"/>
          <w:sz w:val="24"/>
        </w:rPr>
        <w:t>. This Amendment and the Commitment Increase shall become effective upon the date on which each of the following conditions is satisfied (or waived in accordance with Section 9.02 of the Credit Agreement) (such date, the “</w:t>
      </w:r>
      <w:r>
        <w:rPr>
          <w:rFonts w:ascii="Times New Roman;serif" w:hAnsi="Times New Roman;serif"/>
          <w:b w:val="false"/>
          <w:color w:val="000000"/>
          <w:sz w:val="24"/>
          <w:u w:val="single"/>
        </w:rPr>
        <w:t>Amendment No. 1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(a)Amendment. The Administrative Agent (or its counsel) shall have received a fully executed copy of this Amendment by each of the Borrower, the Lender and the Administrative Agent;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(b)Certificates. The Administrative Agent (or its counsel) shall have received: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certificate of the Borrower, dated the Amendment No. 1 Effective Date and executed by its Corporate Secretary, Assistant Corporate Secretary or other Responsible Officer, which shall (A) certify the resolutions of its Board of Directors or board committees authorizing the execution, delivery and performance of this Amendment, the Commitment Increase and the transactions contemplated hereby, (B) either (x) certify that there have been no changes to the certificate or articles of incorporation or organization, and by-laws of the Borrower since the Effective Date, or (y) if such documents have been amended since the Effective Date, attach copies of such amendments, and (C) identify by name and title and bear the signatures of the officers of the Borrower authorized to sign this Amendment;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 good standing certificate for the Borrower from its jurisdiction of organization or the substantive equivalent available in the jurisdiction of organization for the Borrower from the appropriate governmental officer in such jurisdiction (unless such certificates were delivered within 30 days prior to the Amendment No. 1 Effective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(c)Legal Opinion. The Administrative Agent (or its counsel) shall have received a legal opinion of Skadden, Arps, Slate, Meagher &amp; Flom LLP, counsel to the Borrower, addressed to the Administrative Agent and the Lenders, in form and substance reasonably satisfactory to the Administrative Agent and its counsel;</w:t>
      </w:r>
    </w:p>
    <w:p>
      <w:pPr>
        <w:pStyle w:val="TextBody"/>
        <w:bidi w:val="0"/>
        <w:spacing w:before="0" w:after="0"/>
        <w:ind w:left="0" w:right="0" w:firstLine="1080"/>
        <w:jc w:val="both"/>
        <w:rPr/>
      </w:pPr>
      <w:r>
        <w:rPr/>
      </w:r>
    </w:p>
    <w:p>
      <w:pPr>
        <w:pStyle w:val="TextBody"/>
        <w:bidi w:val="0"/>
        <w:ind w:left="0" w:right="0" w:firstLine="108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(d)Expenses. The Borrower shall have paid all expenses required to be paid pursuant to Section 9.03 of the Credit Agreement for which invoices have been presented (including the actual, documented and reasonable fees and expenses of legal counsel), prior to the Amendment No. 1 Effective Date;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(e)Closing Certificate. The Administrative Agent (or its counsel) shall have received a certificate, signed by a Responsible Officer of the Borrower, dated as of the Amendment No. 1 Effective Date (i) stating that no Default has occurred and is continuing and (ii) stating that the representations and warranties contained in Section 3 of this Amendment are true and correct in all material respects as of such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By executing this Amendment, the Borrower hereby represents and warrants to the Lenders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representations and warranties of the Loan Parties set forth in the Loan Documents (other than with respect to Section 3.19(b) of the Credit Agreement) are true and correct in all material respects with the same effect as though made on and as of the date of this Amendment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(b)At the time of and immediately after giving effect to this Amendment, no Default has occurred and is continuing as of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rPr>
        <w:t>Reference to and Effect on the Credit Agreement and the Loan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(a)On and after the effectiveness of this Amendment, each reference in the Credit Agreement to “this Agreement”, “hereunder”, “hereof” or words of like import referring to the Credit Agreement, and each reference in each of the other Loan Documents to “the Credit Agreement”, “thereunder”, “thereof” or words of like import referring to the Credit Agreement, shall mean and be a reference to the Amended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Credit Agreement and each of the other Loan Documents, as specifically amended by this Amendment, are and shall continue to be in full force and effect and are hereby in all respects ratified and confirmed.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execution, delivery and effectiveness of this Amendment shall not, except as expressly provided herein, operate as a waiver of any right, power or remedy of the Lender or the Administrative Agent under any of the Loan Documents or constitute a waiver of any provision of any of the Loan Documents. This Amendment shall not constitute a novation of the Credit Agreement or any other Loan Document.</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(d)This Amendment shall constitute a Loan Document.</w:t>
      </w:r>
    </w:p>
    <w:p>
      <w:pPr>
        <w:pStyle w:val="TextBody"/>
        <w:bidi w:val="0"/>
        <w:spacing w:before="0" w:after="0"/>
        <w:ind w:left="0" w:right="0" w:firstLine="108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Execution in Counterparts; Etc</w:t>
      </w:r>
      <w:r>
        <w:rPr>
          <w:rFonts w:ascii="Times New Roman;serif" w:hAnsi="Times New Roman;serif"/>
          <w:b w:val="false"/>
          <w:color w:val="000000"/>
          <w:sz w:val="24"/>
        </w:rPr>
        <w:t xml:space="preserve">. This Amendment may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counterpart which has been converted into electronic form (such as scanned into PDF format), or an electronically signed counterpart converted into another format, for transmission, delivery and/or retention. The words “execute,” “execution,”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GOVERNING LAW; ETC</w:t>
      </w:r>
      <w:r>
        <w:rPr>
          <w:rFonts w:ascii="Times New Roman;serif" w:hAnsi="Times New Roman;serif"/>
          <w:b w:val="false"/>
          <w:color w:val="000000"/>
          <w:sz w:val="24"/>
        </w:rPr>
        <w:t>. THIS AMENDMENT SHALL BE GOVERNED BY AND CONSTRUED IN ACCORDANCE WITH THE INTERNAL LAWS (AND NOT THE LAW OF CONFLICTS) OF THE STATE OF NEW YORK, BUT GIVING EFFECT TO FEDERAL LAWS APPLICABLE TO NATIONAL BANKS. Sections 9.09 (</w:t>
      </w:r>
      <w:r>
        <w:rPr>
          <w:rFonts w:ascii="Times New Roman;serif" w:hAnsi="Times New Roman;serif"/>
          <w:b w:val="false"/>
          <w:i/>
          <w:color w:val="000000"/>
          <w:sz w:val="24"/>
        </w:rPr>
        <w:t>Governing Law; Jurisdiction; Consent to Service of Process</w:t>
      </w:r>
      <w:r>
        <w:rPr>
          <w:rFonts w:ascii="Times New Roman;serif" w:hAnsi="Times New Roman;serif"/>
          <w:b w:val="false"/>
          <w:color w:val="000000"/>
          <w:sz w:val="24"/>
        </w:rPr>
        <w:t>) and 9.10 (</w:t>
      </w:r>
      <w:r>
        <w:rPr>
          <w:rFonts w:ascii="Times New Roman;serif" w:hAnsi="Times New Roman;serif"/>
          <w:b w:val="false"/>
          <w:i/>
          <w:color w:val="000000"/>
          <w:sz w:val="24"/>
        </w:rPr>
        <w:t>Waiver of Jury Trial</w:t>
      </w:r>
      <w:r>
        <w:rPr>
          <w:rFonts w:ascii="Times New Roman;serif" w:hAnsi="Times New Roman;serif"/>
          <w:b w:val="false"/>
          <w:color w:val="000000"/>
          <w:sz w:val="24"/>
        </w:rPr>
        <w:t xml:space="preserve">) of the Credit Agreement are hereby incorporated by reference herein, </w:t>
      </w:r>
      <w:r>
        <w:rPr>
          <w:rFonts w:ascii="Times New Roman;serif" w:hAnsi="Times New Roman;serif"/>
          <w:b w:val="false"/>
          <w:i/>
          <w:color w:val="000000"/>
          <w:sz w:val="24"/>
        </w:rPr>
        <w:t>mutatis mutandis</w:t>
      </w:r>
      <w:r>
        <w:rPr>
          <w:rFonts w:ascii="Times New Roman;serif" w:hAnsi="Times New Roman;serif"/>
          <w:b w:val="false"/>
          <w:color w:val="000000"/>
          <w:sz w:val="24"/>
        </w:rPr>
        <w:t>, as if set forth in full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Expenses; Indemnity</w:t>
      </w:r>
      <w:r>
        <w:rPr>
          <w:rFonts w:ascii="Times New Roman;serif" w:hAnsi="Times New Roman;serif"/>
          <w:b w:val="false"/>
          <w:color w:val="000000"/>
          <w:sz w:val="24"/>
        </w:rPr>
        <w:t>. Section 9.03 (</w:t>
      </w:r>
      <w:r>
        <w:rPr>
          <w:rFonts w:ascii="Times New Roman;serif" w:hAnsi="Times New Roman;serif"/>
          <w:b w:val="false"/>
          <w:i/>
          <w:color w:val="000000"/>
          <w:sz w:val="24"/>
        </w:rPr>
        <w:t>Expenses; Limitation of Liability; Indemnity; Etc.</w:t>
      </w:r>
      <w:r>
        <w:rPr>
          <w:rFonts w:ascii="Times New Roman;serif" w:hAnsi="Times New Roman;serif"/>
          <w:b w:val="false"/>
          <w:color w:val="000000"/>
          <w:sz w:val="24"/>
        </w:rPr>
        <w:t xml:space="preserve">) of the Credit Agreement is hereby incorporated by reference herein, </w:t>
      </w:r>
      <w:r>
        <w:rPr>
          <w:rFonts w:ascii="Times New Roman;serif" w:hAnsi="Times New Roman;serif"/>
          <w:b w:val="false"/>
          <w:i/>
          <w:color w:val="000000"/>
          <w:sz w:val="24"/>
        </w:rPr>
        <w:t>mutatis mutandis</w:t>
      </w:r>
      <w:r>
        <w:rPr>
          <w:rFonts w:ascii="Times New Roman;serif" w:hAnsi="Times New Roman;serif"/>
          <w:b w:val="false"/>
          <w:color w:val="000000"/>
          <w:sz w:val="24"/>
        </w:rPr>
        <w:t>, as if set forth in full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Upfront Fee Payment</w:t>
      </w:r>
      <w:r>
        <w:rPr>
          <w:rFonts w:ascii="Times New Roman;serif" w:hAnsi="Times New Roman;serif"/>
          <w:b w:val="false"/>
          <w:color w:val="000000"/>
          <w:sz w:val="24"/>
        </w:rPr>
        <w:t>. Within 30 days after the Amendment No. 1 Effective Date, the Borrower shall pay to the Administrative Agent, for the ratable account of each Lender, an upfront fee in an amount equal to 0.75% of the result of (x) the Aggregate Delayed Draw Term Commitments as of the date of such payment minus (y) $750,000,000 (but not less than zero) (the “</w:t>
      </w:r>
      <w:r>
        <w:rPr>
          <w:rFonts w:ascii="Times New Roman;serif" w:hAnsi="Times New Roman;serif"/>
          <w:b w:val="false"/>
          <w:color w:val="000000"/>
          <w:sz w:val="24"/>
          <w:u w:val="single"/>
        </w:rPr>
        <w:t>Upfront Fee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executed by their respective officers thereunto duly authorized, as of the date first above written.</w:t>
      </w:r>
    </w:p>
    <w:tbl>
      <w:tblPr>
        <w:tblW w:w="4638" w:type="dxa"/>
        <w:jc w:val="left"/>
        <w:tblInd w:w="0" w:type="dxa"/>
        <w:tblLayout w:type="fixed"/>
        <w:tblCellMar>
          <w:top w:w="28" w:type="dxa"/>
          <w:left w:w="28" w:type="dxa"/>
          <w:bottom w:w="28" w:type="dxa"/>
          <w:right w:w="28" w:type="dxa"/>
        </w:tblCellMar>
      </w:tblPr>
      <w:tblGrid>
        <w:gridCol w:w="124"/>
        <w:gridCol w:w="109"/>
        <w:gridCol w:w="109"/>
        <w:gridCol w:w="428"/>
        <w:gridCol w:w="428"/>
        <w:gridCol w:w="428"/>
        <w:gridCol w:w="873"/>
        <w:gridCol w:w="873"/>
        <w:gridCol w:w="8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LUCID GROUP,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the Borrower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/s/Andrea de Lugnani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Andrea de Lugnani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Global Treasurer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 Credit Agreement]</w:t>
                      </w:r>
                    </w:p>
                  </w:txbxContent>
                </v:textbox>
                <w10:wrap type="none"/>
              </v:rect>
            </w:pict>
          </mc:Fallback>
        </mc:AlternateContent>
      </w:r>
    </w:p>
    <w:tbl>
      <w:tblPr>
        <w:tblW w:w="5964" w:type="dxa"/>
        <w:jc w:val="left"/>
        <w:tblInd w:w="0" w:type="dxa"/>
        <w:tblLayout w:type="fixed"/>
        <w:tblCellMar>
          <w:top w:w="28" w:type="dxa"/>
          <w:left w:w="28" w:type="dxa"/>
          <w:bottom w:w="28" w:type="dxa"/>
          <w:right w:w="28" w:type="dxa"/>
        </w:tblCellMar>
      </w:tblPr>
      <w:tblGrid>
        <w:gridCol w:w="124"/>
        <w:gridCol w:w="109"/>
        <w:gridCol w:w="109"/>
        <w:gridCol w:w="805"/>
        <w:gridCol w:w="805"/>
        <w:gridCol w:w="805"/>
        <w:gridCol w:w="941"/>
        <w:gridCol w:w="941"/>
        <w:gridCol w:w="9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AYAR THIRD INVESTMENT COMPANY,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the Administrative Agent and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Turqi A. Alnowaiser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Name: Turqi A. Alnowaiser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Authorized Manager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1 to Credit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I</w:t>
        <w:br/>
        <w:br/>
        <w:t>Commitment Schedule</w:t>
      </w:r>
    </w:p>
    <w:tbl>
      <w:tblPr>
        <w:tblW w:w="7799" w:type="dxa"/>
        <w:jc w:val="left"/>
        <w:tblInd w:w="0" w:type="dxa"/>
        <w:tblLayout w:type="fixed"/>
        <w:tblCellMar>
          <w:top w:w="28" w:type="dxa"/>
          <w:left w:w="28" w:type="dxa"/>
          <w:bottom w:w="28" w:type="dxa"/>
          <w:right w:w="28" w:type="dxa"/>
        </w:tblCellMar>
      </w:tblPr>
      <w:tblGrid>
        <w:gridCol w:w="1284"/>
        <w:gridCol w:w="1130"/>
        <w:gridCol w:w="1141"/>
        <w:gridCol w:w="1242"/>
        <w:gridCol w:w="1242"/>
        <w:gridCol w:w="1760"/>
      </w:tblGrid>
      <w:tr>
        <w:trPr/>
        <w:tc>
          <w:tcPr>
            <w:tcW w:w="128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4" w:space="0" w:color="000000"/>
              <w:left w:val="single" w:sz="4" w:space="0" w:color="000000"/>
            </w:tcBorders>
            <w:shd w:fill="D9D9D9" w:val="clear"/>
            <w:tcMar>
              <w:top w:w="30" w:type="dxa"/>
              <w:left w:w="37"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Lender</w:t>
            </w:r>
          </w:p>
        </w:tc>
        <w:tc>
          <w:tcPr>
            <w:tcW w:w="4244" w:type="dxa"/>
            <w:gridSpan w:val="3"/>
            <w:tcBorders>
              <w:top w:val="single" w:sz="4" w:space="0" w:color="000000"/>
              <w:left w:val="single" w:sz="4" w:space="0" w:color="000000"/>
              <w:right w:val="single" w:sz="4" w:space="0" w:color="000000"/>
            </w:tcBorders>
            <w:shd w:fill="D9D9D9" w:val="clear"/>
            <w:tcMar>
              <w:top w:w="30" w:type="dxa"/>
              <w:left w:w="37" w:type="dxa"/>
              <w:bottom w:w="0" w:type="dxa"/>
              <w:right w:w="37"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Delayed Draw Term Loan Commitment</w:t>
            </w:r>
          </w:p>
        </w:tc>
      </w:tr>
      <w:tr>
        <w:trPr/>
        <w:tc>
          <w:tcPr>
            <w:tcW w:w="3555" w:type="dxa"/>
            <w:gridSpan w:val="3"/>
            <w:tcBorders>
              <w:top w:val="single" w:sz="4" w:space="0" w:color="000000"/>
              <w:left w:val="single" w:sz="4" w:space="0" w:color="000000"/>
              <w:bottom w:val="single" w:sz="4" w:space="0" w:color="000000"/>
            </w:tcBorders>
            <w:tcMar>
              <w:top w:w="30" w:type="dxa"/>
              <w:left w:w="37"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Ayar Third Investment Company</w:t>
            </w:r>
          </w:p>
        </w:tc>
        <w:tc>
          <w:tcPr>
            <w:tcW w:w="42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$1,978,787,899.58</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Lucid Announces Third Quarter 2025 Financial Results</w: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Financial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Produced 3,891 vehicles in Q3, up 116% compared to Q3 2024, with more than 1,000 additional vehicles built for Saudi Arabia for final assembly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Delivered 4,078 vehicles in Q3; up 47% compared to Q3 2024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Q3 revenue of $336.6 million; up 68% compared to Q3 2024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Subsequent to quarter end, the Public Investment Fund (“PIF”) and Lucid agreed to increase the delayed draw term loan credit facility (the “DDTL”) from $750 million to approximately $2.0 billion. Lucid’s total liquidity at quarter end would have been approximately $5.5 billion, giving effect to this DDTL increase, up from actual total liquidity of $4.2 billion. The DDTL facility remains undrawn.</w: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Operational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Announced a strategic collaboration with NVIDIA to co-develop next-generation Level 4 autonomous driving technology, positioning Lucid at the forefront of intelligent, software-defined vehicle development and one of the first to offer Level 4 autonomous driving capabilities to consumers.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Delivered the first Lucid vehicles into the robotaxi engineering fleet for further development by Nuro, marking a key milestone in the Uber robotaxi partnership; announced initial rollout in San Francisco in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Completed Uber’s $300 million strategic investment in Lucid, strengthening alignment around shared goals in premium electric and autonomous transportation.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shd w:fill="FFFFFF" w:val="clear"/>
        </w:rPr>
        <w:t xml:space="preserve">Announced key organizational changes designed to accelerate growth, streamline decision-making, enhance accountability, and strengthen global expansion.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NEWARK, Calif. — November 5, 2025 — Lucid Group, Inc. (NASDAQ: LCID), maker of the world’s most advanced electric vehicles, today announced financial results for its third quarter ended September 30, 2025. The earnings presentation is available on its investor relations website (https://ir.lucidmotors.com).</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reported third quarter revenue of $336.6 million on deliveries of 4,078 vehicles. Subsequent to quarter end, PIF and Lucid agreed to increase the DDTL from $750 million to approximately $2.0 billion. Lucid’s total liquidity at quarter end would have been approximately $5.5 billion, giving effect to this DDTL increase, up from actual total liquidity of $4.2 billion. The DDTL facility remains undrawn. The company is committed to maintaining a healthy liquidity position and will continue to evaluate all financing and liquidity options, including in the public markets, when the appropriate conditions materialize.</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We maintained strong operational momentum this quarter, delivering solid results in both production and customer deliveries,” said Marc Winterhoff, Interim CEO at Lucid. “Our team remains intensely focused on ramping up production and addressing the significant supply chain disruptions impacting the entire industry. At the same time, we continue to advance our position in autonomy and intelligent mobility, from our robotaxi partnership to our new collaboration with NVIDIA, positioning Lucid to be among the first to bring Level 4 autonomous driving to privately owned passenger vehicles. And as we work toward key milestones in the coming quarters, today’s organizational changes will accelerate innovation, empower decisive action, and ensure Lucid is best positioned for global expansion.”</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We maintained disciplined execution this quarter while navigating a complex operating environment,” said Taoufiq Boussaid, CFO at Lucid. “We remain sharply focused on cost management, with our solid liquidity position, supported by the additional liquidity from the PIF, underpinning both our short-term execution and our mid-term strategy. We’re delivering against our plan today with financial discipline, while expanding our technology and platform to unlock new opportunities for value creation.”</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will host a conference call for analysts and investors at 2:30 P.M. PT / 5:30 P.M. ET on November 5, 2025.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before="20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Lucid Group</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Lucid (NASDAQ: LCID) is a Silicon Valley-based technology company focused on creating the most advanced EVs in the world. The award-winning Lucid Air and Lucid Gravity SUV deliver best-in-class performance, sophisticated design, expansive interior space and unrivaled energy efficiency. Lucid assembles both vehicles in its state-of-the-art, vertically integrated factories in Arizona and Saudi Arabia. Through its industry-leading technology and innovations, Lucid is advancing the state-of-the-art of EV technology for the benefit of all. </w:t>
      </w:r>
    </w:p>
    <w:p>
      <w:pPr>
        <w:pStyle w:val="TextBody"/>
        <w:bidi w:val="0"/>
        <w:spacing w:lineRule="auto" w:line="288" w:before="240" w:after="1"/>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240" w:after="283"/>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investor@lucidmotors.com</w: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 xml:space="preserve">Media Contact </w:t>
      </w:r>
    </w:p>
    <w:p>
      <w:pPr>
        <w:pStyle w:val="TextBody"/>
        <w:bidi w:val="0"/>
        <w:spacing w:lineRule="auto" w:line="288" w:before="240" w:after="283"/>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 xml:space="preserve">media@lucidmotors.com </w: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 xml:space="preserve">Trademarks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1"/>
        <w:jc w:val="left"/>
        <w:rPr>
          <w:rFonts w:ascii="Times New Roman;serif" w:hAnsi="Times New Roman;serif"/>
          <w:b/>
          <w:color w:val="1B1B1B"/>
          <w:sz w:val="22"/>
        </w:rPr>
      </w:pPr>
      <w:r>
        <w:rPr>
          <w:rFonts w:ascii="Times New Roman;serif" w:hAnsi="Times New Roman;serif"/>
          <w:b/>
          <w:color w:val="1B1B1B"/>
          <w:sz w:val="22"/>
        </w:rPr>
        <w:t>Forward-Looking Statements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prospects, growth, production volumes, strategies, management, and the markets in which Lucid operates, including expectations of financial and operational metrics, projections of market opportunity, market share and product sales, plans and expectations related to commercial product launches and future programs, initiatives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further monetization opportunities,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plans and expectations regarding future manufacturing capabilities and facilities, logistics and supply chain, studio and service center openings, sales channels and strategies, test drive, ability to mitigate supply chain and logistics risks, plans and expectations regarding expansion and construction of Lucid’s AMP-1 and AMP-2 manufacturing facilities and capabilities, including potential benefits, ability to vertically integrate production processes, future sales channels and strategies, future market launches and international expansion, Lucid’s ability to grow its brand awareness, plans and expectations regarding management transitions, the potential success of Lucid’s direct-to-consumer sales strategy and future vehicle programs, potential automotive and strategic partnerships and their anticipated benefits, plans and expectations regarding Lucid’s ADAS/AD roadmap and robotaxi program, expectations on the technology licensing landscape, expectations on the regulatory and political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regulatory and legal conditions, including </w:t>
      </w:r>
    </w:p>
    <w:p>
      <w:pPr>
        <w:pStyle w:val="TextBody"/>
        <w:bidi w:val="0"/>
        <w:spacing w:before="20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uncertainties and changes of policies, imposition or proposed imposition of tariffs, export controls and threat of a trade war, the risk of a global economic recession or other downturn, bank closures and liquidity concerns at financial institutions, and global or regional conflicts or other geopolitical events; risks related to changes in overall demand for Lucid’s products and services and cancellation of orders for Lucid’s vehicles; risks related to prices and availability of commodities and materials, including rare earth minerals and semiconductors and its related products, Lucid’s supply chain, logistics, inventory management and quality control, and Lucid’s ability to complete the tooling of its manufacturing facilities over time and scale production of Lucid’s vehicles; risks related to the uncertainty of Lucid’s projected financial and operational information; risks related to the timing of expected business milestones and commercial product launches; risks related to the construction and expansion of Lucid’s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its ability to realize the anticipated benefits of its transactions with Aston Martin, Uber, Nuro and NVIDIA; risks related to potential vehicle recalls; Lucid’s ability to establish and expand its brand, and capture additional market share, and the risks associated with negative press or reputational harm; Lucid’s ability to effectively manage its growth and recruit and retain key employees, including its executive team; Lucid’s ongoing need to attract, retain, and motivate key employees, including engineering and management employees, as Lucid has undertaken multiple significant management changes in the past, including its CEO; risks related to Lucid’s outstanding redeemable convertible preferred stock; availability, reduction or elimination of, and Lucid’s ability to obtain and effectively utilize, zero emission vehicle credits, tax incentives, and other governmental and regulatory programs and incentives; Lucid’s ability to conduct equity, equity-linked or debt financings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 cautionary language and the Risk Factors in Lucid’s Annual Report on Form 10-K for the year ended December 31, 2024, subsequent Quarterly Reports on Form 10-Q,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Non-GAAP Financial Measures and Key Business Metrics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Condensed consolidated financial information has been presented in accordance with US GAAP (“GAAP”) as well as on a non-GAAP basis to supplement our condensed consolidated financial results. Lucid’s non-GAAP financial measures include Adjusted EBITDA, adjusted net loss attributable to common stockholders (diluted), adjusted net loss per share attributable to common stockholders (diluted), and free cash flow, which are discussed below.</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is defined as net loss attributable to common stockholders (basic) before (1) interest expense, (2) interest income, (3) provision for (benefit from) income taxes, (4) depreciation and amortization, (5) stock-based compensation, (6) restructuring charges, (7) change in fair value of common stock warrant liability, (8) change in fair value of equity securities of a related party, (9) change in fair value of derivative liabilities associated with redeemable convertible preferred stock (related party), (10) accretion of redeemable convertible preferred stock (related party), and (11) gain on extinguishment of debt. Lucid believes that Adjusted EBITDA provides useful information to Lucid’s management and investors about Lucid’s financial performance.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loss attributable to common stockholders (diluted) is defined as net loss attributable to common stockholders (diluted) excluding (1) stock-based compensation, (2) restructuring charges, (3) change in fair value of common stock warrant liability, (4) change in fair value of equity securities of a related party, (5) change in fair value of derivative liabilities associated with redeemable convertible preferred stock (related party), and (6) accretion of redeemable convertible preferred stock (related party).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defines and calculates adjusted net loss per share attributable to common stockholders (diluted) as adjusted net loss attributable to common stockholders (diluted) divided by weighted-average shares outstanding attributable to common stockholders (diluted).</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Lucid believes that adjusted net loss attributable to common stockholders (diluted) and adjusted net loss per share attributable to common stockholders (diluted) financial measures provide investors with useful information to evaluate performance of its business excluding items not reflecting ongoing operating activities.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LUCID GROUP,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BALANCE SHEETS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78"/>
        <w:gridCol w:w="2080"/>
        <w:gridCol w:w="2065"/>
        <w:gridCol w:w="109"/>
        <w:gridCol w:w="109"/>
        <w:gridCol w:w="109"/>
        <w:gridCol w:w="196"/>
        <w:gridCol w:w="886"/>
        <w:gridCol w:w="109"/>
        <w:gridCol w:w="109"/>
        <w:gridCol w:w="109"/>
        <w:gridCol w:w="109"/>
        <w:gridCol w:w="196"/>
        <w:gridCol w:w="886"/>
        <w:gridCol w:w="155"/>
      </w:tblGrid>
      <w:tr>
        <w:trPr/>
        <w:tc>
          <w:tcPr>
            <w:tcW w:w="297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1,635,120 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1,606,865 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investments (including $50,000 and $15,000 associated with a related party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701,906 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2,424,103 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 (including $83,616 and $57,909 from a related party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137,642 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112,025 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981,062 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407,774 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58,135 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52,951 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 (including nil and $34,503 associated with a related party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286,245 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270,218 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3,800,110 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4,873,936 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3,752,065 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3,262,612 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227,995 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211,886 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investments (including nil and $20,000 associated with a related party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656,249 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1,012,223 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355,199 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249,443 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37,831 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7"/>
              </w:rPr>
              <w:t>8,823,038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7"/>
              </w:rPr>
              <w:t>9,647,931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393,029 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133,832 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81,633 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6,788 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 (including $378,405 and $126,417 associated with related parties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1,630,322 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1,024,671 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2,104,984 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1,165,291 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101,886 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76,096 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2,040,363 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2,002,151 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 (including $123,043 and $121,136 associated with related parties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572,091 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592,314 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282,625 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639,425 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5,101,949 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4,475,277 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September 30, 2025 and December 31, 2024, Series A redeemable convertible preferred stock, par value $0.0001; 100,000 shares issued and outstanding as of September 30, 2025 and December 31, 2024; liquidation preference of $1,294,204 and $1,138,825 as of September 30, 2025 and December 31, 2024,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1,109,905 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730,025 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September 30, 2025 and December 31, 2024, Series B redeemable convertible preferred stock, par value $0.0001; 75,000 shares issued and outstanding as of September 30, 2025 and December 31, 2024; liquidation preference of $909,131 and $800,442 as of September 30, 2025 and December 31, 2024,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810,806 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569,817 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Total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1,920,711 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1,299,842 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360"/>
              <w:jc w:val="left"/>
              <w:rPr/>
            </w:pPr>
            <w:r>
              <w:rPr>
                <w:rFonts w:ascii="Times New Roman;serif" w:hAnsi="Times New Roman;serif"/>
                <w:b w:val="false"/>
                <w:color w:val="000000"/>
                <w:sz w:val="17"/>
              </w:rPr>
              <w:t>Common stock, par value $0.0001; 1,500,000,000 shares authorized as of September 30, 2025 and December 31, 2024; 324,250,049 and 303,221,972 shares issued and 324,164,267 and 303,136,190 shares outstanding as of September 30, 2025 and December 31, 2024, respectively</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16,604,674 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16,808,291 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7"/>
              </w:rPr>
              <w:t>Treasury stock, at cost, 85,782 shares at September 30, 2025 and December 31, 2024</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(2,099)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(14,796,725)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(12,912,694)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1,800,378 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7"/>
              </w:rPr>
            </w:pPr>
            <w:r>
              <w:rPr>
                <w:rFonts w:ascii="Times New Roman;serif" w:hAnsi="Times New Roman;serif"/>
                <w:b w:val="false"/>
                <w:color w:val="000000"/>
                <w:sz w:val="17"/>
              </w:rPr>
              <w:t>3,872,812 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7"/>
              </w:rPr>
              <w:t>8,823,038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7"/>
              </w:rPr>
              <w:t>9,647,931</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and treasury stock have been adjusted for the prior period presented to reflect the one-for-ten (1:10) reverse stock split effected on August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LUCID GROUP,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88"/>
        <w:gridCol w:w="1053"/>
        <w:gridCol w:w="1059"/>
        <w:gridCol w:w="109"/>
        <w:gridCol w:w="109"/>
        <w:gridCol w:w="109"/>
        <w:gridCol w:w="211"/>
        <w:gridCol w:w="998"/>
        <w:gridCol w:w="109"/>
        <w:gridCol w:w="109"/>
        <w:gridCol w:w="109"/>
        <w:gridCol w:w="109"/>
        <w:gridCol w:w="237"/>
        <w:gridCol w:w="949"/>
        <w:gridCol w:w="109"/>
        <w:gridCol w:w="109"/>
        <w:gridCol w:w="109"/>
        <w:gridCol w:w="109"/>
        <w:gridCol w:w="211"/>
        <w:gridCol w:w="998"/>
        <w:gridCol w:w="109"/>
        <w:gridCol w:w="109"/>
        <w:gridCol w:w="109"/>
        <w:gridCol w:w="109"/>
        <w:gridCol w:w="211"/>
        <w:gridCol w:w="998"/>
        <w:gridCol w:w="157"/>
      </w:tblGrid>
      <w:tr>
        <w:trPr/>
        <w:tc>
          <w:tcPr>
            <w:tcW w:w="14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(including $34,251 and $45,588 from a related party for the three months ended September 30, 2025 and 2024, and $69,594 and $133,424 for the nine months ended September 30,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336,580 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831,060 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573,359 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670,197 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412,544 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1,665,540 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1,287,695 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896,168 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283,097 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752,129 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657,062 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20,304 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1,278,599 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970,576 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3,268,059 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2,861,229 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(942,019)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(770,538)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(2,436,999)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(2,287,870)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(38,159)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356,800 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(137,250)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155,201 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(including $6,260 and $1,893 to a related party for the three months ended September 30, 2025 and 2024, and $14,872 and $4,596 for the nine months ended September 30,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(22,652)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(6,229)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(221,450)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548,873 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(28,244)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(978,791)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(991,988)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(1,888,126)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(2,316,114)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(978,428)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(992,475)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(1,884,031)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(2,316,724)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(620,869)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(107,924)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Net loss attributable to common stockholders,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(1,034,549)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(2,504,900)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(2,424,648)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on 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Net loss attributable to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(1,034,549)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(949,637)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(2,616,977)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(2,424,648)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9"/>
              </w:rPr>
              <w:t>Weighted-average shares outstanding attributable to common stockholders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312,166,297 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232,397,154 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307,177,163 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231,224,933 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312,166,297 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232,397,154 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307,859,815 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231,224,933 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9"/>
              </w:rPr>
              <w:t>Net loss per share attributable to common stockholders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Net unrealized gains on investments,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8,064 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(979,931)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(975,402)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(1,868,819)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(2,308,660)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(56,121)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(620,869)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(107,924)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Comprehensive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(1,036,052)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(932,564)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(2,489,688)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(2,416,584)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and net loss per share attributable to common stockholders have been adjusted for the prior periods presented to reflect the one-for-ten (1:10) reverse stock split effected on August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LUCID GROUP, INC.</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CASH FLOWS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pPr>
      <w:r>
        <w:rPr>
          <w:rFonts w:ascii="Times New Roman;serif" w:hAnsi="Times New Roman;serif"/>
          <w:b/>
          <w:color w:val="000000"/>
          <w:sz w:val="19"/>
        </w:rPr>
        <w:t>(in thousands</w:t>
      </w:r>
      <w:r>
        <w:rPr>
          <w:rFonts w:ascii="Times New Roman;serif" w:hAnsi="Times New Roman;serif"/>
          <w:b w:val="false"/>
          <w:color w:val="000000"/>
          <w:sz w:val="19"/>
        </w:rPr>
        <w:t>)</w:t>
      </w:r>
    </w:p>
    <w:tbl>
      <w:tblPr>
        <w:tblW w:w="10205" w:type="dxa"/>
        <w:jc w:val="center"/>
        <w:tblInd w:w="0" w:type="dxa"/>
        <w:tblLayout w:type="fixed"/>
        <w:tblCellMar>
          <w:top w:w="28" w:type="dxa"/>
          <w:left w:w="28" w:type="dxa"/>
          <w:bottom w:w="28" w:type="dxa"/>
          <w:right w:w="28" w:type="dxa"/>
        </w:tblCellMar>
      </w:tblPr>
      <w:tblGrid>
        <w:gridCol w:w="1765"/>
        <w:gridCol w:w="1213"/>
        <w:gridCol w:w="1221"/>
        <w:gridCol w:w="211"/>
        <w:gridCol w:w="849"/>
        <w:gridCol w:w="109"/>
        <w:gridCol w:w="109"/>
        <w:gridCol w:w="109"/>
        <w:gridCol w:w="109"/>
        <w:gridCol w:w="211"/>
        <w:gridCol w:w="849"/>
        <w:gridCol w:w="109"/>
        <w:gridCol w:w="109"/>
        <w:gridCol w:w="109"/>
        <w:gridCol w:w="109"/>
        <w:gridCol w:w="211"/>
        <w:gridCol w:w="999"/>
        <w:gridCol w:w="109"/>
        <w:gridCol w:w="109"/>
        <w:gridCol w:w="109"/>
        <w:gridCol w:w="109"/>
        <w:gridCol w:w="211"/>
        <w:gridCol w:w="999"/>
        <w:gridCol w:w="158"/>
      </w:tblGrid>
      <w:tr>
        <w:trPr/>
        <w:tc>
          <w:tcPr>
            <w:tcW w:w="176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(978,428)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(992,475)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(1,884,031)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(2,316,724)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used in operating activities: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204,494 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insurance premium</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25,959 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operating lease cost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22,997 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208,803 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and firm purchase commitments write-downs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190,664 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518,470 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416,098 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(20,845)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38,159 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(356,800)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137,250 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Net accretion of investment discounts/premiums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(59,580)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items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4,766 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Accounts receivable (including $(20,108) and $6,962 from a related party for the three months ended September 30, 2025 and 2024, and $(25,707) and $(35,320) for the nine months ended September 30, 2025 and 2024, respectively)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(26,523)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(46,601)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(446,557)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(1,032,600)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(221,392)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(18,487)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(76,962)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(42,376)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42,564 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138,388 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operating activities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(756,650)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(462,795)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(2,015,504)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(1,486,527)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 (including $(57,543) and $(22,611) from a related party for the three months ended September 30, 2025 and 2024, and $(125,211) and $(56,679) for the nine months ended September 30, 2025 and 2024, respectively)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(198,818)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(159,694)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(542,722)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(592,206)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Purchases of investments (including nil and $(15,000) from a related party for the three months ended September 30, 2025 and 2024, and $(30,000) and $(15,000) for the nine months ended September 30, 2025 and 2024, respectively)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(520,093)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(309,557)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(2,374,220)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maturities of investments (including $15,000 and nil from a related party for the three months ended September 30, 2025 and 2024, respectively, and $15,000 and nil for the nine months ended September 30, 2025 and 2024)</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451,968 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963,506 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3,251,400 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 of investments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Other investing activities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Net cash provided by investing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283,719 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1,563,142 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289,974 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24"/>
        <w:gridCol w:w="1153"/>
        <w:gridCol w:w="1162"/>
        <w:gridCol w:w="212"/>
        <w:gridCol w:w="984"/>
        <w:gridCol w:w="109"/>
        <w:gridCol w:w="109"/>
        <w:gridCol w:w="109"/>
        <w:gridCol w:w="109"/>
        <w:gridCol w:w="212"/>
        <w:gridCol w:w="984"/>
        <w:gridCol w:w="109"/>
        <w:gridCol w:w="109"/>
        <w:gridCol w:w="109"/>
        <w:gridCol w:w="109"/>
        <w:gridCol w:w="212"/>
        <w:gridCol w:w="984"/>
        <w:gridCol w:w="109"/>
        <w:gridCol w:w="109"/>
        <w:gridCol w:w="109"/>
        <w:gridCol w:w="109"/>
        <w:gridCol w:w="212"/>
        <w:gridCol w:w="984"/>
        <w:gridCol w:w="174"/>
      </w:tblGrid>
      <w:tr>
        <w:trPr/>
        <w:tc>
          <w:tcPr>
            <w:tcW w:w="162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LUCID GROUP, INC.</w:t>
            </w:r>
          </w:p>
          <w:p>
            <w:pPr>
              <w:pStyle w:val="TableContents"/>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CONDENSED CONSOLIDATED STATEMENTS OF CASH FLOWS - continued</w:t>
            </w:r>
          </w:p>
          <w:p>
            <w:pPr>
              <w:pStyle w:val="TableContents"/>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ableContents"/>
              <w:bidi w:val="0"/>
              <w:spacing w:lineRule="auto" w:line="300" w:before="0" w:after="2"/>
              <w:jc w:val="center"/>
              <w:rPr>
                <w:rFonts w:ascii="Times New Roman;serif" w:hAnsi="Times New Roman;serif"/>
                <w:b/>
                <w:color w:val="000000"/>
                <w:sz w:val="19"/>
              </w:rPr>
            </w:pPr>
            <w:r>
              <w:rPr>
                <w:rFonts w:ascii="Times New Roman;serif" w:hAnsi="Times New Roman;serif"/>
                <w:b/>
                <w:color w:val="000000"/>
                <w:sz w:val="19"/>
              </w:rPr>
              <w:t>(in thousands)</w:t>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Series A redeemable convertible preferred stock to a related party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issuance of Series B redeemable convertible preferred stock to a related party</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750,000 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issuance costs for Series A redeemable convertible preferred stock</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(2,343)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Payments of issuance costs for Series B redeemable convertible preferred stock</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under 2025 Subscription Agreement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Payment of issuance costs for the 2025 Subscription Agreement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2030 Notes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transaction costs for the issuance of 2030 Notes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capped call options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2026 Notes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(931,433)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borrowings from a related party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borrowings to a related party</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(25,856)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exercise of stock options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stock purchase plan</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11,104 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payments for net settlement of employee awards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Payment for finance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(2,632)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Payment for credit facility issuance costs (including nil and $(5,625) to related parties for the three months ended September 30, 2025 and 2024, and $(507) and $(5,625) for the nine months ended September 30, 2025 and 2024, respectively)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(6,058)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financing activities</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376,052 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719,144 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517,728 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1,718,709 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(125,480)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540,068 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65,366 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522,156 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cash, cash equivalents, and restricted cash</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1,797,898 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1,353,595 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1,607,052 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1,371,507 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Ending cash, cash equivalents, and restricted cash</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1,672,418 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1,893,663 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1,672,418 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1,893,663 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LUCID GROUP, INC. </w:t>
      </w:r>
    </w:p>
    <w:p>
      <w:pPr>
        <w:pStyle w:val="TextBody"/>
        <w:bidi w:val="0"/>
        <w:spacing w:lineRule="auto" w:line="288" w:before="0" w:after="0"/>
        <w:jc w:val="center"/>
        <w:rPr/>
      </w:pPr>
      <w:r>
        <w:rPr>
          <w:rFonts w:ascii="Times New Roman;serif" w:hAnsi="Times New Roman;serif"/>
          <w:b/>
          <w:color w:val="000000"/>
          <w:sz w:val="20"/>
        </w:rPr>
        <w:t>RECONCIL</w:t>
      </w:r>
      <w:r>
        <w:rPr>
          <w:rFonts w:ascii="Times New Roman;serif" w:hAnsi="Times New Roman;serif"/>
          <w:b/>
          <w:color w:val="000000"/>
          <w:sz w:val="19"/>
        </w:rPr>
        <w:t>IATION OF GAAP TO NON-GAAP FINANCIAL MEASURES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data)</w:t>
      </w:r>
    </w:p>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EBITDA</w:t>
      </w:r>
    </w:p>
    <w:tbl>
      <w:tblPr>
        <w:tblW w:w="10205" w:type="dxa"/>
        <w:jc w:val="left"/>
        <w:tblInd w:w="0" w:type="dxa"/>
        <w:tblLayout w:type="fixed"/>
        <w:tblCellMar>
          <w:top w:w="28" w:type="dxa"/>
          <w:left w:w="28" w:type="dxa"/>
          <w:bottom w:w="28" w:type="dxa"/>
          <w:right w:w="28" w:type="dxa"/>
        </w:tblCellMar>
      </w:tblPr>
      <w:tblGrid>
        <w:gridCol w:w="1522"/>
        <w:gridCol w:w="1240"/>
        <w:gridCol w:w="1243"/>
        <w:gridCol w:w="211"/>
        <w:gridCol w:w="1010"/>
        <w:gridCol w:w="109"/>
        <w:gridCol w:w="109"/>
        <w:gridCol w:w="109"/>
        <w:gridCol w:w="109"/>
        <w:gridCol w:w="211"/>
        <w:gridCol w:w="860"/>
        <w:gridCol w:w="109"/>
        <w:gridCol w:w="109"/>
        <w:gridCol w:w="109"/>
        <w:gridCol w:w="109"/>
        <w:gridCol w:w="211"/>
        <w:gridCol w:w="1010"/>
        <w:gridCol w:w="109"/>
        <w:gridCol w:w="109"/>
        <w:gridCol w:w="109"/>
        <w:gridCol w:w="109"/>
        <w:gridCol w:w="211"/>
        <w:gridCol w:w="1010"/>
        <w:gridCol w:w="158"/>
      </w:tblGrid>
      <w:tr>
        <w:trPr/>
        <w:tc>
          <w:tcPr>
            <w:tcW w:w="152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Net loss attributable to common stockholders, basic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(1,034,549)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(2,504,900)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(2,424,648)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22,652 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(34,643)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(50,017)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(155,201)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120,090 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329,137 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204,494 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210,283 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20,304 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(20,845)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38,159 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(356,800)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620,869 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107,924 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(116,360)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(717,703)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(613,050)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(1,913,265)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(1,859,018)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Net Loss Attributable to Common Stockholders</w:t>
      </w:r>
    </w:p>
    <w:tbl>
      <w:tblPr>
        <w:tblW w:w="10205" w:type="dxa"/>
        <w:jc w:val="left"/>
        <w:tblInd w:w="0" w:type="dxa"/>
        <w:tblLayout w:type="fixed"/>
        <w:tblCellMar>
          <w:top w:w="28" w:type="dxa"/>
          <w:left w:w="28" w:type="dxa"/>
          <w:bottom w:w="28" w:type="dxa"/>
          <w:right w:w="28" w:type="dxa"/>
        </w:tblCellMar>
      </w:tblPr>
      <w:tblGrid>
        <w:gridCol w:w="1463"/>
        <w:gridCol w:w="1268"/>
        <w:gridCol w:w="1271"/>
        <w:gridCol w:w="211"/>
        <w:gridCol w:w="1011"/>
        <w:gridCol w:w="109"/>
        <w:gridCol w:w="109"/>
        <w:gridCol w:w="109"/>
        <w:gridCol w:w="109"/>
        <w:gridCol w:w="211"/>
        <w:gridCol w:w="861"/>
        <w:gridCol w:w="109"/>
        <w:gridCol w:w="109"/>
        <w:gridCol w:w="109"/>
        <w:gridCol w:w="109"/>
        <w:gridCol w:w="211"/>
        <w:gridCol w:w="1011"/>
        <w:gridCol w:w="109"/>
        <w:gridCol w:w="109"/>
        <w:gridCol w:w="109"/>
        <w:gridCol w:w="109"/>
        <w:gridCol w:w="211"/>
        <w:gridCol w:w="1011"/>
        <w:gridCol w:w="157"/>
      </w:tblGrid>
      <w:tr>
        <w:trPr/>
        <w:tc>
          <w:tcPr>
            <w:tcW w:w="14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9"/>
              </w:rPr>
            </w:pPr>
            <w:r>
              <w:rPr>
                <w:rFonts w:ascii="Times New Roman;serif" w:hAnsi="Times New Roman;serif"/>
                <w:b/>
                <w:color w:val="000000"/>
                <w:sz w:val="19"/>
              </w:rPr>
              <w:t>Net loss attributable to common stockholders,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(1,034,549)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(2,616,977)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(2,424,648)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210,283 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20,304 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(18,627)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(20,845)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38,159 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240,250 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(356,800)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137,250 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(42,838)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620,869 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107,924 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Adjusted net loss attributable to common stockholders, diluted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(828,358)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(641,471)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(2,164,057)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(1,931,573)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color w:val="000000"/>
          <w:sz w:val="18"/>
          <w:u w:val="single"/>
        </w:rPr>
        <w:t>Adjusted Net Loss Per Share Attributable to Common Stockholders</w:t>
      </w:r>
      <w:r>
        <w:rPr>
          <w:rFonts w:ascii="Times New Roman;serif" w:hAnsi="Times New Roman;serif"/>
          <w:b/>
          <w:color w:val="000000"/>
          <w:sz w:val="12"/>
          <w:u w:val="single"/>
        </w:rPr>
        <w:t>(</w:t>
      </w:r>
      <w:r>
        <w:rPr>
          <w:rFonts w:ascii="Times New Roman;serif" w:hAnsi="Times New Roman;serif"/>
          <w:b/>
          <w:color w:val="000000"/>
          <w:sz w:val="12"/>
        </w:rPr>
        <w:t>1)</w:t>
      </w:r>
    </w:p>
    <w:tbl>
      <w:tblPr>
        <w:tblW w:w="10205" w:type="dxa"/>
        <w:jc w:val="left"/>
        <w:tblInd w:w="0" w:type="dxa"/>
        <w:tblLayout w:type="fixed"/>
        <w:tblCellMar>
          <w:top w:w="28" w:type="dxa"/>
          <w:left w:w="28" w:type="dxa"/>
          <w:bottom w:w="28" w:type="dxa"/>
          <w:right w:w="28" w:type="dxa"/>
        </w:tblCellMar>
      </w:tblPr>
      <w:tblGrid>
        <w:gridCol w:w="1849"/>
        <w:gridCol w:w="1380"/>
        <w:gridCol w:w="1384"/>
        <w:gridCol w:w="284"/>
        <w:gridCol w:w="709"/>
        <w:gridCol w:w="148"/>
        <w:gridCol w:w="109"/>
        <w:gridCol w:w="109"/>
        <w:gridCol w:w="109"/>
        <w:gridCol w:w="284"/>
        <w:gridCol w:w="709"/>
        <w:gridCol w:w="148"/>
        <w:gridCol w:w="109"/>
        <w:gridCol w:w="109"/>
        <w:gridCol w:w="109"/>
        <w:gridCol w:w="284"/>
        <w:gridCol w:w="709"/>
        <w:gridCol w:w="148"/>
        <w:gridCol w:w="109"/>
        <w:gridCol w:w="109"/>
        <w:gridCol w:w="109"/>
        <w:gridCol w:w="251"/>
        <w:gridCol w:w="751"/>
        <w:gridCol w:w="186"/>
      </w:tblGrid>
      <w:tr>
        <w:trPr/>
        <w:tc>
          <w:tcPr>
            <w:tcW w:w="184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Net loss per share attributable to common stockholders, diluted (GAAP)</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(3.31)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(4.09)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(8.50)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(10.49)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0.11 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(1.17)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(0.18)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0.47 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Adjusted net loss per share attributable to common stockholders, diluted (non-GAAP)</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(2.65)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(2.76)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(7.03)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(8.35)</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Weighted-average shares outstanding attributable to common stockholders,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312,166,297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232,397,154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307,859,815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231,224,933</w:t>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net loss per share attributable to common stockholders and adjusted net loss per share attributable to common stockholders have been adjusted for the prior periods presented to reflect the one-for-ten (1:10) reverse stock split effected on August 29, 2025.</w:t>
      </w:r>
    </w:p>
    <w:p>
      <w:pPr>
        <w:pStyle w:val="TextBody"/>
        <w:bidi w:val="0"/>
        <w:spacing w:before="20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LUCID GROUP,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RECONCILIATION OF GAAP TO NON-GAAP FINANCIAL MEASURES - continued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Free Cash Flow</w:t>
      </w:r>
    </w:p>
    <w:tbl>
      <w:tblPr>
        <w:tblW w:w="10050" w:type="dxa"/>
        <w:jc w:val="left"/>
        <w:tblInd w:w="0" w:type="dxa"/>
        <w:tblLayout w:type="fixed"/>
        <w:tblCellMar>
          <w:top w:w="28" w:type="dxa"/>
          <w:left w:w="28" w:type="dxa"/>
          <w:bottom w:w="28" w:type="dxa"/>
          <w:right w:w="28" w:type="dxa"/>
        </w:tblCellMar>
      </w:tblPr>
      <w:tblGrid>
        <w:gridCol w:w="1388"/>
        <w:gridCol w:w="1222"/>
        <w:gridCol w:w="1230"/>
        <w:gridCol w:w="211"/>
        <w:gridCol w:w="901"/>
        <w:gridCol w:w="109"/>
        <w:gridCol w:w="109"/>
        <w:gridCol w:w="109"/>
        <w:gridCol w:w="109"/>
        <w:gridCol w:w="211"/>
        <w:gridCol w:w="901"/>
        <w:gridCol w:w="109"/>
        <w:gridCol w:w="109"/>
        <w:gridCol w:w="109"/>
        <w:gridCol w:w="109"/>
        <w:gridCol w:w="211"/>
        <w:gridCol w:w="1051"/>
        <w:gridCol w:w="109"/>
        <w:gridCol w:w="109"/>
        <w:gridCol w:w="109"/>
        <w:gridCol w:w="109"/>
        <w:gridCol w:w="211"/>
        <w:gridCol w:w="105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(756,650)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(462,795)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(2,015,504)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(1,486,527)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(198,818)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(159,694)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(542,722)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9"/>
              </w:rPr>
            </w:pPr>
            <w:r>
              <w:rPr>
                <w:rFonts w:ascii="Times New Roman;serif" w:hAnsi="Times New Roman;serif"/>
                <w:b w:val="false"/>
                <w:color w:val="000000"/>
                <w:sz w:val="19"/>
              </w:rPr>
              <w:t>(592,206)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(955,468)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(622,489)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(2,558,226)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9"/>
              </w:rPr>
            </w:pPr>
            <w:r>
              <w:rPr>
                <w:rFonts w:ascii="Times New Roman;serif" w:hAnsi="Times New Roman;serif"/>
                <w:b/>
                <w:color w:val="000000"/>
                <w:sz w:val="19"/>
              </w:rPr>
              <w:t>(2,078,733)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7326</Words>
  <Characters>43307</Characters>
  <CharactersWithSpaces>50072</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