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61" w:lineRule="exact"/>
        <w:rPr>
          <w:sz w:val="24"/>
          <w:szCs w:val="24"/>
          <w:color w:val="auto"/>
        </w:rPr>
      </w:pPr>
    </w:p>
    <w:tbl>
      <w:tblPr>
        <w:tblLayout w:type="fixed"/>
        <w:tblInd w:w="880" w:type="dxa"/>
        <w:tblCellMar>
          <w:top w:w="0" w:type="dxa"/>
          <w:left w:w="0" w:type="dxa"/>
          <w:bottom w:w="0" w:type="dxa"/>
          <w:right w:w="0" w:type="dxa"/>
        </w:tblCellMar>
      </w:tblPr>
      <w:tr>
        <w:trPr>
          <w:trHeight w:val="67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under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w:t>
            </w:r>
          </w:p>
        </w:tc>
        <w:tc>
          <w:tcPr>
            <w:tcW w:w="160" w:type="dxa"/>
            <w:vAlign w:val="bottom"/>
          </w:tcPr>
          <w:p>
            <w:pPr>
              <w:spacing w:after="0"/>
              <w:rPr>
                <w:sz w:val="24"/>
                <w:szCs w:val="24"/>
                <w:color w:val="auto"/>
              </w:rPr>
            </w:pPr>
          </w:p>
        </w:tc>
      </w:tr>
      <w:tr>
        <w:trPr>
          <w:trHeight w:val="52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 registration statement relating to these securities has become effective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are not an offer to sell these securities and we are not soliciting an offer to</w:t>
            </w:r>
          </w:p>
        </w:tc>
        <w:tc>
          <w:tcPr>
            <w:tcW w:w="160" w:type="dxa"/>
            <w:vAlign w:val="bottom"/>
          </w:tcPr>
          <w:p>
            <w:pPr>
              <w:spacing w:after="0"/>
              <w:rPr>
                <w:sz w:val="24"/>
                <w:szCs w:val="24"/>
                <w:color w:val="auto"/>
              </w:rPr>
            </w:pPr>
          </w:p>
        </w:tc>
      </w:tr>
      <w:tr>
        <w:trPr>
          <w:trHeight w:val="567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preliminary prospectus supplement is not complete and may be changed.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1933. This preliminary prospectus supplement and the accompanying prospectus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 or other jurisdiction where the offer or sale is not permitted.</w:t>
            </w:r>
          </w:p>
        </w:tc>
      </w:tr>
      <w:tr>
        <w:trPr>
          <w:trHeight w:val="114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Act of</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in any</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16"/>
          <w:szCs w:val="16"/>
          <w:b w:val="1"/>
          <w:bCs w:val="1"/>
          <w:color w:val="auto"/>
        </w:rPr>
        <w:t> Filed Pursuant to Rule 424(b)(5)</w:t>
      </w:r>
    </w:p>
    <w:p>
      <w:pPr>
        <w:spacing w:after="0" w:line="28" w:lineRule="exact"/>
        <w:rPr>
          <w:sz w:val="24"/>
          <w:szCs w:val="24"/>
          <w:color w:val="auto"/>
        </w:rPr>
      </w:pPr>
    </w:p>
    <w:p>
      <w:pPr>
        <w:ind w:left="6340"/>
        <w:spacing w:after="0"/>
        <w:rPr>
          <w:sz w:val="20"/>
          <w:szCs w:val="20"/>
          <w:color w:val="auto"/>
        </w:rPr>
      </w:pPr>
      <w:r>
        <w:rPr>
          <w:rFonts w:ascii="Times New Roman" w:cs="Times New Roman" w:eastAsia="Times New Roman" w:hAnsi="Times New Roman"/>
          <w:sz w:val="15"/>
          <w:szCs w:val="15"/>
          <w:b w:val="1"/>
          <w:bCs w:val="1"/>
          <w:color w:val="auto"/>
        </w:rPr>
        <w:t> Registration No. 333-282677​</w:t>
      </w:r>
    </w:p>
    <w:p>
      <w:pPr>
        <w:spacing w:after="0" w:line="3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FC0014"/>
        </w:rPr>
        <w:t>Subject to completion, dated October 16, 2024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16, 2024)</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262,446,931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842645</wp:posOffset>
            </wp:positionH>
            <wp:positionV relativeFrom="paragraph">
              <wp:posOffset>84455</wp:posOffset>
            </wp:positionV>
            <wp:extent cx="354012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012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1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7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offering 262,446,931 shares of our Class A common stock, par value $0.0001 per share (“common stock”).</w:t>
      </w:r>
    </w:p>
    <w:p>
      <w:pPr>
        <w:spacing w:after="0" w:line="86" w:lineRule="exact"/>
        <w:rPr>
          <w:sz w:val="24"/>
          <w:szCs w:val="24"/>
          <w:color w:val="auto"/>
        </w:rPr>
      </w:pPr>
    </w:p>
    <w:p>
      <w:pPr>
        <w:ind w:right="659" w:firstLine="360"/>
        <w:spacing w:after="0" w:line="280"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(“Nasdaq”) under the symbol “LCID.” On October 16, 2024, the last reported sale price of our common stock was $3.28 per share.</w:t>
      </w:r>
    </w:p>
    <w:p>
      <w:pPr>
        <w:spacing w:after="0" w:line="16" w:lineRule="exact"/>
        <w:rPr>
          <w:sz w:val="24"/>
          <w:szCs w:val="24"/>
          <w:color w:val="auto"/>
        </w:rPr>
      </w:pPr>
    </w:p>
    <w:p>
      <w:pPr>
        <w:ind w:right="99" w:firstLine="360"/>
        <w:spacing w:after="0" w:line="248" w:lineRule="auto"/>
        <w:rPr>
          <w:sz w:val="20"/>
          <w:szCs w:val="20"/>
          <w:color w:val="auto"/>
        </w:rPr>
      </w:pPr>
      <w:r>
        <w:rPr>
          <w:rFonts w:ascii="Times New Roman" w:cs="Times New Roman" w:eastAsia="Times New Roman" w:hAnsi="Times New Roman"/>
          <w:sz w:val="16"/>
          <w:szCs w:val="16"/>
          <w:color w:val="auto"/>
        </w:rPr>
        <w:t>In addition, our majority stockholder and affiliate of the Public Investment Fund (“PIF”), Ayar Third Investment Company (“Ayar”), has indicated that they intend to purchase from us, subject to certain conditions, 374,717,927 shares of our common stock in a private placement concurrently with this offering at the same price per share initially to be paid by BofA Securities, Inc. (the “underwriter”) for this offering as set forth in this prospectus supplement. We refer to this private placement as the “Ayar Investment.” The number of shares that Ayar has indicated that they intend to purchase from us in the Ayar Investment is equal to the number of shares of our common stock that we are selling in this offering, multiplied by a ratio (the “Ayar Investment Ratio”), the numerator of which is approximately 58.8%, which is the number of shares of our outstanding common stock owned by PIF (which does not include any share of common stock issuable upon conversion of our outstanding Series A and Series B Preferred Stock (together, the “Redeemable Convertible Preferred Stock”)), both directly and indirectly through Ayar, as a percentage of the total number of shares of our common stock outstanding as of September 30, 2024, and the denominator of which is approximately 41.2%, rounded down to the nearest whole share. Following the sale in this offering and the sale in the Ayar Investment, PIF, both directly and indirectly through Ayar, is expected to continue to own approximately 58.8% of our outstanding common stock (which does not include any share of common stock issuable upon conversion of our outstanding Redeemable Convertible Preferred Stock). We expect to settle the Ayar Investment on or about             , 2024 for an aggregate purchase price of approximately $            billion, after expenses.</w:t>
      </w:r>
    </w:p>
    <w:p>
      <w:pPr>
        <w:spacing w:after="0" w:line="240" w:lineRule="exact"/>
        <w:rPr>
          <w:sz w:val="24"/>
          <w:szCs w:val="24"/>
          <w:color w:val="auto"/>
        </w:rPr>
      </w:pPr>
    </w:p>
    <w:p>
      <w:pPr>
        <w:ind w:right="139" w:firstLine="360"/>
        <w:spacing w:after="0" w:line="263" w:lineRule="auto"/>
        <w:rPr>
          <w:sz w:val="20"/>
          <w:szCs w:val="20"/>
          <w:color w:val="auto"/>
        </w:rPr>
      </w:pPr>
      <w:r>
        <w:rPr>
          <w:rFonts w:ascii="Times New Roman" w:cs="Times New Roman" w:eastAsia="Times New Roman" w:hAnsi="Times New Roman"/>
          <w:sz w:val="16"/>
          <w:szCs w:val="16"/>
          <w:color w:val="auto"/>
        </w:rPr>
        <w:t>The Ayar Investment is not a part of this offering and is in addition to the 262,446,931 shares that we are selling in this offering. The completion of the Ayar Investment is contingent on the completion of this offering as well as certain other customary closing conditions.</w:t>
      </w:r>
    </w:p>
    <w:p>
      <w:pPr>
        <w:spacing w:after="0" w:line="43" w:lineRule="exact"/>
        <w:rPr>
          <w:sz w:val="24"/>
          <w:szCs w:val="24"/>
          <w:color w:val="auto"/>
        </w:rPr>
      </w:pPr>
    </w:p>
    <w:p>
      <w:pPr>
        <w:ind w:left="360"/>
        <w:spacing w:after="0"/>
        <w:tabs>
          <w:tab w:leader="none" w:pos="7080" w:val="left"/>
        </w:tabs>
        <w:rPr>
          <w:sz w:val="20"/>
          <w:szCs w:val="20"/>
          <w:color w:val="auto"/>
        </w:rPr>
      </w:pPr>
      <w:r>
        <w:rPr>
          <w:rFonts w:ascii="Times New Roman" w:cs="Times New Roman" w:eastAsia="Times New Roman" w:hAnsi="Times New Roman"/>
          <w:sz w:val="16"/>
          <w:szCs w:val="16"/>
          <w:color w:val="auto"/>
        </w:rPr>
        <w:t>The underwriter has agreed to purchase the shares of common stock from us at a price of $</w:t>
      </w:r>
      <w:r>
        <w:rPr>
          <w:sz w:val="20"/>
          <w:szCs w:val="20"/>
          <w:color w:val="auto"/>
        </w:rPr>
        <w:tab/>
      </w:r>
      <w:r>
        <w:rPr>
          <w:rFonts w:ascii="Times New Roman" w:cs="Times New Roman" w:eastAsia="Times New Roman" w:hAnsi="Times New Roman"/>
          <w:sz w:val="16"/>
          <w:szCs w:val="16"/>
          <w:color w:val="auto"/>
        </w:rPr>
        <w:t>per share,</w:t>
      </w:r>
    </w:p>
    <w:p>
      <w:pPr>
        <w:spacing w:after="0" w:line="23" w:lineRule="exact"/>
        <w:rPr>
          <w:sz w:val="24"/>
          <w:szCs w:val="24"/>
          <w:color w:val="auto"/>
        </w:rPr>
      </w:pPr>
    </w:p>
    <w:p>
      <w:pPr>
        <w:spacing w:after="0"/>
        <w:tabs>
          <w:tab w:leader="none" w:pos="2900" w:val="left"/>
        </w:tabs>
        <w:rPr>
          <w:sz w:val="20"/>
          <w:szCs w:val="20"/>
          <w:color w:val="auto"/>
        </w:rPr>
      </w:pPr>
      <w:r>
        <w:rPr>
          <w:rFonts w:ascii="Times New Roman" w:cs="Times New Roman" w:eastAsia="Times New Roman" w:hAnsi="Times New Roman"/>
          <w:sz w:val="16"/>
          <w:szCs w:val="16"/>
          <w:color w:val="auto"/>
        </w:rPr>
        <w:t>which will result in approximately $</w:t>
      </w:r>
      <w:r>
        <w:rPr>
          <w:sz w:val="20"/>
          <w:szCs w:val="20"/>
          <w:color w:val="auto"/>
        </w:rPr>
        <w:tab/>
      </w:r>
      <w:r>
        <w:rPr>
          <w:rFonts w:ascii="Times New Roman" w:cs="Times New Roman" w:eastAsia="Times New Roman" w:hAnsi="Times New Roman"/>
          <w:sz w:val="16"/>
          <w:szCs w:val="16"/>
          <w:color w:val="auto"/>
        </w:rPr>
        <w:t>of net proceeds to us (assuming no exercise by the underwriter of the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overallotment option described below).</w:t>
      </w:r>
    </w:p>
    <w:p>
      <w:pPr>
        <w:spacing w:after="0" w:line="55" w:lineRule="exact"/>
        <w:rPr>
          <w:sz w:val="24"/>
          <w:szCs w:val="24"/>
          <w:color w:val="auto"/>
        </w:rPr>
      </w:pPr>
    </w:p>
    <w:p>
      <w:pPr>
        <w:ind w:right="139" w:firstLine="360"/>
        <w:spacing w:after="0" w:line="253" w:lineRule="auto"/>
        <w:rPr>
          <w:sz w:val="20"/>
          <w:szCs w:val="20"/>
          <w:color w:val="auto"/>
        </w:rPr>
      </w:pPr>
      <w:r>
        <w:rPr>
          <w:rFonts w:ascii="Times New Roman" w:cs="Times New Roman" w:eastAsia="Times New Roman" w:hAnsi="Times New Roman"/>
          <w:sz w:val="16"/>
          <w:szCs w:val="16"/>
          <w:color w:val="auto"/>
        </w:rPr>
        <w:t>The underwriter may offer the shares of common stock from time to time for sale in one or more transactions on the Nasdaq, in the over-the-counter market, through negotiated transactions or otherwise at market prices prevailing at the time of sale, at prices related to prevailing market prices or at negotiated prices. The underwriter may effect such transactions by selling shares of common stock to or through dealers, and such dealers may receive compensation in the form of discounts, concessions or commissions from the underwriter and / or purchasers of shares of common stock for whom they may act as agents or to whom they may sell as principal. See “Underwriting.”</w:t>
      </w:r>
    </w:p>
    <w:p>
      <w:pPr>
        <w:spacing w:after="0" w:line="38" w:lineRule="exact"/>
        <w:rPr>
          <w:sz w:val="24"/>
          <w:szCs w:val="24"/>
          <w:color w:val="auto"/>
        </w:rPr>
      </w:pPr>
    </w:p>
    <w:p>
      <w:pPr>
        <w:ind w:right="119" w:firstLine="360"/>
        <w:spacing w:after="0" w:line="255" w:lineRule="auto"/>
        <w:rPr>
          <w:sz w:val="20"/>
          <w:szCs w:val="20"/>
          <w:color w:val="auto"/>
        </w:rPr>
      </w:pPr>
      <w:r>
        <w:rPr>
          <w:rFonts w:ascii="Times New Roman" w:cs="Times New Roman" w:eastAsia="Times New Roman" w:hAnsi="Times New Roman"/>
          <w:sz w:val="16"/>
          <w:szCs w:val="16"/>
          <w:color w:val="auto"/>
        </w:rPr>
        <w:t>We have granted the underwriter an option to purchase up to 39,367,040 additional shares of our common stock, solely to cover overallotments, for 30 days after the date of this prospectus supplement. Ayar has indicated that they intend to purchase from us in the Ayar Investment, in the event that the underwriter exercises its overallotment option to purchase additional shares of our common stock, additional shares of our common stock, in a number equal to the number of additional shares purchased by the underwriter, multiplied by the Ayar Investment Ratio.</w:t>
      </w:r>
    </w:p>
    <w:p>
      <w:pPr>
        <w:spacing w:after="0" w:line="4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Delivery of the shares of our common stock will be made on or about           , 2024.</w:t>
      </w:r>
    </w:p>
    <w:p>
      <w:pPr>
        <w:spacing w:after="0" w:line="71" w:lineRule="exact"/>
        <w:rPr>
          <w:sz w:val="24"/>
          <w:szCs w:val="24"/>
          <w:color w:val="auto"/>
        </w:rPr>
      </w:pPr>
    </w:p>
    <w:p>
      <w:pPr>
        <w:ind w:right="119" w:firstLine="36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Investing in our common stock involves certain risks. You should review carefully the risks and uncertainties described under the heading “Risk Factors” beginning on page </w:t>
      </w:r>
      <w:r>
        <w:rPr>
          <w:rFonts w:ascii="Times New Roman" w:cs="Times New Roman" w:eastAsia="Times New Roman" w:hAnsi="Times New Roman"/>
          <w:sz w:val="16"/>
          <w:szCs w:val="16"/>
          <w:b w:val="1"/>
          <w:bCs w:val="1"/>
          <w:u w:val="single" w:color="auto"/>
          <w:color w:val="0000EE"/>
        </w:rPr>
        <w:t>S-8</w:t>
      </w:r>
      <w:r>
        <w:rPr>
          <w:rFonts w:ascii="Times New Roman" w:cs="Times New Roman" w:eastAsia="Times New Roman" w:hAnsi="Times New Roman"/>
          <w:sz w:val="16"/>
          <w:szCs w:val="16"/>
          <w:b w:val="1"/>
          <w:bCs w:val="1"/>
          <w:color w:val="auto"/>
        </w:rPr>
        <w:t xml:space="preserve"> of this prospectus supplement and in the documents incorporated by reference into this prospectus supplement.</w:t>
      </w:r>
    </w:p>
    <w:p>
      <w:pPr>
        <w:spacing w:after="0" w:line="27" w:lineRule="exact"/>
        <w:rPr>
          <w:sz w:val="24"/>
          <w:szCs w:val="24"/>
          <w:color w:val="auto"/>
        </w:rPr>
      </w:pPr>
    </w:p>
    <w:p>
      <w:pPr>
        <w:ind w:right="119" w:firstLine="360"/>
        <w:spacing w:after="0" w:line="263" w:lineRule="auto"/>
        <w:rPr>
          <w:sz w:val="20"/>
          <w:szCs w:val="20"/>
          <w:color w:val="auto"/>
        </w:rPr>
      </w:pPr>
      <w:r>
        <w:rPr>
          <w:rFonts w:ascii="Times New Roman" w:cs="Times New Roman" w:eastAsia="Times New Roman" w:hAnsi="Times New Roman"/>
          <w:sz w:val="16"/>
          <w:szCs w:val="16"/>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139065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190500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360" w:space="220"/>
            <w:col w:w="8299"/>
          </w:cols>
          <w:pgMar w:left="580" w:top="205" w:right="1440" w:bottom="1440" w:gutter="0" w:footer="0" w:header="0"/>
          <w:type w:val="continuous"/>
        </w:sectPr>
      </w:pPr>
    </w:p>
    <w:p>
      <w:pPr>
        <w:spacing w:after="0" w:line="23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5"/>
          <w:szCs w:val="15"/>
          <w:color w:val="auto"/>
        </w:rPr>
        <w:t>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 HISTORICAL CONSOLIDATED FINANCIAL DATA</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AYAR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 FEDERAL INCOME TAX CONSIDERATIONS FOR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FREQUENTLY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right="940"/>
        <w:spacing w:after="0" w:line="313" w:lineRule="auto"/>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PURCHASE CONTRACTS AND PURCHASE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6"/>
              </w:rPr>
              <w:t xml:space="preserve">Page </w:t>
            </w:r>
            <w:r>
              <w:rPr>
                <w:rFonts w:ascii="Times New Roman" w:cs="Times New Roman" w:eastAsia="Times New Roman" w:hAnsi="Times New Roman"/>
                <w:sz w:val="28"/>
                <w:szCs w:val="28"/>
                <w:b w:val="1"/>
                <w:bCs w:val="1"/>
                <w:color w:val="auto"/>
                <w:w w:val="86"/>
                <w:vertAlign w:val="subscript"/>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1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line="174" w:lineRule="exact"/>
              <w:rPr>
                <w:sz w:val="20"/>
                <w:szCs w:val="20"/>
                <w:color w:val="auto"/>
              </w:rPr>
            </w:pPr>
            <w:r>
              <w:rPr>
                <w:rFonts w:ascii="Times New Roman" w:cs="Times New Roman" w:eastAsia="Times New Roman" w:hAnsi="Times New Roman"/>
                <w:sz w:val="18"/>
                <w:szCs w:val="18"/>
                <w:color w:val="0000EE"/>
                <w:w w:val="84"/>
              </w:rPr>
              <w:t>S-ii</w:t>
            </w:r>
          </w:p>
        </w:tc>
        <w:tc>
          <w:tcPr>
            <w:tcW w:w="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3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0"/>
              </w:rPr>
              <w:t>S-iii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3"/>
              </w:rPr>
              <w:t>S-iv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7"/>
              </w:rPr>
              <w:t>S-1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7"/>
              </w:rPr>
              <w:t>S-3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7"/>
              </w:rPr>
              <w:t>S-5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7"/>
              </w:rPr>
              <w:t>S-8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S-17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S-26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2"/>
              </w:rPr>
              <w:t>​</w:t>
            </w:r>
            <w:r>
              <w:rPr>
                <w:rFonts w:ascii="Times New Roman" w:cs="Times New Roman" w:eastAsia="Times New Roman" w:hAnsi="Times New Roman"/>
                <w:sz w:val="16"/>
                <w:szCs w:val="16"/>
                <w:color w:val="0000EE"/>
                <w:w w:val="72"/>
              </w:rPr>
              <w:t>S-29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S-29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6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line="174" w:lineRule="exact"/>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ectPr>
          <w:pgSz w:w="11900" w:h="16838" w:orient="portrait"/>
          <w:cols w:equalWidth="0" w:num="2">
            <w:col w:w="8160" w:space="720"/>
            <w:col w:w="9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w:t>
      </w:r>
    </w:p>
    <w:p>
      <w:pPr>
        <w:spacing w:after="0" w:line="116"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You should read both this prospectus supplement and the accompanying prospectus, together with additional information described under the heading “Where You Can Find More Information” in this prospectus supplement and the accompanying prospectus.</w:t>
      </w:r>
    </w:p>
    <w:p>
      <w:pPr>
        <w:spacing w:after="0" w:line="9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Neither we nor the underwriter have authorized anyone to provide you with information that is in addition to or different from the information included or incorporated by reference into this prospectus supplement or the accompanying prospectus. Neither we nor the underwriter are making an offer of these securities in any jurisdiction where such offer is not permitted.</w:t>
      </w:r>
    </w:p>
    <w:p>
      <w:pPr>
        <w:spacing w:after="0" w:line="11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common stock offered by this prospectus supplement. This prospectus supplement and the accompanying prospectus are a part of that registration statement, which includes additional information not contained in this prospectus supplement or the accompanying prospectus.</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9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any offering (other than documents or information deemed to have been furnished and not filed in accordance with SEC rules):</w:t>
      </w:r>
    </w:p>
    <w:p>
      <w:pPr>
        <w:spacing w:after="0" w:line="295" w:lineRule="exact"/>
        <w:rPr>
          <w:sz w:val="20"/>
          <w:szCs w:val="20"/>
          <w:color w:val="auto"/>
        </w:rPr>
      </w:pPr>
    </w:p>
    <w:p>
      <w:pPr>
        <w:ind w:left="1800" w:right="41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our Annual Report on Form 10-K for the fiscal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February 27,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and June 30, 2024, filed with the SEC on </w:t>
      </w:r>
      <w:hyperlink r:id="rId33">
        <w:r>
          <w:rPr>
            <w:rFonts w:ascii="Times New Roman" w:cs="Times New Roman" w:eastAsia="Times New Roman" w:hAnsi="Times New Roman"/>
            <w:sz w:val="18"/>
            <w:szCs w:val="18"/>
            <w:u w:val="single" w:color="auto"/>
            <w:color w:val="0000EE"/>
          </w:rPr>
          <w:t>May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4">
        <w:r>
          <w:rPr>
            <w:rFonts w:ascii="Times New Roman" w:cs="Times New Roman" w:eastAsia="Times New Roman" w:hAnsi="Times New Roman"/>
            <w:sz w:val="18"/>
            <w:szCs w:val="18"/>
            <w:u w:val="single" w:color="auto"/>
            <w:color w:val="0000EE"/>
          </w:rPr>
          <w:t>August 5, 2024</w:t>
        </w:r>
      </w:hyperlink>
      <w:r>
        <w:rPr>
          <w:rFonts w:ascii="Times New Roman" w:cs="Times New Roman" w:eastAsia="Times New Roman" w:hAnsi="Times New Roman"/>
          <w:sz w:val="18"/>
          <w:szCs w:val="18"/>
          <w:color w:val="auto"/>
        </w:rPr>
        <w:t>, respectively;</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1"/>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fiscal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our Definitive Proxy Statement on Schedule 14A filed</w:t>
        </w:r>
      </w:hyperlink>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with the SEC on April 25,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right="719" w:hanging="180"/>
        <w:spacing w:after="0" w:line="263" w:lineRule="auto"/>
        <w:tabs>
          <w:tab w:leader="none" w:pos="18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January 26, 2024</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February 15, 2024</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6,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5.02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24,</w:t>
        </w:r>
      </w:hyperlink>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2.05 therein),</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June 6, 2024</w:t>
        </w:r>
      </w:hyperlink>
      <w:hyperlink r:id="rId3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 xml:space="preserve">August 5, 2024 </w:t>
        </w:r>
      </w:hyperlink>
      <w:hyperlink r:id="rId3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August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291" w:lineRule="exact"/>
        <w:rPr>
          <w:rFonts w:ascii="Times New Roman" w:cs="Times New Roman" w:eastAsia="Times New Roman" w:hAnsi="Times New Roman"/>
          <w:sz w:val="18"/>
          <w:szCs w:val="18"/>
          <w:color w:val="0000EE"/>
        </w:rPr>
      </w:pPr>
    </w:p>
    <w:p>
      <w:pPr>
        <w:ind w:left="1800" w:right="499" w:hanging="180"/>
        <w:spacing w:after="0" w:line="261" w:lineRule="auto"/>
        <w:tabs>
          <w:tab w:leader="none" w:pos="1800" w:val="left"/>
        </w:tabs>
        <w:numPr>
          <w:ilvl w:val="0"/>
          <w:numId w:val="1"/>
        </w:numPr>
        <w:rPr>
          <w:rFonts w:ascii="Times New Roman" w:cs="Times New Roman" w:eastAsia="Times New Roman" w:hAnsi="Times New Roman"/>
          <w:sz w:val="18"/>
          <w:szCs w:val="18"/>
          <w:color w:val="000000"/>
        </w:rPr>
      </w:pPr>
      <w:hyperlink r:id="rId42">
        <w:r>
          <w:rPr>
            <w:rFonts w:ascii="Times New Roman" w:cs="Times New Roman" w:eastAsia="Times New Roman" w:hAnsi="Times New Roman"/>
            <w:sz w:val="18"/>
            <w:szCs w:val="18"/>
            <w:color w:val="auto"/>
          </w:rPr>
          <w:t xml:space="preserve">the description of our securities contained in our Registration Statement on </w:t>
        </w:r>
        <w:r>
          <w:rPr>
            <w:rFonts w:ascii="Times New Roman" w:cs="Times New Roman" w:eastAsia="Times New Roman" w:hAnsi="Times New Roman"/>
            <w:sz w:val="18"/>
            <w:szCs w:val="18"/>
            <w:u w:val="single" w:color="auto"/>
            <w:color w:val="0000EE"/>
          </w:rPr>
          <w:t>Form 8-A (File No. 001-</w:t>
        </w:r>
      </w:hyperlink>
      <w:hyperlink r:id="rId42">
        <w:r>
          <w:rPr>
            <w:rFonts w:ascii="Times New Roman" w:cs="Times New Roman" w:eastAsia="Times New Roman" w:hAnsi="Times New Roman"/>
            <w:sz w:val="18"/>
            <w:szCs w:val="18"/>
            <w:u w:val="single" w:color="auto"/>
            <w:color w:val="0000EE"/>
          </w:rPr>
          <w:t>39408), filed with the SEC on July 23,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amendments or reports filed for the purpose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updating such description, including </w:t>
      </w:r>
      <w:hyperlink r:id="rId43">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of our Annual Report on Form 10-K for the fiscal year ended December 31, 2023, filed with the SEC on February 27, 2024.</w:t>
      </w:r>
    </w:p>
    <w:p>
      <w:pPr>
        <w:spacing w:after="0" w:line="112" w:lineRule="exact"/>
        <w:rPr>
          <w:rFonts w:ascii="Times New Roman" w:cs="Times New Roman" w:eastAsia="Times New Roman" w:hAnsi="Times New Roman"/>
          <w:sz w:val="18"/>
          <w:szCs w:val="18"/>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we are not incorporating by reference any documents, portions of documents, exhibits or other information, including any information and related exhibits under Item 2.02 and Item 7.01 of Current Report on Form 8-K, that are deemed to have been furnished to, rather than filed with, the SEC. 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20" w:lineRule="exact"/>
        <w:rPr>
          <w:rFonts w:ascii="Times New Roman" w:cs="Times New Roman" w:eastAsia="Times New Roman" w:hAnsi="Times New Roman"/>
          <w:sz w:val="18"/>
          <w:szCs w:val="18"/>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SEC maintains a website at www.sec.gov, from which you can inspect these documents and other information we have filed electronically with the SEC. You may also request copies of these documents, at no cost to you, by contacting us by mail: 7373 Gateway Boulevard, Newark, CA 94560, Attention: Investor Relations,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any amendments to those documents. However, we will not send you exhibits to these documents, unless those exhibits have been specifically incorporated by reference into this prospectus supplement. The information contained on, or that may be accessed through, our website is not part of, and is not incorporated into, this prospectus supplement or the registration statement of which it forms a part.</w:t>
      </w: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 looking statements are based on available current market material and our current expectations, beliefs and forecasts concerning future developments. Factors that may impact such forward-looking statements include:</w:t>
      </w:r>
    </w:p>
    <w:p>
      <w:pPr>
        <w:spacing w:after="0" w:line="287" w:lineRule="exact"/>
        <w:rPr>
          <w:sz w:val="20"/>
          <w:szCs w:val="20"/>
          <w:color w:val="auto"/>
        </w:rPr>
      </w:pPr>
    </w:p>
    <w:p>
      <w:pPr>
        <w:jc w:val="both"/>
        <w:ind w:left="1800" w:right="45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overall demand for our products and services and cancellation of orders for our vehicles;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Redeemable Convertible Preferred Stock;</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our projected financial information;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expansion of our manufacturing facility, the construction of new manufacturing facilities and the increase of our production capacity;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 and control costs;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business;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 including our ability to realize the anticipated benefits of our transaction with Aston Martin;</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chief executive officer and executive team;</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expand our brand, and capture additional market share, and the risks associated with negative press or reputational harm;</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utilize zero emission vehicle credits and obtain and utilize certain tax and other incentives;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equity, equity-linked, or debt financing in the future;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principal on our indebtedness;</w:t>
      </w:r>
    </w:p>
    <w:p>
      <w:pPr>
        <w:spacing w:after="0" w:line="117"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pricing, and other expectations;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use of the net proceeds from this offering;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prospectus supplement or our other filings with the SEC.</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and in our Annual Report on Form 10-K incorporated by reference herein and as may be updated in this prospectus supplement and in filings we make with the SEC.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and does not contain all of the information that may be important to you. This summary is qualified in its entirety by the more detailed information included in or incorporated by reference into this prospectus supplement and the accompanying prospectus. Before making your investment decision with respect to our securities, you should carefully read this entire prospectus supplement, the accompanying prospectus and the documents incorporated by reference that are described in “Where You Can Find More Information.”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About Lucid</w:t>
      </w:r>
    </w:p>
    <w:p>
      <w:pPr>
        <w:spacing w:after="0" w:line="162"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We are a technology company with a mission to create exceptional experiences to drive the world forward. Our focus on in-house hardware and software innovation, vertical integration, and a “clean sheet” approach to engineering and design have led to the developments such as the award-winning Lucid Air.</w:t>
      </w:r>
    </w:p>
    <w:p>
      <w:pPr>
        <w:spacing w:after="0" w:line="109"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114"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Preliminary Financial Results and Operational Information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Although our financial results for the quarter ended September 30, 2024 are not yet finalized, we</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estimate that our financial results and certain operational information will fall within the following ranges.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Long-term debt (at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140" w:type="dxa"/>
            <w:vAlign w:val="bottom"/>
          </w:tcPr>
          <w:p>
            <w:pPr>
              <w:spacing w:after="0"/>
              <w:rPr>
                <w:sz w:val="17"/>
                <w:szCs w:val="17"/>
                <w:color w:val="auto"/>
              </w:rPr>
            </w:pP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r>
      <w:tr>
        <w:trPr>
          <w:trHeight w:val="31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199,000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(790,000)​</w:t>
            </w: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1"/>
                <w:szCs w:val="21"/>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​$1,893,000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​$1,894,000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​$2,000,800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​$2,000,800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sectPr>
          <w:pgSz w:w="11900" w:h="16838" w:orient="portrait"/>
          <w:cols w:equalWidth="0" w:num="2">
            <w:col w:w="6440" w:space="720"/>
            <w:col w:w="2719"/>
          </w:cols>
          <w:pgMar w:left="580" w:top="97"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8"/>
          <w:szCs w:val="18"/>
          <w:color w:val="auto"/>
        </w:rPr>
        <w:t>As of September 30, 2024, we had approximately $5.16 billion of total liquidity, consisting of</w:t>
      </w:r>
    </w:p>
    <w:p>
      <w:pPr>
        <w:spacing w:after="0" w:line="16" w:lineRule="exact"/>
        <w:rPr>
          <w:sz w:val="20"/>
          <w:szCs w:val="20"/>
          <w:color w:val="auto"/>
        </w:rPr>
      </w:pPr>
    </w:p>
    <w:p>
      <w:pPr>
        <w:ind w:left="1280" w:right="539" w:hanging="2"/>
        <w:spacing w:after="0" w:line="242" w:lineRule="auto"/>
        <w:tabs>
          <w:tab w:leader="none" w:pos="15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$4,027 million in cash, cash equivalents, and investment balances, (ii) $750 million available under our DDTL Credit Facility (as defined in the section of this prospectus titled “Capitalization”), (iii) approximately $160 million available under our ABL Credit Facility and (iv) approximately $219 million available under our GIB Credit Facility (as defined in the section of this prospectus titled “Capitalization”). Availability under our ABL Credit Facility (as defined in the section of this prospectus titled “Capitalization”) is subject to the value of eligible assets in the borrowing base.</w:t>
      </w:r>
    </w:p>
    <w:p>
      <w:pPr>
        <w:spacing w:after="0" w:line="118" w:lineRule="exact"/>
        <w:rPr>
          <w:sz w:val="20"/>
          <w:szCs w:val="20"/>
          <w:color w:val="auto"/>
        </w:rPr>
      </w:pPr>
    </w:p>
    <w:p>
      <w:pPr>
        <w:ind w:left="128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during the quarter ended September 30, 2024, we produced 1,805 vehicles and delivered 2,781 vehicles, of which approximately 8% were subject to operating lease accounting.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Inclusion of Preliminary Financial and Operational Information</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The preliminary financial results and operational information included in this prospectus supplement has been prepared by, and is the responsibility of, our management. KPMG LLP has not audited, reviewed, examined, compiled nor applied agreed-upon procedures with respect to the preliminary financial results and operational information included in this prospectus supplement and, accordingly, KPMG LLP does not express an opinion or any other form of assurance with respect thereto. The KPMG LLP report referenced in this document relates to our previously issued financial statements. It does not extend to the preliminary financial results and operational information included in this prospectus supplement and should not be read to do so.</w:t>
      </w:r>
    </w:p>
    <w:p>
      <w:pPr>
        <w:spacing w:after="0" w:line="337"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preliminary financial results presented above are subject to the completion of our financial closing procedures, which have not yet been completed. Our actual financial results for the quarter ended September 30, 2024 will not be available until after this offering is completed and may vary from these estimates. For example, during the course of the preparation of the respective financial statements and the related notes, additional items that would require adjustments to be made to the preliminary financial results presented above may be identified. While we do not expect that our actual results for the quarter ended September 30, 2024 will vary materially from the preliminary financial results presented above, there can be no assurance that these estimates will be realized, and estimates are subject to risks and uncertainties, many of which are not within our control. See “Risk Factors” and “Special Note Regarding Forward-Looking Statements.”</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supplement or the accompanying prospectus, and you should not consider it a part of this prospectus supplement or the accompanying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62" w:lineRule="exact"/>
        <w:rPr>
          <w:sz w:val="20"/>
          <w:szCs w:val="20"/>
          <w:color w:val="auto"/>
        </w:rPr>
      </w:pPr>
    </w:p>
    <w:p>
      <w:pPr>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ind w:left="1280" w:right="53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certain terms of this offering. For a more complete description of the terms of the common stock offered hereby, see the “Description of Capital Stock” section of the accompanying prospectus.</w:t>
      </w:r>
    </w:p>
    <w:p>
      <w:pPr>
        <w:spacing w:after="0" w:line="102" w:lineRule="exact"/>
        <w:rPr>
          <w:sz w:val="20"/>
          <w:szCs w:val="20"/>
          <w:color w:val="auto"/>
        </w:rPr>
      </w:pPr>
    </w:p>
    <w:p>
      <w:pPr>
        <w:ind w:left="1280" w:right="479" w:firstLine="36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our common stock involves a high degree of risk. You should carefully consider the information set forth under “Risk Factors” beginning on page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 xml:space="preserve"> of this prospectus supplement and “Risk Factors” in our </w:t>
      </w:r>
      <w:hyperlink r:id="rId34">
        <w:r>
          <w:rPr>
            <w:rFonts w:ascii="Times New Roman" w:cs="Times New Roman" w:eastAsia="Times New Roman" w:hAnsi="Times New Roman"/>
            <w:sz w:val="18"/>
            <w:szCs w:val="18"/>
            <w:u w:val="single" w:color="auto"/>
            <w:color w:val="0000EE"/>
          </w:rPr>
          <w:t>Quarterly Report on Form 10-Q for the three months ended June 30, 2024</w:t>
        </w:r>
      </w:hyperlink>
      <w:r>
        <w:rPr>
          <w:rFonts w:ascii="Times New Roman" w:cs="Times New Roman" w:eastAsia="Times New Roman" w:hAnsi="Times New Roman"/>
          <w:sz w:val="18"/>
          <w:szCs w:val="18"/>
          <w:color w:val="auto"/>
        </w:rPr>
        <w:t>, and the other information included or incorporated by reference into this prospectus supplement and the accompanying prospectus.</w:t>
      </w:r>
    </w:p>
    <w:p>
      <w:pPr>
        <w:spacing w:after="0" w:line="6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Lucid Group, Inc., a Delaware corporation.</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8"/>
          <w:szCs w:val="18"/>
          <w:color w:val="auto"/>
        </w:rPr>
        <w:t>262,446,931 shares of our common stock.</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Option to purchase additional</w:t>
      </w:r>
    </w:p>
    <w:p>
      <w:pPr>
        <w:spacing w:after="0" w:line="31"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color w:val="auto"/>
        </w:rPr>
        <w:t>The underwriter has an option to purchase up to 39,367,040</w:t>
      </w:r>
    </w:p>
    <w:p>
      <w:pPr>
        <w:spacing w:after="0" w:line="9" w:lineRule="exact"/>
        <w:rPr>
          <w:sz w:val="20"/>
          <w:szCs w:val="20"/>
          <w:color w:val="auto"/>
        </w:rPr>
      </w:pPr>
    </w:p>
    <w:p>
      <w:pPr>
        <w:ind w:left="4300" w:right="619"/>
        <w:spacing w:after="0" w:line="253" w:lineRule="auto"/>
        <w:rPr>
          <w:sz w:val="20"/>
          <w:szCs w:val="20"/>
          <w:color w:val="auto"/>
        </w:rPr>
      </w:pPr>
      <w:r>
        <w:rPr>
          <w:rFonts w:ascii="Times New Roman" w:cs="Times New Roman" w:eastAsia="Times New Roman" w:hAnsi="Times New Roman"/>
          <w:sz w:val="18"/>
          <w:szCs w:val="18"/>
          <w:color w:val="auto"/>
        </w:rPr>
        <w:t>additional shares of our common stock, solely to cover overallotments. The underwriter may exercise this overallotment option at any time within 30 days from the date of this prospectus supplement.</w:t>
      </w:r>
    </w:p>
    <w:p>
      <w:pPr>
        <w:spacing w:after="0" w:line="7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Ayar Investment</w:t>
      </w:r>
      <w:r>
        <w:rPr>
          <w:sz w:val="20"/>
          <w:szCs w:val="20"/>
          <w:color w:val="auto"/>
        </w:rPr>
        <w:tab/>
      </w:r>
      <w:r>
        <w:rPr>
          <w:rFonts w:ascii="Times New Roman" w:cs="Times New Roman" w:eastAsia="Times New Roman" w:hAnsi="Times New Roman"/>
          <w:sz w:val="18"/>
          <w:szCs w:val="18"/>
          <w:color w:val="auto"/>
        </w:rPr>
        <w:t>Ayar has indicated that they intend to purchase from us, subject to</w:t>
      </w:r>
    </w:p>
    <w:p>
      <w:pPr>
        <w:spacing w:after="0" w:line="31" w:lineRule="exact"/>
        <w:rPr>
          <w:sz w:val="20"/>
          <w:szCs w:val="20"/>
          <w:color w:val="auto"/>
        </w:rPr>
      </w:pPr>
    </w:p>
    <w:p>
      <w:pPr>
        <w:ind w:left="4300" w:right="399"/>
        <w:spacing w:after="0" w:line="250" w:lineRule="auto"/>
        <w:rPr>
          <w:sz w:val="20"/>
          <w:szCs w:val="20"/>
          <w:color w:val="auto"/>
        </w:rPr>
      </w:pPr>
      <w:r>
        <w:rPr>
          <w:rFonts w:ascii="Times New Roman" w:cs="Times New Roman" w:eastAsia="Times New Roman" w:hAnsi="Times New Roman"/>
          <w:sz w:val="18"/>
          <w:szCs w:val="18"/>
          <w:color w:val="auto"/>
        </w:rPr>
        <w:t>certain conditions, 374,717,927 shares of our common stock in a private placement concurrently with this offering at the same price per share initially to be paid by the underwriter for this offering as set forth in this prospectus supplement. We refer to this private placement as the “Ayar Investment.” The number of shares that Ayar has indicated that they intend to purchase from us in the Ayar Investment is equal to the number of shares of our common stock that we are selling in this offering, multiplied by a ratio, the numerator of which is approximately 58.8%, which is the number of shares of our outstanding common stock owned by PIF (which does not include any share of common stock issuable upon conversion of the outstanding Redeemable Convertible Preferred Stock), both directly and indirectly through Ayar, as a percentage of the total number of shares of our common stock outstanding as of September 30, 2024, and the denominator of which is approximately 41.2%, rounded down to the nearest whole share. Following the sale in this offering and the sale in the Ayar Investment, PIF, both directly and indirectly through Ayar, is expected to continue to own approximately 58.8% of our outstanding common stock (which does not include any share of common stock issuable upon conversion of the outstanding Redeemable Convertible Preferred Stock). We expect to settle the Ayar Investment on or about               , 2024, for an aggregate purchase price of approximately $            billion.</w:t>
      </w:r>
    </w:p>
    <w:p>
      <w:pPr>
        <w:spacing w:after="0" w:line="355" w:lineRule="exact"/>
        <w:rPr>
          <w:sz w:val="20"/>
          <w:szCs w:val="20"/>
          <w:color w:val="auto"/>
        </w:rPr>
      </w:pPr>
    </w:p>
    <w:p>
      <w:pPr>
        <w:ind w:left="4300" w:right="519"/>
        <w:spacing w:after="0" w:line="253" w:lineRule="auto"/>
        <w:rPr>
          <w:sz w:val="20"/>
          <w:szCs w:val="20"/>
          <w:color w:val="auto"/>
        </w:rPr>
      </w:pPr>
      <w:r>
        <w:rPr>
          <w:rFonts w:ascii="Times New Roman" w:cs="Times New Roman" w:eastAsia="Times New Roman" w:hAnsi="Times New Roman"/>
          <w:sz w:val="18"/>
          <w:szCs w:val="18"/>
          <w:color w:val="auto"/>
        </w:rPr>
        <w:t>The Ayar Investment is not a part of this offering and is in addition to the 262,446,931 shares that we are selling in this offering. The</w:t>
      </w:r>
    </w:p>
    <w:p>
      <w:pPr>
        <w:ind w:left="4300" w:right="539"/>
        <w:spacing w:after="0"/>
        <w:rPr>
          <w:sz w:val="20"/>
          <w:szCs w:val="20"/>
          <w:color w:val="auto"/>
        </w:rPr>
      </w:pPr>
      <w:r>
        <w:rPr>
          <w:rFonts w:ascii="Times New Roman" w:cs="Times New Roman" w:eastAsia="Times New Roman" w:hAnsi="Times New Roman"/>
          <w:sz w:val="18"/>
          <w:szCs w:val="18"/>
          <w:color w:val="auto"/>
        </w:rPr>
        <w:t>completion of the Ayar Investment is contingent on the completion of this offering as well as certain other customary closing conditions.</w:t>
      </w:r>
    </w:p>
    <w:p>
      <w:pPr>
        <w:spacing w:after="0" w:line="3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Ayar has indicated that they intend to purchase from us in the Ayar</w:t>
      </w:r>
    </w:p>
    <w:p>
      <w:pPr>
        <w:spacing w:after="0" w:line="27" w:lineRule="exact"/>
        <w:rPr>
          <w:sz w:val="20"/>
          <w:szCs w:val="20"/>
          <w:color w:val="auto"/>
        </w:rPr>
      </w:pPr>
    </w:p>
    <w:p>
      <w:pPr>
        <w:ind w:left="4300" w:right="559"/>
        <w:spacing w:after="0"/>
        <w:rPr>
          <w:sz w:val="20"/>
          <w:szCs w:val="20"/>
          <w:color w:val="auto"/>
        </w:rPr>
      </w:pPr>
      <w:r>
        <w:rPr>
          <w:rFonts w:ascii="Times New Roman" w:cs="Times New Roman" w:eastAsia="Times New Roman" w:hAnsi="Times New Roman"/>
          <w:sz w:val="18"/>
          <w:szCs w:val="18"/>
          <w:color w:val="auto"/>
        </w:rPr>
        <w:t>Investment, in the event that the underwriter exercises its overallotment option to purchase additional shares of our common stock, additional shares of our common stock, in a number equal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05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46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Common stock to be outstanding after this offering and the Ayar Investment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460" w:right="30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Nasdaq Global Select Market ticker symbol for common stock</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719"/>
        <w:spacing w:after="0" w:line="282" w:lineRule="auto"/>
        <w:rPr>
          <w:sz w:val="20"/>
          <w:szCs w:val="20"/>
          <w:color w:val="auto"/>
        </w:rPr>
      </w:pPr>
      <w:r>
        <w:rPr>
          <w:rFonts w:ascii="Times New Roman" w:cs="Times New Roman" w:eastAsia="Times New Roman" w:hAnsi="Times New Roman"/>
          <w:sz w:val="18"/>
          <w:szCs w:val="18"/>
          <w:color w:val="auto"/>
        </w:rPr>
        <w:t>to the number of additional shares purchased by the underwriter, multiplied by the Ayar Investment Ratio.</w:t>
      </w:r>
    </w:p>
    <w:p>
      <w:pPr>
        <w:spacing w:after="0" w:line="67" w:lineRule="exact"/>
        <w:rPr>
          <w:sz w:val="20"/>
          <w:szCs w:val="20"/>
          <w:color w:val="auto"/>
        </w:rPr>
      </w:pPr>
    </w:p>
    <w:p>
      <w:pPr>
        <w:ind w:right="419"/>
        <w:spacing w:after="0" w:line="246" w:lineRule="auto"/>
        <w:rPr>
          <w:sz w:val="20"/>
          <w:szCs w:val="20"/>
          <w:color w:val="auto"/>
        </w:rPr>
      </w:pPr>
      <w:r>
        <w:rPr>
          <w:rFonts w:ascii="Times New Roman" w:cs="Times New Roman" w:eastAsia="Times New Roman" w:hAnsi="Times New Roman"/>
          <w:sz w:val="18"/>
          <w:szCs w:val="18"/>
          <w:color w:val="auto"/>
        </w:rPr>
        <w:t>The shares of our common stock purchased by Ayar in the Ayar Investment will be subject to our existing investor rights agreement, as such agreement may be amended from time to time (the “Investor Rights Agreement”), including the requirement to include such shares on a resale registration statement to be filed by us.</w:t>
      </w:r>
    </w:p>
    <w:p>
      <w:pPr>
        <w:spacing w:after="0" w:line="200" w:lineRule="exact"/>
        <w:rPr>
          <w:sz w:val="20"/>
          <w:szCs w:val="20"/>
          <w:color w:val="auto"/>
        </w:rPr>
      </w:pPr>
    </w:p>
    <w:p>
      <w:pPr>
        <w:spacing w:after="0" w:line="305"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2,974,683,400 shares of our common stock (or 3,070,258,129 shares if the underwriter exercises its overallotment option to purchase additional shares in full and Ayar purchases its pro rata additional shares as described in this prospectus supplement).</w:t>
      </w:r>
    </w:p>
    <w:p>
      <w:pPr>
        <w:spacing w:after="0" w:line="72" w:lineRule="exact"/>
        <w:rPr>
          <w:sz w:val="20"/>
          <w:szCs w:val="20"/>
          <w:color w:val="auto"/>
        </w:rPr>
      </w:pPr>
    </w:p>
    <w:p>
      <w:pPr>
        <w:ind w:right="419"/>
        <w:spacing w:after="0" w:line="259" w:lineRule="auto"/>
        <w:rPr>
          <w:sz w:val="20"/>
          <w:szCs w:val="20"/>
          <w:color w:val="auto"/>
        </w:rPr>
      </w:pPr>
      <w:r>
        <w:rPr>
          <w:rFonts w:ascii="Times New Roman" w:cs="Times New Roman" w:eastAsia="Times New Roman" w:hAnsi="Times New Roman"/>
          <w:sz w:val="18"/>
          <w:szCs w:val="18"/>
          <w:color w:val="auto"/>
        </w:rPr>
        <w:t xml:space="preserve">We intend to use the net proceeds from the sale of our common stock in this offering and the Ayar Investment for general corporate purposes, which may include, among other things, capital expenditures and working capital. See “Use of Proceeds” on page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“LCID.”</w:t>
      </w:r>
    </w:p>
    <w:p>
      <w:pPr>
        <w:spacing w:after="0" w:line="117" w:lineRule="exact"/>
        <w:rPr>
          <w:sz w:val="20"/>
          <w:szCs w:val="20"/>
          <w:color w:val="auto"/>
        </w:rPr>
      </w:pPr>
    </w:p>
    <w:p>
      <w:pPr>
        <w:ind w:right="419"/>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Investing in our common stock involves risk. See “Risk Factors” in </w:t>
      </w:r>
      <w:hyperlink r:id="rId34">
        <w:r>
          <w:rPr>
            <w:rFonts w:ascii="Times New Roman" w:cs="Times New Roman" w:eastAsia="Times New Roman" w:hAnsi="Times New Roman"/>
            <w:sz w:val="18"/>
            <w:szCs w:val="18"/>
            <w:color w:val="auto"/>
          </w:rPr>
          <w:t xml:space="preserve">this prospectus supplement and “Risk Factors” in our </w:t>
        </w:r>
        <w:r>
          <w:rPr>
            <w:rFonts w:ascii="Times New Roman" w:cs="Times New Roman" w:eastAsia="Times New Roman" w:hAnsi="Times New Roman"/>
            <w:sz w:val="18"/>
            <w:szCs w:val="18"/>
            <w:u w:val="single" w:color="auto"/>
            <w:color w:val="0000EE"/>
          </w:rPr>
          <w:t>Quarterly</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Report on Form 10-Q for the three months ended June 30,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other information included or incorporated by reference into this prospectus supplement and the accompanying prospectus for a discussion of factors you should carefully consider before deciding to invest in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w:t>
      </w:r>
    </w:p>
    <w:p>
      <w:pPr>
        <w:spacing w:after="0" w:line="144" w:lineRule="exact"/>
        <w:rPr>
          <w:sz w:val="20"/>
          <w:szCs w:val="20"/>
          <w:color w:val="auto"/>
        </w:rPr>
      </w:pPr>
    </w:p>
    <w:p>
      <w:pPr>
        <w:sectPr>
          <w:pgSz w:w="11900" w:h="16838" w:orient="portrait"/>
          <w:cols w:equalWidth="0" w:num="2">
            <w:col w:w="3740" w:space="560"/>
            <w:col w:w="5579"/>
          </w:cols>
          <w:pgMar w:left="580" w:top="97" w:right="1440" w:bottom="1440" w:gutter="0" w:footer="0" w:header="0"/>
          <w:type w:val="continuous"/>
        </w:sect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September 30, 2024, does not give effect to any awards of stock options or restricted stock units (“RSUs”) after September 30, 2024 or the exercise of warrants or stock options or the settlement of RSUs after September 30, 2024, and excludes:</w:t>
      </w:r>
    </w:p>
    <w:p>
      <w:pPr>
        <w:spacing w:after="0" w:line="58" w:lineRule="exact"/>
        <w:rPr>
          <w:sz w:val="20"/>
          <w:szCs w:val="20"/>
          <w:color w:val="auto"/>
        </w:rPr>
      </w:pPr>
    </w:p>
    <w:p>
      <w:pPr>
        <w:ind w:left="1820" w:right="77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44,350,000 shares of our common stock issuable upon the exercise of warrants outstanding as of September 30, 2024, each with an exercise price of $11.50 per share;</w:t>
      </w:r>
    </w:p>
    <w:p>
      <w:pPr>
        <w:spacing w:after="0" w:line="40"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28,845,241 shares of our common stock issuable upon the exercise of stock options outstanding as of September 30, 2024, with a weighted average exercise price of $1.86 per share;</w:t>
      </w:r>
    </w:p>
    <w:p>
      <w:pPr>
        <w:spacing w:after="0" w:line="26"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116,174,433 shares subject to RSUs outstanding as of September 30, 2024;</w:t>
      </w:r>
    </w:p>
    <w:p>
      <w:pPr>
        <w:spacing w:after="0" w:line="103" w:lineRule="exact"/>
        <w:rPr>
          <w:rFonts w:ascii="Times New Roman" w:cs="Times New Roman" w:eastAsia="Times New Roman" w:hAnsi="Times New Roman"/>
          <w:sz w:val="18"/>
          <w:szCs w:val="18"/>
          <w:color w:val="auto"/>
        </w:rPr>
      </w:pPr>
    </w:p>
    <w:p>
      <w:pPr>
        <w:ind w:left="1820" w:right="55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51,144,960 shares of our common stock reserved for future issuance under the Lucid Group, Inc. Amended and Restated 2021 Stock Incentive Plan (including the Lucid Group, Inc. 2021 Employee Stock Purchase Plan, attached thereto, the “Incentive Plan”) as of September 30, 2024;</w:t>
      </w:r>
    </w:p>
    <w:p>
      <w:pPr>
        <w:spacing w:after="0" w:line="54"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36,737,785 shares of our common stock issuable upon the conversion of our 1.25% Convertible Senior Notes due 2026 (the “2026 Convertible Notes”);</w:t>
      </w:r>
    </w:p>
    <w:p>
      <w:pPr>
        <w:spacing w:after="0" w:line="26"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291,019,450 shares of our common stock issuable upon the conversion of our Series A Convertible Preferred Stock; and</w:t>
      </w:r>
    </w:p>
    <w:p>
      <w:pPr>
        <w:spacing w:after="0" w:line="40"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173,206,009 shares of our common stock issuable upon the conversion of our Series B Convertible Preferred Stock.</w:t>
      </w:r>
    </w:p>
    <w:p>
      <w:pPr>
        <w:spacing w:after="0" w:line="94" w:lineRule="exact"/>
        <w:rPr>
          <w:sz w:val="20"/>
          <w:szCs w:val="20"/>
          <w:color w:val="auto"/>
        </w:rPr>
      </w:pPr>
    </w:p>
    <w:p>
      <w:pPr>
        <w:ind w:left="1280" w:right="67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by the underwriter of its overallotment option to purchase additional shares.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DATA</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The summary historical consolidated statements of operations data of Lucid for the years ended December 31, 2023, 2022 and 2021 and the summary historical consolidated balance sheets data as of December 31, 2023 and 2022 are derived from Lucid’s audited consolidated financial statements incorporated by reference into this prospectus supplement. The summary historical condensed consolidated statements of operations data of Lucid for the six months ended June 30, 2024 and 2023 and the summary historical condensed consolidated balance sheet data as of June 30, 2024 are derived from Lucid’s unaudited interim condensed consolidated financial statements incorporated by reference into this prospectus supplement. The unaudited interim condensed consolidated financial data set forth below have been prepared on the same basis as our audited annual consolidated financial statements and, in the opinion of Lucid’s management, reflect all adjustments, consisting only of normal recurring adjustments, that are necessary for the fair statement of such data.</w:t>
      </w:r>
    </w:p>
    <w:p>
      <w:pPr>
        <w:spacing w:after="0" w:line="343"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Lucid’s historical results are not necessarily indicative of the results that may be expected for any other period in the future and Lucid’s results for the six months ended June 30, 2024 are not necessarily indicative of the results that may be expected for the full year ending December 31, 2024 or any other period. The following data should be read together with, and is qualified in its entirety by reference to, “Risk Factors,” “Capitalization,” “Management’s Discussion and Analysis of Financial Condition and Results of Operations” and the historical consolidated financial statements and the accompanying notes included, as applicable, in this prospectus supplement and our reports filed with the SEC incorporated by reference into this prospectus supplement. Among other things, the historical consolidated financial statements include more detailed information regarding the basis of presentation for the information in the following data.</w:t>
      </w:r>
    </w:p>
    <w:p>
      <w:pPr>
        <w:spacing w:after="0" w:line="15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Fiscal Years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9"/>
                <w:szCs w:val="19"/>
                <w:color w:val="auto"/>
              </w:rPr>
            </w:pP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gridSpan w:val="1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numbers)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43"/>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r>
              <w:rPr>
                <w:rFonts w:ascii="Times New Roman" w:cs="Times New Roman" w:eastAsia="Times New Roman" w:hAnsi="Times New Roman"/>
                <w:sz w:val="19"/>
                <w:szCs w:val="19"/>
                <w:b w:val="1"/>
                <w:bCs w:val="1"/>
                <w:color w:val="auto"/>
                <w:vertAlign w:val="superscript"/>
              </w:rPr>
              <w:t>(1)</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373,321​​​​$</w:t>
            </w:r>
          </w:p>
        </w:tc>
        <w:tc>
          <w:tcPr>
            <w:tcW w:w="200" w:type="dxa"/>
            <w:vAlign w:val="bottom"/>
          </w:tcPr>
          <w:p>
            <w:pPr>
              <w:spacing w:after="0"/>
              <w:rPr>
                <w:sz w:val="21"/>
                <w:szCs w:val="21"/>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300,306​​​​$</w:t>
            </w:r>
          </w:p>
        </w:tc>
        <w:tc>
          <w:tcPr>
            <w:tcW w:w="1100" w:type="dxa"/>
            <w:vAlign w:val="bottom"/>
            <w:gridSpan w:val="4"/>
          </w:tcPr>
          <w:p>
            <w:pPr>
              <w:jc w:val="right"/>
              <w:ind w:right="28"/>
              <w:spacing w:after="0"/>
              <w:rPr>
                <w:sz w:val="20"/>
                <w:szCs w:val="20"/>
                <w:color w:val="auto"/>
              </w:rPr>
            </w:pPr>
            <w:r>
              <w:rPr>
                <w:rFonts w:ascii="Times New Roman" w:cs="Times New Roman" w:eastAsia="Times New Roman" w:hAnsi="Times New Roman"/>
                <w:sz w:val="16"/>
                <w:szCs w:val="16"/>
                <w:color w:val="auto"/>
              </w:rPr>
              <w:t>595,271​​​​$</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608,181​​​​$</w:t>
            </w:r>
          </w:p>
        </w:tc>
        <w:tc>
          <w:tcPr>
            <w:tcW w:w="12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27,111​​</w:t>
            </w: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875,151​​​​ ​</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1,056,329​​​​ ​</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1,936,066​​​​ ​</w:t>
            </w:r>
          </w:p>
        </w:tc>
        <w:tc>
          <w:tcPr>
            <w:tcW w:w="11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1,646,086​​​​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154,897​​</w:t>
            </w:r>
          </w:p>
        </w:tc>
        <w:tc>
          <w:tcPr>
            <w:tcW w:w="2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571,797​​​​ ​</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463,277​​​​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937,012​​​​ ​</w:t>
            </w:r>
          </w:p>
        </w:tc>
        <w:tc>
          <w:tcPr>
            <w:tcW w:w="11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color w:val="auto"/>
              </w:rPr>
              <w:t>821,512​​​​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750,185​​</w:t>
            </w:r>
          </w:p>
        </w:tc>
      </w:tr>
      <w:tr>
        <w:trPr>
          <w:trHeight w:val="20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administrative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423,477​​​​ ​</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366,518​​​​ ​</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797,235​​​​ ​</w:t>
            </w:r>
          </w:p>
        </w:tc>
        <w:tc>
          <w:tcPr>
            <w:tcW w:w="11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734,574​​​​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652,475​​</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20,228​​​​ ​</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24,028​​​​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24,546​​​​ ​</w:t>
            </w:r>
          </w:p>
        </w:tc>
        <w:tc>
          <w:tcPr>
            <w:tcW w:w="520" w:type="dxa"/>
            <w:vAlign w:val="bottom"/>
          </w:tcPr>
          <w:p>
            <w:pPr>
              <w:spacing w:after="0"/>
              <w:rPr>
                <w:sz w:val="19"/>
                <w:szCs w:val="19"/>
                <w:color w:val="auto"/>
              </w:rPr>
            </w:pPr>
          </w:p>
        </w:tc>
        <w:tc>
          <w:tcPr>
            <w:tcW w:w="600" w:type="dxa"/>
            <w:vAlign w:val="bottom"/>
            <w:gridSpan w:val="4"/>
          </w:tcPr>
          <w:p>
            <w:pPr>
              <w:jc w:val="right"/>
              <w:ind w:right="4"/>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cost and expenses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1,890,653​​​​ ​</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1,910,152​​​​ ​</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3,694,859​​​​ ​</w:t>
            </w:r>
          </w:p>
        </w:tc>
        <w:tc>
          <w:tcPr>
            <w:tcW w:w="11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3,202,172​​​​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1,557,557​​</w:t>
            </w:r>
          </w:p>
        </w:tc>
        <w:tc>
          <w:tcPr>
            <w:tcW w:w="2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(1,517,332​​​​)</w:t>
            </w:r>
          </w:p>
        </w:tc>
        <w:tc>
          <w:tcPr>
            <w:tcW w:w="120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  (1,609,846​​​​)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(3,099,588​​​​) ​</w:t>
            </w:r>
          </w:p>
        </w:tc>
        <w:tc>
          <w:tcPr>
            <w:tcW w:w="11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color w:val="auto"/>
              </w:rPr>
              <w:t>(2,593,991​​​​)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(1,530,446​​)</w:t>
            </w: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 ​</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r>
      <w:tr>
        <w:trPr>
          <w:trHeight w:val="202"/>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spacing w:after="0"/>
              <w:rPr>
                <w:sz w:val="18"/>
                <w:szCs w:val="18"/>
                <w:color w:val="auto"/>
              </w:rPr>
            </w:pPr>
          </w:p>
        </w:tc>
        <w:tc>
          <w:tcPr>
            <w:tcW w:w="600" w:type="dxa"/>
            <w:vAlign w:val="bottom"/>
            <w:gridSpan w:val="4"/>
          </w:tcPr>
          <w:p>
            <w:pPr>
              <w:jc w:val="right"/>
              <w:ind w:right="4"/>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(454,546​​)</w:t>
            </w:r>
          </w:p>
        </w:tc>
      </w:tr>
      <w:tr>
        <w:trPr>
          <w:trHeight w:val="20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convertible</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 warrant liability</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0" w:type="dxa"/>
            <w:vAlign w:val="bottom"/>
          </w:tcPr>
          <w:p>
            <w:pPr>
              <w:spacing w:after="0"/>
              <w:rPr>
                <w:sz w:val="18"/>
                <w:szCs w:val="18"/>
                <w:color w:val="auto"/>
              </w:rPr>
            </w:pPr>
          </w:p>
        </w:tc>
      </w:tr>
      <w:tr>
        <w:trPr>
          <w:trHeight w:val="202"/>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common stock</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liability</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34,593​​​​</w:t>
            </w:r>
          </w:p>
        </w:tc>
        <w:tc>
          <w:tcPr>
            <w:tcW w:w="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1,331​​​​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86,926​​​​ ​</w:t>
            </w:r>
          </w:p>
        </w:tc>
        <w:tc>
          <w:tcPr>
            <w:tcW w:w="11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color w:val="auto"/>
              </w:rPr>
              <w:t>1,254,218​​​​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(582,760​​)</w:t>
            </w:r>
          </w:p>
        </w:tc>
      </w:tr>
      <w:tr>
        <w:trPr>
          <w:trHeight w:val="20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equity</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securities of a related party</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(29,323​​​​)</w:t>
            </w: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 ​</w:t>
            </w:r>
          </w:p>
        </w:tc>
        <w:tc>
          <w:tcPr>
            <w:tcW w:w="5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02"/>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derivative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liability associated with Series A</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redeemable convertible preferred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(related party)</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103,000​​​​ ​</w:t>
            </w:r>
          </w:p>
        </w:tc>
        <w:tc>
          <w:tcPr>
            <w:tcW w:w="34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spacing w:after="0"/>
              <w:rPr>
                <w:sz w:val="17"/>
                <w:szCs w:val="17"/>
                <w:color w:val="auto"/>
              </w:rPr>
            </w:pPr>
          </w:p>
        </w:tc>
        <w:tc>
          <w:tcPr>
            <w:tcW w:w="600" w:type="dxa"/>
            <w:vAlign w:val="bottom"/>
            <w:gridSpan w:val="4"/>
          </w:tcPr>
          <w:p>
            <w:pPr>
              <w:jc w:val="right"/>
              <w:ind w:right="4"/>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costs expensed</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2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105,184​​​​ ​</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79,530​​​​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204,274​​​​ ​</w:t>
            </w:r>
          </w:p>
        </w:tc>
        <w:tc>
          <w:tcPr>
            <w:tcW w:w="11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color w:val="auto"/>
              </w:rPr>
              <w:t>56,756​​​​ ​</w:t>
            </w:r>
          </w:p>
        </w:tc>
        <w:tc>
          <w:tcPr>
            <w:tcW w:w="4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(14,174​​​​) ​</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(13,798​​​​) ​</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(24,915​​​​) ​</w:t>
            </w:r>
          </w:p>
        </w:tc>
        <w:tc>
          <w:tcPr>
            <w:tcW w:w="11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(30,596​​​​)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0" w:type="dxa"/>
            <w:vAlign w:val="bottom"/>
          </w:tcPr>
          <w:p>
            <w:pPr>
              <w:spacing w:after="0"/>
              <w:rPr>
                <w:sz w:val="19"/>
                <w:szCs w:val="19"/>
                <w:color w:val="auto"/>
              </w:rPr>
            </w:pPr>
          </w:p>
        </w:tc>
      </w:tr>
      <w:tr>
        <w:trPr>
          <w:trHeight w:val="237"/>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(6,074​​​​) ​</w:t>
            </w:r>
          </w:p>
        </w:tc>
        <w:tc>
          <w:tcPr>
            <w:tcW w:w="34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(261​​​​) ​</w:t>
            </w:r>
          </w:p>
        </w:tc>
        <w:tc>
          <w:tcPr>
            <w:tcW w:w="5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1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color w:val="auto"/>
              </w:rPr>
              <w:t>9,532​​​​ ​</w:t>
            </w:r>
          </w:p>
        </w:tc>
        <w:tc>
          <w:tcPr>
            <w:tcW w:w="4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(893​​)</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c>
          <w:tcPr>
            <w:tcW w:w="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8"/>
                <w:szCs w:val="18"/>
                <w:color w:val="auto"/>
              </w:rPr>
            </w:pPr>
          </w:p>
        </w:tc>
        <w:tc>
          <w:tcPr>
            <w:tcW w:w="356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numbers)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193,206​​​​ ​</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66,802​​​​ ​</w:t>
            </w:r>
          </w:p>
        </w:tc>
        <w:tc>
          <w:tcPr>
            <w:tcW w:w="112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272,194​​​​ ​</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1,289,910​​​​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(1,049,266​​)</w:t>
            </w:r>
          </w:p>
        </w:tc>
        <w:tc>
          <w:tcPr>
            <w:tcW w:w="80" w:type="dxa"/>
            <w:vAlign w:val="bottom"/>
            <w:tcBorders>
              <w:left w:val="single" w:sz="8" w:color="CCEEFF"/>
            </w:tcBorders>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provision for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(1,324,126​​​​) ​</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(1,543,044​​​​) ​</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(2,827,394​​​​) ​</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(1,304,081​​​​)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(2,579,712​​)</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03"/>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123​​​​ ​</w:t>
            </w:r>
          </w:p>
        </w:tc>
        <w:tc>
          <w:tcPr>
            <w:tcW w:w="4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716​​​​ ​</w:t>
            </w:r>
          </w:p>
        </w:tc>
        <w:tc>
          <w:tcPr>
            <w:tcW w:w="4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1,026​​​​ ​</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379​​​​ ​</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49​​</w:t>
            </w:r>
          </w:p>
        </w:tc>
        <w:tc>
          <w:tcPr>
            <w:tcW w:w="80" w:type="dxa"/>
            <w:vAlign w:val="bottom"/>
            <w:tcBorders>
              <w:left w:val="single" w:sz="8" w:color="CCEEFF"/>
            </w:tcBorders>
          </w:tcPr>
          <w:p>
            <w:pPr>
              <w:spacing w:after="0"/>
              <w:rPr>
                <w:sz w:val="17"/>
                <w:szCs w:val="17"/>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(1,324,249​​​​) ​</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(1,543,760​​​​) ​</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(2,828,420​​​​) ​</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(1,304,460​​​​)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(2,579,761​​)</w:t>
            </w:r>
          </w:p>
        </w:tc>
        <w:tc>
          <w:tcPr>
            <w:tcW w:w="8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Deemed dividend related to the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189"/>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of Series E convertible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left w:val="single" w:sz="8" w:color="CCEEFF"/>
            </w:tcBorders>
          </w:tcPr>
          <w:p>
            <w:pPr>
              <w:spacing w:after="0"/>
              <w:rPr>
                <w:sz w:val="16"/>
                <w:szCs w:val="16"/>
                <w:color w:val="auto"/>
              </w:rPr>
            </w:pPr>
          </w:p>
        </w:tc>
      </w:tr>
      <w:tr>
        <w:trPr>
          <w:trHeight w:val="203"/>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(2,167,332​​)</w:t>
            </w:r>
          </w:p>
        </w:tc>
        <w:tc>
          <w:tcPr>
            <w:tcW w:w="80" w:type="dxa"/>
            <w:vAlign w:val="bottom"/>
            <w:tcBorders>
              <w:left w:val="single" w:sz="8" w:color="CCEEFF"/>
            </w:tcBorders>
          </w:tcPr>
          <w:p>
            <w:pPr>
              <w:spacing w:after="0"/>
              <w:rPr>
                <w:sz w:val="17"/>
                <w:szCs w:val="17"/>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Series A redeemable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(150,762​​​​) ​</w:t>
            </w:r>
          </w:p>
        </w:tc>
        <w:tc>
          <w:tcPr>
            <w:tcW w:w="4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7"/>
                <w:szCs w:val="17"/>
                <w:color w:val="auto"/>
              </w:rPr>
            </w:pP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spacing w:after="0"/>
              <w:rPr>
                <w:sz w:val="17"/>
                <w:szCs w:val="17"/>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common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0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stockholders, basic</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(1,475,011​​​​) ​</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(1,543,760​​​​) ​</w:t>
            </w:r>
          </w:p>
        </w:tc>
        <w:tc>
          <w:tcPr>
            <w:tcW w:w="112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(2,828,420​​​​) ​</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(1,304,460​​​​)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(4,747,093​​)</w:t>
            </w:r>
          </w:p>
        </w:tc>
        <w:tc>
          <w:tcPr>
            <w:tcW w:w="80" w:type="dxa"/>
            <w:vAlign w:val="bottom"/>
            <w:tcBorders>
              <w:left w:val="single" w:sz="8" w:color="CCEEFF"/>
            </w:tcBorders>
          </w:tcPr>
          <w:p>
            <w:pPr>
              <w:spacing w:after="0"/>
              <w:rPr>
                <w:sz w:val="17"/>
                <w:szCs w:val="17"/>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dilutive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7"/>
                <w:szCs w:val="17"/>
                <w:color w:val="auto"/>
              </w:rPr>
            </w:pP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(1,254,218​​​​) ​</w:t>
            </w:r>
          </w:p>
        </w:tc>
        <w:tc>
          <w:tcPr>
            <w:tcW w:w="5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common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0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stockholders, diluted</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(1,475,011​​​​) ​</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(1,543,760​​​​) ​</w:t>
            </w:r>
          </w:p>
        </w:tc>
        <w:tc>
          <w:tcPr>
            <w:tcW w:w="112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(2,828,420​​​​) ​</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(2,558,678​​​​)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(4,747,093​​)</w:t>
            </w:r>
          </w:p>
        </w:tc>
        <w:tc>
          <w:tcPr>
            <w:tcW w:w="80" w:type="dxa"/>
            <w:vAlign w:val="bottom"/>
            <w:tcBorders>
              <w:left w:val="single" w:sz="8" w:color="CCEEFF"/>
            </w:tcBorders>
          </w:tcPr>
          <w:p>
            <w:pPr>
              <w:spacing w:after="0"/>
              <w:rPr>
                <w:sz w:val="17"/>
                <w:szCs w:val="17"/>
                <w:color w:val="auto"/>
              </w:rPr>
            </w:pPr>
          </w:p>
        </w:tc>
      </w:tr>
    </w:tbl>
    <w:p>
      <w:pPr>
        <w:spacing w:after="0" w:line="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Weighted average shares outstanding</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used in computing net loss per</w:t>
      </w:r>
    </w:p>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share attributable to common</w:t>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stockholders, basic</w:t>
      </w:r>
    </w:p>
    <w:p>
      <w:pPr>
        <w:spacing w:after="0" w:line="22" w:lineRule="exact"/>
        <w:rPr>
          <w:sz w:val="20"/>
          <w:szCs w:val="20"/>
          <w:color w:val="auto"/>
        </w:rPr>
      </w:pPr>
    </w:p>
    <w:p>
      <w:pPr>
        <w:ind w:left="1440" w:hanging="161"/>
        <w:spacing w:after="0" w:line="259" w:lineRule="auto"/>
        <w:rPr>
          <w:sz w:val="20"/>
          <w:szCs w:val="20"/>
          <w:color w:val="auto"/>
        </w:rPr>
      </w:pPr>
      <w:r>
        <w:rPr>
          <w:rFonts w:ascii="Times New Roman" w:cs="Times New Roman" w:eastAsia="Times New Roman" w:hAnsi="Times New Roman"/>
          <w:sz w:val="16"/>
          <w:szCs w:val="16"/>
          <w:color w:val="auto"/>
        </w:rPr>
        <w:t>Weighted average shares outstanding used in computing net loss per share attributable to common stockholders,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2,306,209,050​​​​​ 1,871,884,313​​​​​ 2,081,772,622​​​​​ 1,678,346,079​​​​​ 740,393,759​​​</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2,306,209,050​​​​​ 1,871,884,313​​​​​ 2,081,772,622​​​​​ 1,693,258,608​​​​​ 740,393,759​​​</w:t>
      </w:r>
    </w:p>
    <w:p>
      <w:pPr>
        <w:spacing w:after="0" w:line="39" w:lineRule="exact"/>
        <w:rPr>
          <w:sz w:val="20"/>
          <w:szCs w:val="20"/>
          <w:color w:val="auto"/>
        </w:rPr>
      </w:pPr>
    </w:p>
    <w:p>
      <w:pPr>
        <w:sectPr>
          <w:pgSz w:w="11900" w:h="16838" w:orient="portrait"/>
          <w:cols w:equalWidth="0" w:num="2">
            <w:col w:w="3800" w:space="100"/>
            <w:col w:w="597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95"/>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attributable to</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stockholders, basic</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(0.64​​​​)$</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(0.82​​​​)$</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2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stockholders, diluted</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(0.64​​​​)$</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(0.82​​​​)$</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0" w:type="dxa"/>
            <w:vAlign w:val="bottom"/>
          </w:tcPr>
          <w:p>
            <w:pPr>
              <w:spacing w:after="0"/>
              <w:rPr>
                <w:sz w:val="17"/>
                <w:szCs w:val="17"/>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gains (losses) 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investments, net of tax</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(4,219​​​​)$</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1,036​​​​$</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(4,790​​​​) ​</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 ​</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(9,009​​​​) ​</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1,622​​​​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16,422​​​​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(1,333,258​​​​)$</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(1,542,138​​​​)$</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(2,811,998​​​​)$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(2,579,761​​)</w:t>
            </w:r>
          </w:p>
        </w:tc>
      </w:tr>
      <w:tr>
        <w:trPr>
          <w:trHeight w:val="22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Deemed dividend related to the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of Series E convertible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(2,167,332​​)</w:t>
            </w:r>
          </w:p>
        </w:tc>
        <w:tc>
          <w:tcPr>
            <w:tcW w:w="20" w:type="dxa"/>
            <w:vAlign w:val="bottom"/>
          </w:tcPr>
          <w:p>
            <w:pPr>
              <w:spacing w:after="0"/>
              <w:rPr>
                <w:sz w:val="17"/>
                <w:szCs w:val="17"/>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Series A redeemable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(150,762​​​​)$</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(1,484,020​​​​)$</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(1,542,138​​​​)$</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(2,811,998​​​​)$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(4,747,093​​)</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280" w:right="280"/>
        <w:spacing w:after="0" w:line="313" w:lineRule="auto"/>
        <w:rPr>
          <w:sz w:val="20"/>
          <w:szCs w:val="20"/>
          <w:color w:val="auto"/>
        </w:rPr>
      </w:pPr>
      <w:r>
        <w:rPr>
          <w:rFonts w:ascii="Times New Roman" w:cs="Times New Roman" w:eastAsia="Times New Roman" w:hAnsi="Times New Roman"/>
          <w:sz w:val="18"/>
          <w:szCs w:val="18"/>
          <w:color w:val="auto"/>
        </w:rPr>
        <w:t>Research and development Selling, general and administrative Restructuring Charges</w:t>
      </w:r>
    </w:p>
    <w:p>
      <w:pPr>
        <w:ind w:left="1280"/>
        <w:spacing w:after="0"/>
        <w:rPr>
          <w:sz w:val="20"/>
          <w:szCs w:val="20"/>
          <w:color w:val="auto"/>
        </w:rPr>
      </w:pPr>
      <w:r>
        <w:rPr>
          <w:rFonts w:ascii="Times New Roman" w:cs="Times New Roman" w:eastAsia="Times New Roman" w:hAnsi="Times New Roman"/>
          <w:sz w:val="18"/>
          <w:szCs w:val="18"/>
          <w:color w:val="auto"/>
        </w:rPr>
        <w:t>Total</w:t>
      </w:r>
    </w:p>
    <w:p>
      <w:pPr>
        <w:spacing w:after="0" w:line="3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11"/>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Fiscal Years Ended,</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7"/>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0"/>
                <w:szCs w:val="20"/>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50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p>
        </w:tc>
        <w:tc>
          <w:tcPr>
            <w:tcW w:w="1500" w:type="dxa"/>
            <w:vAlign w:val="bottom"/>
            <w:gridSpan w:val="5"/>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75"/>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1,811​​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3,590​​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0" w:type="dxa"/>
            <w:vAlign w:val="bottom"/>
          </w:tcPr>
          <w:p>
            <w:pPr>
              <w:spacing w:after="0"/>
              <w:rPr>
                <w:sz w:val="1"/>
                <w:szCs w:val="1"/>
                <w:color w:val="auto"/>
              </w:rPr>
            </w:pPr>
          </w:p>
        </w:tc>
      </w:tr>
      <w:tr>
        <w:trPr>
          <w:trHeight w:val="256"/>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 71,059​​ ​​ ​ 65,393​​</w:t>
            </w:r>
          </w:p>
        </w:tc>
        <w:tc>
          <w:tcPr>
            <w:tcW w:w="11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 ​137,703​​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​151,549​​</w:t>
            </w:r>
          </w:p>
        </w:tc>
        <w:tc>
          <w:tcPr>
            <w:tcW w:w="8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​137,303​</w:t>
            </w:r>
          </w:p>
        </w:tc>
        <w:tc>
          <w:tcPr>
            <w:tcW w:w="0" w:type="dxa"/>
            <w:vAlign w:val="bottom"/>
          </w:tcPr>
          <w:p>
            <w:pPr>
              <w:spacing w:after="0"/>
              <w:rPr>
                <w:sz w:val="1"/>
                <w:szCs w:val="1"/>
                <w:color w:val="auto"/>
              </w:rPr>
            </w:pPr>
          </w:p>
        </w:tc>
      </w:tr>
      <w:tr>
        <w:trPr>
          <w:trHeight w:val="257"/>
        </w:trPr>
        <w:tc>
          <w:tcPr>
            <w:tcW w:w="196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 ​​ ​ 49,319​​ ​​ ​ 59,906​​</w:t>
            </w:r>
          </w:p>
        </w:tc>
        <w:tc>
          <w:tcPr>
            <w:tcW w:w="11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 ​117,433​​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​230,198​​</w:t>
            </w:r>
          </w:p>
        </w:tc>
        <w:tc>
          <w:tcPr>
            <w:tcW w:w="8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​370,717​</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 (1,480)</w:t>
            </w:r>
          </w:p>
        </w:tc>
        <w:tc>
          <w:tcPr>
            <w:tcW w:w="7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(1,443)</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 (1,443)</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gridSpan w:val="2"/>
          </w:tcPr>
          <w:p>
            <w:pPr>
              <w:jc w:val="center"/>
              <w:ind w:right="4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9"/>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120,709</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125,195</w:t>
            </w:r>
            <w:r>
              <w:rPr>
                <w:rFonts w:ascii="Times New Roman" w:cs="Times New Roman" w:eastAsia="Times New Roman" w:hAnsi="Times New Roman"/>
                <w:sz w:val="28"/>
                <w:szCs w:val="28"/>
                <w:color w:val="auto"/>
                <w:vertAlign w:val="subscript"/>
              </w:rPr>
              <w:t>​​</w:t>
            </w:r>
          </w:p>
        </w:tc>
        <w:tc>
          <w:tcPr>
            <w:tcW w:w="92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257,283</w:t>
            </w:r>
            <w:r>
              <w:rPr>
                <w:rFonts w:ascii="Times New Roman" w:cs="Times New Roman" w:eastAsia="Times New Roman" w:hAnsi="Times New Roman"/>
                <w:sz w:val="28"/>
                <w:szCs w:val="28"/>
                <w:color w:val="auto"/>
                <w:vertAlign w:val="subscript"/>
              </w:rPr>
              <w:t>​​</w:t>
            </w:r>
          </w:p>
        </w:tc>
        <w:tc>
          <w:tcPr>
            <w:tcW w:w="92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423,500</w:t>
            </w:r>
            <w:r>
              <w:rPr>
                <w:rFonts w:ascii="Times New Roman" w:cs="Times New Roman" w:eastAsia="Times New Roman" w:hAnsi="Times New Roman"/>
                <w:sz w:val="28"/>
                <w:szCs w:val="28"/>
                <w:color w:val="auto"/>
                <w:vertAlign w:val="subscript"/>
              </w:rPr>
              <w:t>​​</w:t>
            </w:r>
          </w:p>
        </w:tc>
        <w:tc>
          <w:tcPr>
            <w:tcW w:w="84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516,757</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2" w:lineRule="exact"/>
        <w:rPr>
          <w:sz w:val="20"/>
          <w:szCs w:val="20"/>
          <w:color w:val="auto"/>
        </w:rPr>
      </w:pPr>
    </w:p>
    <w:p>
      <w:pPr>
        <w:sectPr>
          <w:pgSz w:w="11900" w:h="16838" w:orient="portrait"/>
          <w:cols w:equalWidth="0" w:num="2">
            <w:col w:w="4180" w:space="720"/>
            <w:col w:w="4979"/>
          </w:cols>
          <w:pgMar w:left="580" w:top="97" w:right="1440" w:bottom="1440" w:gutter="0" w:footer="0" w:header="0"/>
          <w:type w:val="continuous"/>
        </w:sectPr>
      </w:pP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assets</w:t>
      </w:r>
    </w:p>
    <w:p>
      <w:pPr>
        <w:spacing w:after="0" w:line="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warrant liability</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10"/>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Fiscal Years Ended, December 31,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As of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1,353,581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1,369,947​​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1,735,765​​</w:t>
            </w: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8,223,268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8,512,718​​</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7,879,238​​</w:t>
            </w:r>
          </w:p>
        </w:tc>
      </w:tr>
      <w:tr>
        <w:trPr>
          <w:trHeight w:val="25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1,999,547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1,996,960​​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1,991,840​​</w:t>
            </w: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53,664​​</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140,590​​</w:t>
            </w: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4,056,060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3,661,026​​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3,529,537​​</w:t>
            </w: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651,311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9" w:lineRule="exact"/>
        <w:rPr>
          <w:sz w:val="20"/>
          <w:szCs w:val="20"/>
          <w:color w:val="auto"/>
        </w:rPr>
      </w:pPr>
    </w:p>
    <w:p>
      <w:pPr>
        <w:ind w:left="160" w:hanging="100"/>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​15,063,541 ​​ ​​ ​15,066,080​​ ​​ ​11,752,138​​</w:t>
      </w:r>
    </w:p>
    <w:p>
      <w:pPr>
        <w:spacing w:after="0" w:line="63" w:lineRule="exact"/>
        <w:rPr>
          <w:rFonts w:ascii="Times New Roman" w:cs="Times New Roman" w:eastAsia="Times New Roman" w:hAnsi="Times New Roman"/>
          <w:sz w:val="18"/>
          <w:szCs w:val="18"/>
          <w:color w:val="auto"/>
        </w:rPr>
      </w:pPr>
    </w:p>
    <w:p>
      <w:pPr>
        <w:ind w:left="160" w:hanging="100"/>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​(11,523,001) ​​ ​​ ​(10,198,752​​) ​​ ​(7,370,332​​)</w:t>
      </w:r>
    </w:p>
    <w:p>
      <w:pPr>
        <w:spacing w:after="0" w:line="63" w:lineRule="exact"/>
        <w:rPr>
          <w:rFonts w:ascii="Times New Roman" w:cs="Times New Roman" w:eastAsia="Times New Roman" w:hAnsi="Times New Roman"/>
          <w:sz w:val="18"/>
          <w:szCs w:val="18"/>
          <w:color w:val="auto"/>
        </w:rPr>
      </w:pPr>
    </w:p>
    <w:p>
      <w:pPr>
        <w:ind w:left="160" w:hanging="100"/>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3,515,897 ​​ ​​$  4,851,692​​ ​​$ 4,349,701​​</w:t>
      </w:r>
    </w:p>
    <w:p>
      <w:pPr>
        <w:spacing w:after="0" w:line="200" w:lineRule="exact"/>
        <w:rPr>
          <w:sz w:val="20"/>
          <w:szCs w:val="20"/>
          <w:color w:val="auto"/>
        </w:rPr>
      </w:pPr>
    </w:p>
    <w:p>
      <w:pPr>
        <w:sectPr>
          <w:pgSz w:w="11900" w:h="16838" w:orient="portrait"/>
          <w:cols w:equalWidth="0" w:num="2">
            <w:col w:w="4940" w:space="720"/>
            <w:col w:w="42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99" w:firstLine="360"/>
        <w:spacing w:after="0" w:line="24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 investment in our common stock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w:t>
      </w:r>
      <w:hyperlink r:id="rId34">
        <w:r>
          <w:rPr>
            <w:rFonts w:ascii="Times New Roman" w:cs="Times New Roman" w:eastAsia="Times New Roman" w:hAnsi="Times New Roman"/>
            <w:sz w:val="18"/>
            <w:szCs w:val="18"/>
            <w:i w:val="1"/>
            <w:iCs w:val="1"/>
            <w:u w:val="single" w:color="auto"/>
            <w:color w:val="0000EE"/>
          </w:rPr>
          <w:t>Quarterly Report on Form 10 -Q for the three months ended June 30, 2024</w:t>
        </w:r>
      </w:hyperlink>
      <w:r>
        <w:rPr>
          <w:rFonts w:ascii="Times New Roman" w:cs="Times New Roman" w:eastAsia="Times New Roman" w:hAnsi="Times New Roman"/>
          <w:sz w:val="18"/>
          <w:szCs w:val="18"/>
          <w:i w:val="1"/>
          <w:iCs w:val="1"/>
          <w:color w:val="auto"/>
        </w:rPr>
        <w:t>, as well as the other information contained or incorporated by reference into this prospectus supplement or the accompanying prospectus.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5"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7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term U.S. Treasury securities with insignificant rates of return. These investments may not yield a favorable return to our stockholders.</w:t>
      </w:r>
    </w:p>
    <w:p>
      <w:pPr>
        <w:spacing w:after="0" w:line="182"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RSUs, or the conversion of our 2026 Convertible Notes or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2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pursuant to the Investor Rights Agreement, Ayar, and certain other parties thereto are entitled to, among other things, certain registration rights, including demand, 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 Pursuant to the subscription agreements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for the Redeemable Convertible Preferred Stock, Ayar has agreed to restrictions on the sale or transfer of shares of Redeemable Convertible Preferred Stock or any shares of common stock issued pursuant to the terms thereof held by it for a period of twelve months following the closing of the respective transaction. However, following the expiration of the lock-up periods, Ayar will not be restricted from selling the respective securities, other than by applicable securities laws.</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intend to enter into a fifth amendment to the Investor Rights Agreement (the “Fifth IRA Amendment”) with Ayar concurrently with the execution of the underwriting agreement for this offering. Pursuant to the proposed Fifth IRA Amendment, Ayar will be entitled to certain registration rights, including demand, piggy-back and shelf registration rights, with respect to any shares of common stock Ayar purchases in the Ayar Investment. If one or more of these stockholders were to sell a substantial portion of the shares they hold, it could cause the trading price of our common stock to decline. For 120 days following the closing of the Ayar Investment, Ayar will be subject to a contractual lock-up with respect to our common stock or other equity securities. See “Ayar Investment.”</w:t>
      </w:r>
    </w:p>
    <w:p>
      <w:pPr>
        <w:spacing w:after="0" w:line="1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may publish about us, our business and operations, our market, or our competitors.</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this volatility may negatively impact the market price of our common stock.</w:t>
      </w:r>
    </w:p>
    <w:p>
      <w:pPr>
        <w:spacing w:after="0" w:line="9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w:t>
      </w:r>
    </w:p>
    <w:p>
      <w:pPr>
        <w:spacing w:after="0" w:line="117"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 in general, or in our industry in particular;</w:t>
      </w:r>
    </w:p>
    <w:p>
      <w:pPr>
        <w:spacing w:after="0" w:line="130"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or operating results or the quarterly financial or operating results of companies perceived to be similar to ours;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the number of unit reservations, financial projections and any other guidance or metrics that we may publicly disclose from time to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achievement of objectives under our business plan and the timing and amount of costs we incur in connection therewith;</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or investigations involving us;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 including as a result of conversion of our 2026 Convertible Notes or our Redeemable Convertible Preferred Stock;</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this section “Risk Factors.”</w:t>
      </w:r>
    </w:p>
    <w:p>
      <w:pPr>
        <w:spacing w:after="0" w:line="14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the impact of global conflicts or other geopolitical events, natural disasters,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1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Convertible Notes may impact the market price of our common stock, in particular during any redemption conversion period in connection with a redemption of the 2026 Convertible Notes or any observation period for a conversion of the 2026 Convertible Notes.</w:t>
      </w:r>
    </w:p>
    <w:p>
      <w:pPr>
        <w:spacing w:after="0" w:line="32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 and our ability to raise additional capital to fund our operations and limit our ability to react to changes in the economy.</w:t>
      </w:r>
    </w:p>
    <w:p>
      <w:pPr>
        <w:spacing w:after="0" w:line="7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highly leveraged company. As of September 30, 2024, we and our subsidiaries had approximately $2.05 billion of indebtedness and we and our subsidiaries had availability of approximately $1.1 billion under the existing loan agreements and credit facilities subject to certain covenants.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to you. For example, it could:</w:t>
      </w:r>
    </w:p>
    <w:p>
      <w:pPr>
        <w:spacing w:after="0" w:line="117"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jc w:val="both"/>
        <w:ind w:left="1800" w:right="85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working capital, capital expenditures, acquisitions or general corporate purposes.</w:t>
      </w:r>
    </w:p>
    <w:p>
      <w:pPr>
        <w:spacing w:after="0" w:line="158"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0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As of September 30, 2024,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33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to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32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significantly affect our reported earnings and cash flows.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have business operations and assets in different jurisdictions, which are subject to different tax regimes. Changes in tax regimes, such as the reduction or elimination of tax benefits, or limitations on the deductibility of interest expense, could have a material adverse effect on our results and cash flows.</w:t>
      </w:r>
    </w:p>
    <w:p>
      <w:pPr>
        <w:spacing w:after="0" w:line="10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addition, countries in which we operate have agreed to implement aspects of the “Two Pillars Solution,” an OECD/G20 Inclusive Framework initiative, which aims to reform the international taxation policies and ensure that multinational companies pay taxes wherever they operate and generate profits. “Pillar Two” of this initiative generally provides for an effective global minimum corporate tax rate of 15% on profits generated by multinational companies with consolidated revenues of at least €750 million, calculated on a country-by-country basis. This minimum tax would be applied on profits in any jurisdiction wherever the effective tax rate, determined on a jurisdictional basis, is below 15%. The OECD and its members are still working on the coordinated implementation of the minimum tax. Although this initiative is subject to further developments in the countries where we operate, it is expected to be in force in various jurisdictions, including the U.K. and the EU, for fiscal years commencing on January 1, 2024. Any minimum tax may have a negative impact on our financial condition, results of operations and cash flows.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utilize a significant portion of our tax carryforwards, which could harm our profitability.</w:t>
      </w:r>
    </w:p>
    <w:p>
      <w:pPr>
        <w:spacing w:after="0" w:line="16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As of January 31, 2024, we had material federal and state tax carryforwards, primarily due to net operating losses and federal and state research tax credits. If we are unable to generate sufficient taxable income to utilize our tax carryforwards, some could expire unused and be unavailable to offset future income tax liabilities or we could be required to reserve against the valuation of our deferred tax assets, which could harm our profitability.</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Code (as defined below), our ability to utilize net operating loss carryforwards or other tax attributes, such as research tax credits, in any taxable year may be limited if we experience (or have experienced)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If an “ownership change” occurs, Sections 382 and 383 of the Code would impose an annual limit on the amount of pre-ownership change net operating loss carryforwards and other tax attributes we can use to reduce our taxable income, potentially causing those tax attributes to expire unused, which could harm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and the Ayar</w:t>
      </w:r>
    </w:p>
    <w:p>
      <w:pPr>
        <w:spacing w:after="0" w:line="27"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Investment will be approximately $ million (or approximately $ million if the underwriter exercises its overallotment option to purchase additional shares in full and Ayar purchases its pro rata additional shares as described in this prospectus supplement), after deducting the estimated expenses of this offering and the Ayar Investment. We intend to use the net proceeds from the sale of our common stock in this offering and the Ayar Investment for general corporate purposes, which may include, among other things,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we do not anticipate declaring any cash dividends in the foreseeable future. The payment of cash dividends in the future is dependent upon our revenues and earnings, if any, capital requirements, the terms of any indebtedness and general financial condition. Both of our ABL Credit Facility and DDTL Credit Facility contain restrictions on our ability to pay dividends. In addition, the Board is not currently contemplating and does not anticipate declaring any stock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cash, cash equivalents and short-term investments, and our capitalization as of June 30, 2024:</w:t>
      </w:r>
    </w:p>
    <w:p>
      <w:pPr>
        <w:spacing w:after="0" w:line="41"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76"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this offering and the Ayar Investment (assuming no exercise by the underwriter of its overallotment option to purchase additional shares), after deducting estimated offering expenses payable by us.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4, 2024, we entered into:</w:t>
      </w:r>
    </w:p>
    <w:p>
      <w:pPr>
        <w:spacing w:after="0" w:line="131" w:lineRule="exact"/>
        <w:rPr>
          <w:sz w:val="20"/>
          <w:szCs w:val="20"/>
          <w:color w:val="auto"/>
        </w:rPr>
      </w:pPr>
    </w:p>
    <w:p>
      <w:pPr>
        <w:ind w:left="1980" w:right="979" w:hanging="360"/>
        <w:spacing w:after="0" w:line="266"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subscription agreement with Ayar, pursuant to which Ayar purchased 75,000 shares of our Series B Convertible Preferred Stock for an aggregate purchase price of $750.0 million on August 16, 2024 in a private placement (the “Series B Private Placement”); and</w:t>
      </w:r>
    </w:p>
    <w:p>
      <w:pPr>
        <w:spacing w:after="0" w:line="67"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 million five-year unsecured delayed draw term loan credit facility (the “DDTL Credit Facility”) with Ayar, which provides for a delayed draw term loan credit facility in an aggregate principal amount of $750 million and has a stated maturity date of August 4, 2029 and which as of October 15, 2024 has no outstanding term loans thereunder.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does not reflect the Series B Private Placement and the DDTL Credit Facility.</w:t>
      </w:r>
    </w:p>
    <w:p>
      <w:pPr>
        <w:spacing w:after="0" w:line="158" w:lineRule="exact"/>
        <w:rPr>
          <w:sz w:val="20"/>
          <w:szCs w:val="20"/>
          <w:color w:val="auto"/>
        </w:rPr>
      </w:pPr>
    </w:p>
    <w:p>
      <w:pPr>
        <w:ind w:left="1260" w:right="539" w:firstLine="360"/>
        <w:spacing w:after="0" w:line="24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read this table in conjunction with the section “Management’s Discussion and Analysis of Financial Condition and Results of Operations” and our consolidated financial statements and related notes </w:t>
      </w:r>
      <w:hyperlink r:id="rId34">
        <w:r>
          <w:rPr>
            <w:rFonts w:ascii="Times New Roman" w:cs="Times New Roman" w:eastAsia="Times New Roman" w:hAnsi="Times New Roman"/>
            <w:sz w:val="18"/>
            <w:szCs w:val="18"/>
            <w:color w:val="auto"/>
          </w:rPr>
          <w:t xml:space="preserve">from our </w:t>
        </w:r>
        <w:r>
          <w:rPr>
            <w:rFonts w:ascii="Times New Roman" w:cs="Times New Roman" w:eastAsia="Times New Roman" w:hAnsi="Times New Roman"/>
            <w:sz w:val="18"/>
            <w:szCs w:val="18"/>
            <w:u w:val="single" w:color="auto"/>
            <w:color w:val="0000EE"/>
          </w:rPr>
          <w:t>Annual Report on Form 10-K for the year ended December 31, 2023</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u w:val="single" w:color="auto"/>
            <w:color w:val="0000EE"/>
          </w:rPr>
          <w:t>Quarterly Report on</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Form 10-Q for the three months ended June 30, 2024</w:t>
        </w:r>
        <w:r>
          <w:rPr>
            <w:rFonts w:ascii="Times New Roman" w:cs="Times New Roman" w:eastAsia="Times New Roman" w:hAnsi="Times New Roman"/>
            <w:sz w:val="18"/>
            <w:szCs w:val="18"/>
            <w:color w:val="000000"/>
          </w:rPr>
          <w:t>, incorporated by reference into this prospectus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supplement and the accompanying prospectus.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As of June 30, 2024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As Adjusted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(in millions, except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 and per share amounts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54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and footnotes)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 term investments</w:t>
            </w:r>
          </w:p>
        </w:tc>
        <w:tc>
          <w:tcPr>
            <w:tcW w:w="24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r>
              <w:rPr>
                <w:rFonts w:ascii="Times New Roman" w:cs="Times New Roman" w:eastAsia="Times New Roman" w:hAnsi="Times New Roman"/>
                <w:sz w:val="18"/>
                <w:szCs w:val="18"/>
                <w:u w:val="single" w:color="auto"/>
                <w:color w:val="auto"/>
              </w:rPr>
              <w:t>4</w:t>
            </w:r>
          </w:p>
        </w:tc>
        <w:tc>
          <w:tcPr>
            <w:tcW w:w="90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Long-term debt (including current portion):</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6340" w:type="dxa"/>
            <w:vAlign w:val="bottom"/>
            <w:vMerge w:val="continue"/>
          </w:tcPr>
          <w:p>
            <w:pPr>
              <w:spacing w:after="0"/>
              <w:rPr>
                <w:sz w:val="14"/>
                <w:szCs w:val="14"/>
                <w:color w:val="auto"/>
              </w:rPr>
            </w:pPr>
          </w:p>
        </w:tc>
        <w:tc>
          <w:tcPr>
            <w:tcW w:w="300" w:type="dxa"/>
            <w:vAlign w:val="bottom"/>
            <w:gridSpan w:val="3"/>
          </w:tcPr>
          <w:p>
            <w:pPr>
              <w:ind w:left="20"/>
              <w:spacing w:after="0" w:line="163"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4"/>
                <w:szCs w:val="14"/>
                <w:color w:val="auto"/>
              </w:rPr>
            </w:pPr>
          </w:p>
        </w:tc>
        <w:tc>
          <w:tcPr>
            <w:tcW w:w="900" w:type="dxa"/>
            <w:vAlign w:val="bottom"/>
            <w:gridSpan w:val="3"/>
          </w:tcPr>
          <w:p>
            <w:pPr>
              <w:jc w:val="right"/>
              <w:ind w:right="510"/>
              <w:spacing w:after="0" w:line="163"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3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2026 Convertible Notes</w:t>
            </w:r>
            <w:r>
              <w:rPr>
                <w:rFonts w:ascii="Times New Roman" w:cs="Times New Roman" w:eastAsia="Times New Roman" w:hAnsi="Times New Roman"/>
                <w:sz w:val="23"/>
                <w:szCs w:val="23"/>
                <w:color w:val="auto"/>
                <w:vertAlign w:val="superscript"/>
              </w:rPr>
              <w:t>(1)</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2,012.5​​​​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3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ABL Credit Facility</w:t>
            </w:r>
            <w:r>
              <w:rPr>
                <w:rFonts w:ascii="Times New Roman" w:cs="Times New Roman" w:eastAsia="Times New Roman" w:hAnsi="Times New Roman"/>
                <w:sz w:val="23"/>
                <w:szCs w:val="23"/>
                <w:color w:val="auto"/>
                <w:vertAlign w:val="superscript"/>
              </w:rPr>
              <w:t>(2)</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3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GIB Credit Facility</w:t>
            </w:r>
            <w:r>
              <w:rPr>
                <w:rFonts w:ascii="Times New Roman" w:cs="Times New Roman" w:eastAsia="Times New Roman" w:hAnsi="Times New Roman"/>
                <w:sz w:val="23"/>
                <w:szCs w:val="23"/>
                <w:color w:val="auto"/>
                <w:vertAlign w:val="superscript"/>
              </w:rPr>
              <w:t>(3)</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SIDF Loan</w:t>
            </w:r>
            <w:r>
              <w:rPr>
                <w:rFonts w:ascii="Times New Roman" w:cs="Times New Roman" w:eastAsia="Times New Roman" w:hAnsi="Times New Roman"/>
                <w:sz w:val="23"/>
                <w:szCs w:val="23"/>
                <w:color w:val="auto"/>
                <w:vertAlign w:val="superscript"/>
              </w:rPr>
              <w:t>(4)</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3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900" w:type="dxa"/>
            <w:vAlign w:val="bottom"/>
            <w:gridSpan w:val="3"/>
          </w:tcPr>
          <w:p>
            <w:pPr>
              <w:jc w:val="right"/>
              <w:ind w:right="510"/>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80" w:type="dxa"/>
            <w:vAlign w:val="bottom"/>
          </w:tcPr>
          <w:p>
            <w:pPr>
              <w:jc w:val="right"/>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6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9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redeemable convertible preferred stock, $0.0001 par value per share;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360"/>
              <w:spacing w:after="0" w:line="199" w:lineRule="exact"/>
              <w:rPr>
                <w:sz w:val="20"/>
                <w:szCs w:val="20"/>
                <w:color w:val="auto"/>
              </w:rPr>
            </w:pPr>
            <w:r>
              <w:rPr>
                <w:rFonts w:ascii="Times New Roman" w:cs="Times New Roman" w:eastAsia="Times New Roman" w:hAnsi="Times New Roman"/>
                <w:sz w:val="18"/>
                <w:szCs w:val="18"/>
                <w:color w:val="auto"/>
              </w:rPr>
              <w:t>10,000,000 shares authorized, actual and as adjusted; 100,000 shares issued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actual and as adjusted (related party)</w:t>
            </w:r>
            <w:r>
              <w:rPr>
                <w:rFonts w:ascii="Times New Roman" w:cs="Times New Roman" w:eastAsia="Times New Roman" w:hAnsi="Times New Roman"/>
                <w:sz w:val="23"/>
                <w:szCs w:val="23"/>
                <w:color w:val="auto"/>
                <w:vertAlign w:val="superscript"/>
              </w:rPr>
              <w:t>(5)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r>
              <w:rPr>
                <w:rFonts w:ascii="Times New Roman" w:cs="Times New Roman" w:eastAsia="Times New Roman" w:hAnsi="Times New Roman"/>
                <w:sz w:val="18"/>
                <w:szCs w:val="18"/>
                <w:u w:val="single" w:color="auto"/>
                <w:color w:val="auto"/>
              </w:rPr>
              <w:t>3</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9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per share; 15,000,000,000 shares authorized,</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actual and as adjusted; 2,319,543,729 shares issued and 2,318,685,904 shares</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actual;           shares issued and           shares outstanding, as</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0.23​​​​$             </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​​​$ 15,063.5​​​​$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40" w:type="dxa"/>
            <w:vAlign w:val="bottom"/>
            <w:gridSpan w:val="7"/>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$(11,523.0) $</w:t>
            </w:r>
          </w:p>
        </w:tc>
        <w:tc>
          <w:tcPr>
            <w:tcW w:w="8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340" w:type="dxa"/>
            <w:vAlign w:val="bottom"/>
            <w:shd w:val="clear" w:color="auto" w:fill="CCEEFF"/>
          </w:tcPr>
          <w:p>
            <w:pPr>
              <w:spacing w:after="0"/>
              <w:rPr>
                <w:sz w:val="5"/>
                <w:szCs w:val="5"/>
                <w:color w:val="auto"/>
              </w:rPr>
            </w:pPr>
          </w:p>
        </w:tc>
        <w:tc>
          <w:tcPr>
            <w:tcW w:w="24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shd w:val="clear" w:color="auto" w:fill="CCEEFF"/>
          </w:tcPr>
          <w:p>
            <w:pPr>
              <w:spacing w:after="0"/>
              <w:rPr>
                <w:sz w:val="5"/>
                <w:szCs w:val="5"/>
                <w:color w:val="auto"/>
              </w:rPr>
            </w:pPr>
          </w:p>
        </w:tc>
        <w:tc>
          <w:tcPr>
            <w:tcW w:w="8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900" w:type="dxa"/>
            <w:vAlign w:val="bottom"/>
            <w:gridSpan w:val="3"/>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4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6,247.9</w:t>
            </w:r>
          </w:p>
        </w:tc>
        <w:tc>
          <w:tcPr>
            <w:tcW w:w="900" w:type="dxa"/>
            <w:vAlign w:val="bottom"/>
            <w:gridSpan w:val="3"/>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80" w:type="dxa"/>
            <w:vAlign w:val="bottom"/>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-2948305</wp:posOffset>
            </wp:positionV>
            <wp:extent cx="52120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-2622550</wp:posOffset>
            </wp:positionV>
            <wp:extent cx="52120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-2279650</wp:posOffset>
            </wp:positionV>
            <wp:extent cx="5212080" cy="2263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5212080" cy="226314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-3736975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outstanding principal amount.</w:t>
      </w:r>
    </w:p>
    <w:p>
      <w:pPr>
        <w:spacing w:after="0" w:line="90"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entered into a five-year senior secured asset-based revolving credit facility (the “ABL Credit Facility”) with a syndicate of banks. As of June 30, 2024, we had no outstanding borrowings and $48.4 million outstanding letters of credit under the ABL Credit Facility. The ABL Credit Facility provides for an initial aggregate principal commitment amount of up to $1.0 billion (including a $350.0 million letter of credit subfacility and a $100.0 million swingline loan subfacility), the availability of which amount is subject to the value of eligible assets in the borrowing base, and has a stated maturity date of June 9, 2027.</w:t>
      </w:r>
    </w:p>
    <w:p>
      <w:pPr>
        <w:spacing w:after="0" w:line="254"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2022, and as amended on March 12, 2023, our wholly-owned subsidiary Lucid, LLC, a limited liability company established in the Kingdom of Saudi Arabia (“Lucid LLC”), entered into a revolving credit facility agreement (the “GIB Credit Facility Agreement”). The GIB Credit Facility Agreement provides for a credit facility (the “GIB Credit Facility”) in an aggregate principal amount of SAR 1 billion (approximately $266.1 million). Loans under the GIB Credit Facility Agreement will have a maturity of no more than 12 months. As of June 30, 2024, we had outstanding borrowings of SAR 256 million (approximately $68.2 million) under the GIB Credit Facility Agreement, which was recorded within other current liabilities on condensed consolidated balance sheets.</w:t>
      </w:r>
    </w:p>
    <w:p>
      <w:pPr>
        <w:spacing w:after="0" w:line="43"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2022, Lucid LLC entered into a loan agreement (the “SIDF Loan Agreement”). Under the SIDF Loan Agreement, the Saudi Industrial Development Fund committed to provide loans to Lucid LLC in an aggregate principal amount of up to SAR 5.19 billion (approximately $1.4 billion). As of June 30, 2024, we had no outstanding borrowings under the SIDF Loan Agreement.</w:t>
      </w:r>
    </w:p>
    <w:p>
      <w:pPr>
        <w:spacing w:after="0" w:line="44" w:lineRule="exact"/>
        <w:rPr>
          <w:rFonts w:ascii="Times New Roman" w:cs="Times New Roman" w:eastAsia="Times New Roman" w:hAnsi="Times New Roman"/>
          <w:sz w:val="18"/>
          <w:szCs w:val="18"/>
          <w:color w:val="auto"/>
        </w:rPr>
      </w:pPr>
    </w:p>
    <w:p>
      <w:pPr>
        <w:ind w:left="1620" w:right="419" w:hanging="360"/>
        <w:spacing w:after="0" w:line="263"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carrying value of the Series A Convertible Preferred Stock as of June 30, 2024. This table does not reflect the derivative liability amounts associated with the Series A Convertible Preferred Stock. As of June 30, 2024, the liquidation preference of the Series A Convertible Preferred Stock was $1,045.4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AYAR INVESTMENT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Pursuant to the Investor Rights Agreement, we are required to provide Ayar the opportunity to participate as a purchaser in future equity offerings as a purchaser in such offering or in a private placement substantially concurrent with such offering, on terms no less favorable to the Company or Ayar than the terms applicable to other purchasers in such offering, and in an amount that allows Ayar to maintain up to its pro rata ownership of our common stock as of immediately prior to the commencement of such equity offering after giving effect to such equity offering.</w:t>
      </w:r>
    </w:p>
    <w:p>
      <w:pPr>
        <w:spacing w:after="0" w:line="11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Ayar has indicated that they intend to purchase from us, subject to certain conditions, 374,717,927 shares of our common stock in a private placement concurrently with this offering at the same price per share initially to be paid by the underwriter for this offering as set forth in this prospectus supplement.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58.8%, which is the number of shares of our outstanding common stock owned by PIF (which does not include any share of common stock issuable upon conversion of the outstanding Redeemable Convertible Preferred Stock), both directly and indirectly through Ayar, as a percentage of the total number of shares of our common stock outstanding as of September 30, 2024, and the denominator of which is approximately 41.2%, rounded down to the nearest whole share. Following the sale in this offering and the sale in the Ayar Investment, PIF, both directly and indirectly through Ayar, is expected to continue to own approximately 58.8% of our outstanding common stock (which does not include any share of common stock issuable upon conversion of the outstanding Redeemable Convertible Preferred Stock). We expect to settle the Ayar Investment on or about</w:t>
      </w:r>
    </w:p>
    <w:p>
      <w:pPr>
        <w:spacing w:after="0" w:line="11" w:lineRule="exact"/>
        <w:rPr>
          <w:sz w:val="20"/>
          <w:szCs w:val="20"/>
          <w:color w:val="auto"/>
        </w:rPr>
      </w:pPr>
    </w:p>
    <w:p>
      <w:pPr>
        <w:ind w:left="1260"/>
        <w:spacing w:after="0"/>
        <w:tabs>
          <w:tab w:leader="none" w:pos="6800" w:val="left"/>
        </w:tabs>
        <w:rPr>
          <w:sz w:val="20"/>
          <w:szCs w:val="20"/>
          <w:color w:val="auto"/>
        </w:rPr>
      </w:pPr>
      <w:r>
        <w:rPr>
          <w:rFonts w:ascii="Times New Roman" w:cs="Times New Roman" w:eastAsia="Times New Roman" w:hAnsi="Times New Roman"/>
          <w:sz w:val="18"/>
          <w:szCs w:val="18"/>
          <w:color w:val="auto"/>
        </w:rPr>
        <w:t>            , 2024, for an aggregate purchase price of approximately $</w:t>
      </w:r>
      <w:r>
        <w:rPr>
          <w:sz w:val="20"/>
          <w:szCs w:val="20"/>
          <w:color w:val="auto"/>
        </w:rPr>
        <w:tab/>
      </w:r>
      <w:r>
        <w:rPr>
          <w:rFonts w:ascii="Times New Roman" w:cs="Times New Roman" w:eastAsia="Times New Roman" w:hAnsi="Times New Roman"/>
          <w:sz w:val="18"/>
          <w:szCs w:val="18"/>
          <w:color w:val="auto"/>
        </w:rPr>
        <w:t>billion.</w:t>
      </w:r>
    </w:p>
    <w:p>
      <w:pPr>
        <w:spacing w:after="0" w:line="12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Ayar has indicated that they intend to purchase from us in the Ayar Investment, in the event that the underwriter exercises its overallotment option to purchase additional shares of our common stock, additional shares of our common stock, in a number equal to the number of additional shares purchased by the underwriter, multiplied by the Ayar Investment Ratio.</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intend to enter into a fifth amendment to the Investor Rights Agreement (the “Fifth IRA Amendment”) with Ayar concurrently with the execution of the underwriting agreement for this offering. Pursuant to the proposed Fifth IRA Amendment, Ayar will be entitled to certain registration rights, including demand, piggy-back and shelf registration rights, with respect to the shares of common stock Ayar purchases in the Ayar Investment.</w:t>
      </w:r>
    </w:p>
    <w:p>
      <w:pPr>
        <w:spacing w:after="0" w:line="114"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Ayar Investment is not a part of this offering, and is in addition to the 262,446,931 shares that we are selling in this offering. The completion of the Ayar Investment is contingent on the completion of this offering, as well as certain other customary closing conditions.</w:t>
      </w:r>
    </w:p>
    <w:p>
      <w:pPr>
        <w:spacing w:after="0" w:line="102"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Ayar has agreed, with certain exceptions, that without our prior written consent, it will not, for 120 days after the date of the closing of the Ayar Investment:</w:t>
      </w:r>
    </w:p>
    <w:p>
      <w:pPr>
        <w:spacing w:after="0" w:line="54" w:lineRule="exact"/>
        <w:rPr>
          <w:sz w:val="20"/>
          <w:szCs w:val="20"/>
          <w:color w:val="auto"/>
        </w:rPr>
      </w:pPr>
    </w:p>
    <w:p>
      <w:pPr>
        <w:ind w:left="1800" w:right="59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332" w:lineRule="exact"/>
        <w:rPr>
          <w:sz w:val="20"/>
          <w:szCs w:val="20"/>
          <w:color w:val="auto"/>
        </w:rPr>
      </w:pPr>
    </w:p>
    <w:p>
      <w:pPr>
        <w:ind w:left="1260" w:right="559"/>
        <w:spacing w:after="0" w:line="266" w:lineRule="auto"/>
        <w:rPr>
          <w:sz w:val="20"/>
          <w:szCs w:val="20"/>
          <w:color w:val="auto"/>
        </w:rPr>
      </w:pPr>
      <w:r>
        <w:rPr>
          <w:rFonts w:ascii="Times New Roman" w:cs="Times New Roman" w:eastAsia="Times New Roman" w:hAnsi="Times New Roman"/>
          <w:sz w:val="18"/>
          <w:szCs w:val="18"/>
          <w:color w:val="auto"/>
        </w:rPr>
        <w:t>in each case, whether any such transaction described above is to be settled by delivery of common stock or such other securities, in cash or otherwise.</w:t>
      </w:r>
    </w:p>
    <w:p>
      <w:pPr>
        <w:spacing w:after="0" w:line="95"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third-party tender offer, merger, consolidation or other similar transaction that is approved by our board of directors and made to all holders of shares of our capital stock involving a change of control. These restrictions apply to securities owned now or acquired later by Ayar or for which Ayar has or later acquires the power of disposition.</w:t>
      </w:r>
    </w:p>
    <w:p>
      <w:pPr>
        <w:spacing w:after="0" w:line="11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agreed in the underwriting agreement for this offering not to waive these restrictions without the consent of the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BofA Securities, Inc. is acting as underwriter of the offering. Subject to the terms and conditions set forth in an underwriting agreement between us and the underwriter, we have agreed to sell to the underwriter, and the underwriter has agreed to purchase from us 262,446,931 shares of our common stock.</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 has agreed to purchase all of the shares sold under the underwriting agreement if any of these shares are purchased.</w:t>
      </w:r>
    </w:p>
    <w:p>
      <w:pPr>
        <w:spacing w:after="0" w:line="95"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0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underwriter is purchasing the shares of common stock from us at $            per share (representing approximately $            aggregate proceeds to us, before we deduct our out-of-pocket expenses of approximately $            . The underwriter may offer the shares of common stock from time to time for sale in one or more transactions on the Nasdaq Global Market, in the over- the-counter market, through negotiated transactions or otherwise at market prices prevailing at the time of sale, at prices related to prevailing market prices or at negotiated prices. In connection with the sale of the shares of common stock offered hereby, the underwriter may be deemed to have received compensation in the form of underwriting discounts. The underwriter may effect such transactions by selling shares of common stock to or through dealers, and such dealers may receive compensation in the form of discounts, concessions or commissions from the underwriter and / or purchasers of shares of common stock for whom they may act as agents or to whom they may sell as principal.</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granted an option to the underwriter, exercisable for 30 days after the date of this prospectus supplement, subject to the conditions contained in the underwriting agreement, to purchase up to 39,367,040 additional shares at the price per share set forth on the cover page of this prospectus supplement, solely to cover overallotments.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6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and our executive officers and directors have agreed, with certain limited exceptions, that without the prior written consent of the underwriter, we and they will not, for a period of 120 days after the date of this prospectus supplement:</w:t>
      </w:r>
    </w:p>
    <w:p>
      <w:pPr>
        <w:spacing w:after="0" w:line="61" w:lineRule="exact"/>
        <w:rPr>
          <w:sz w:val="20"/>
          <w:szCs w:val="20"/>
          <w:color w:val="auto"/>
        </w:rPr>
      </w:pPr>
    </w:p>
    <w:p>
      <w:pPr>
        <w:ind w:left="1800" w:right="59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w:t>
      </w:r>
    </w:p>
    <w:p>
      <w:pPr>
        <w:spacing w:after="0" w:line="7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 with respect to the registration of any of such common stock, or file, cause to be filed or cause to be confidentially submitted any registration statement in connection therewith, under the Securities Act of 1933, as amended; or</w:t>
      </w:r>
    </w:p>
    <w:p>
      <w:pPr>
        <w:spacing w:after="0" w:line="54"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in each case, whether any such transaction described above is to be settled by delivery of common stock or such other securities, in cash or otherwise. In addition, we and each such person has agreed that, without the prior written consent of the underwriter,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 This lock-up provision applies to common stock and to securities convertible into or exchangeable or exercisable for common stock, whether now owned or acquired later by us or such other person or for which we or such other person later acquires the power of disposition.</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With respect to issuances or sales by us, these restrictions do not apply to the shares to be sold in this offering; any shares of common stock issued by us upon the exercise of an option or warrant or the conversion of a security outstanding on the date of this prospectus supplement; any shares of common stock issued upon the exercise, vesting or settlement of equity awards or the issuance of equity awards granted pursuant to our existing employee benefit plans existing on the date of this prospectus supplement; any shares of common stock issued pursuant to any non-employee director stock plan or dividend reinvestment plan existing on the date of this prospectus supplement; the entry into agreements to issue or the issuance of up to 5% of our outstanding common stock in connection with one or more acquisitions or strategic transactions, in each case subject to certain conditions; any shares of common stock issued to Ayar pursuant to the terms of the Ayar Investment; or any action required to be taken under the Company’s Investor Rights Agreement.</w:t>
      </w:r>
    </w:p>
    <w:p>
      <w:pPr>
        <w:spacing w:after="0" w:line="32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With respect to sales by our directors and our executive officers, subject to certain customary conditions, these restrictions do not apply to transfers made by will, other testamentary document or intestacy; as a bona fide gift or gifts, including to charitable organizations or for bona fide estate planning purposes; to any trust for the benefit of the director or officer; or the immediate family of the director or officer; to a partnership, limited liability company or other entity of which the director or officer and the immediate family of the director or officer are the legal and beneficial owner of all of the outstanding equity securities; if the lock-up agreement signatory is a business entity, to another business entity that is an affiliate of the director or officer, or to any investment fund or other entity controlling, controlled by, managing or managed by or under common control with the director or officer or affiliates of the director or officer, or as part of a distribution to members or shareholders of the lock-up agreement signatory; to a nominee or custodian of any person or entity to whom a transfer would be permissible under any of the preceding exceptions set forth in this sentence; in the case of an individual, by operation of law; from an employee or a director of, or a service provider to, the Company or any of its subsidiaries upon the death, disability or termination of employment, in each case, of such person; pursuant to a bona fide third-party tender offer, merger, consolidation or other similar transaction that is approved by the board of directors of the Company and made to all holders of shares of the Company’s capital stock involving a change of control; in connection with the exercise of any stock options or warrants, or the vesting or settlement of any restricted stock units or other compensatory equity securities in respect of shares of the Company outstanding as of the date the lock-up agreement is executed for any payment due for the exercise of options or other rights to purchase securities of the Company and to cover tax withholding obligations or taxes due in connection with such vesting, settlement or exercise (including by means of a “net settlement,” “sell to cover” or otherwise); and pursuant to trading plans established in accordance with Rule 10b5-1 under the Exchange Act prior to the date hereof. This lock-up provision applies to our common stock and to securities convertible into or exchangeable or exercisable for our common stock. It also applies to common stock owned now or acquired later by the person executing the agreement or for which the person executing the agreement later acquires the power of disposition.</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are listed on the Nasdaq Global Market under the symbol “LCID.”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 may purchase and sell our common stock in the open market. These transactions may include short sales and purchases on the open market to cover positions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4" w:lineRule="auto"/>
        <w:rPr>
          <w:sz w:val="20"/>
          <w:szCs w:val="20"/>
          <w:color w:val="auto"/>
        </w:rPr>
      </w:pPr>
      <w:r>
        <w:rPr>
          <w:rFonts w:ascii="Times New Roman" w:cs="Times New Roman" w:eastAsia="Times New Roman" w:hAnsi="Times New Roman"/>
          <w:sz w:val="18"/>
          <w:szCs w:val="18"/>
          <w:color w:val="auto"/>
        </w:rPr>
        <w:t>created by short sales. Short sales involve the sale by the underwriter of a greater number of shares than they are required to purchase in the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115"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Nasdaq Global Market, in the over-the-counter market or otherwise.</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Neither we nor the underwriter makes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these transactions, once commenced, will not be discontinued without notice.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passive market making transactions in the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 is not required to engage in passive market making and may end passive market making activities at any time.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 may distribute prospectuses by electronic means, such as e-mail.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 transactions.</w:t>
      </w:r>
    </w:p>
    <w:p>
      <w:pPr>
        <w:spacing w:after="0" w:line="10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have been offered or will be offered pursuant to this offering to the public in that Relevant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83" w:lineRule="exact"/>
        <w:rPr>
          <w:sz w:val="20"/>
          <w:szCs w:val="20"/>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44" w:lineRule="exact"/>
        <w:rPr>
          <w:rFonts w:ascii="Times New Roman" w:cs="Times New Roman" w:eastAsia="Times New Roman" w:hAnsi="Times New Roman"/>
          <w:sz w:val="18"/>
          <w:szCs w:val="18"/>
          <w:color w:val="auto"/>
        </w:rPr>
      </w:pPr>
    </w:p>
    <w:p>
      <w:pPr>
        <w:jc w:val="both"/>
        <w:ind w:left="1980" w:right="839" w:hanging="360"/>
        <w:spacing w:after="0" w:line="26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 for any such offer; or</w:t>
      </w:r>
    </w:p>
    <w:p>
      <w:pPr>
        <w:spacing w:after="0" w:line="8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the Company or the underwriter to publish a prospectus pursuant to Article 3 of the Prospectus Regulation or supplement a prospectus pursuant to Article 23 of the Prospectus Regulation.</w:t>
      </w:r>
    </w:p>
    <w:p>
      <w:pPr>
        <w:spacing w:after="0" w:line="109"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Each person in a Relevant State (other than a Relevant State where there is a Permitted Public Offer) who initially acquires any shares of common stock or to whom any offer is made will be deemed to have represented, acknowledged and agreed to and with the Company and the underwriter that it is a qualified investor within the meaning of the Prospectus Regulation.</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 has been obtained to each such proposed offer or resale.</w:t>
      </w:r>
    </w:p>
    <w:p>
      <w:pPr>
        <w:spacing w:after="0" w:line="11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8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relation to the United Kingdom (“UK”), no shares of common stock have been offered or will be offered pursuant to this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99" w:lineRule="exact"/>
        <w:rPr>
          <w:sz w:val="20"/>
          <w:szCs w:val="20"/>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980" w:right="539" w:hanging="360"/>
        <w:spacing w:after="0" w:line="275"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 for any such offer; or</w:t>
      </w:r>
    </w:p>
    <w:p>
      <w:pPr>
        <w:spacing w:after="0" w:line="29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158"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the underwriter to publish a prospectus pursuant to Section 85 of the FSMA or Article 3 of the UK Prospectus Regulation or supplement a prospectus pursuant to Article 23 of the UK Prospectus Regulation.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Each person in the UK who initially acquires any shares of common stock or to whom any offer is made will be deemed to have represented, acknowledged and agreed to and with the Company and the underwriter that it is a qualified investor within the meaning of the UK Prospectus Regulation.</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 has been obtained to each such proposed offer or resale.</w:t>
      </w:r>
    </w:p>
    <w:p>
      <w:pPr>
        <w:spacing w:after="0" w:line="11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1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w:t>
      </w:r>
    </w:p>
    <w:p>
      <w:pPr>
        <w:spacing w:after="0" w:line="16"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5" w:lineRule="auto"/>
        <w:rPr>
          <w:sz w:val="20"/>
          <w:szCs w:val="20"/>
          <w:color w:val="auto"/>
        </w:rPr>
      </w:pPr>
      <w:r>
        <w:rPr>
          <w:rFonts w:ascii="Times New Roman" w:cs="Times New Roman" w:eastAsia="Times New Roman" w:hAnsi="Times New Roman"/>
          <w:sz w:val="18"/>
          <w:szCs w:val="18"/>
          <w:color w:val="auto"/>
        </w:rPr>
        <w:t>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the shares of common stock may only be made to persons (the “Exempt</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1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19"/>
        <w:spacing w:after="0" w:line="266" w:lineRule="auto"/>
        <w:rPr>
          <w:sz w:val="20"/>
          <w:szCs w:val="20"/>
          <w:color w:val="auto"/>
        </w:rPr>
      </w:pPr>
      <w:r>
        <w:rPr>
          <w:rFonts w:ascii="Times New Roman" w:cs="Times New Roman" w:eastAsia="Times New Roman" w:hAnsi="Times New Roman"/>
          <w:sz w:val="18"/>
          <w:szCs w:val="18"/>
          <w:color w:val="auto"/>
        </w:rPr>
        <w:t>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6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7" w:lineRule="exact"/>
        <w:rPr>
          <w:sz w:val="20"/>
          <w:szCs w:val="20"/>
          <w:color w:val="auto"/>
        </w:rPr>
      </w:pPr>
    </w:p>
    <w:p>
      <w:pPr>
        <w:jc w:val="both"/>
        <w:ind w:left="1980" w:right="57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40"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45" w:lineRule="exact"/>
        <w:rPr>
          <w:sz w:val="20"/>
          <w:szCs w:val="20"/>
          <w:color w:val="auto"/>
        </w:rPr>
      </w:pPr>
    </w:p>
    <w:p>
      <w:pPr>
        <w:ind w:left="1980" w:right="59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4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0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9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shares of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of common stock must be made in accordance with an exemption from, or in a transaction not subject to, the prospectus requirements of applicable securities laws.</w:t>
      </w:r>
    </w:p>
    <w:p>
      <w:pPr>
        <w:spacing w:after="0" w:line="66"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5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 is not required to comply with the disclosure requirements of NI 33-105 regarding underwriter conflicts of interest in connection with this offering.</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 S. FEDERAL INCOME TAX CONSIDERATIONS FOR NON-U.S. HOLDERS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generally applicable to Non-U.S. Holders (as defined below) with respect to the ownership and disposition of shares of our common stock issued pursuant to this offering that are held by such Non-U.S. Holders as a capital asset (generally, property held for investment) within the meaning of the Internal Revenue Code of 1986, as amended</w:t>
      </w:r>
    </w:p>
    <w:p>
      <w:pPr>
        <w:spacing w:after="0" w:line="3"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(the “Code”). This summary is based on the Code, Treasury Regulations promulgated thereunder, judicial decisions, administrative rulings and published positions of the Internal Revenue Service (“IRS”) and other applicable authorities, in each case as in effect as of the date of this document and all of which are subject to change, possibly with retroactive effect. This summary is not binding on the IRS and there can be no assurance that the IRS or a court will agree with the conclusions stated herein. This summary is not a complete description of all of the U.S. federal income tax considerations that may be relevant to a particular Non-U.S. Holder. In addition, this summary does not address considerations relevant to Non-U.S. Holders subject to special rules, including, without limitation:</w:t>
      </w:r>
    </w:p>
    <w:p>
      <w:pPr>
        <w:spacing w:after="0" w:line="86"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hedge, conversion or other integrated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shares of our common stock as compensation or otherwise in connection with the performance of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3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or other pass-through entities.</w:t>
      </w:r>
    </w:p>
    <w:p>
      <w:pPr>
        <w:spacing w:after="0" w:line="81"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common stock, the U.S. federal income tax treatment of a partner in the partnership will generally depend on the status of the partner and the activities of the partnership. Partnerships, and partners of a partnership, holding shares of our common stock should consult their tax advisors regarding the U.S. federal income tax consequences to them of owning and disposing of shares of our common stock.</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addition, this summary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shares of our common stock.</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shares of our common stock that, for U.S. federal income tax purposes, is an individual, corporation, estate or trust that is not, and is not treated as, any of the following:</w:t>
      </w:r>
    </w:p>
    <w:p>
      <w:pPr>
        <w:spacing w:after="0" w:line="68"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court within the United States and for which one or more United States persons (as defined in Section 7701(a)(30) of the Code) have the authority to control all substantial decisions, or (ii) that has otherwise validly elected to be treated as a U.S. person under the applicable Treasury Regulations.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discussed in the section of this prospectus titled “Dividends,” we do not currently anticipate paying cash dividends on our common stock in the foreseeable future. However, if we do make distributions of cash or property (other than certain stock distributions) with respect to shares of our common stock (or if we engage in certain redemptions that are treated as distributions with respect to shares of our common stock), any such distributions will generally be treated as dividends to the extent paid from our current or accumulated earnings and profits, as determined under U.S. federal income tax principles. Amounts of such distributions in excess of our current and accumulated earnings and profits will be treated, first, as a return of capital and be applied against and reduce a Non-U.S. Holder’s adjusted tax basis in its shares of our common stock (but not below zero) and, thereafter, as capital gain, which is subject to the tax treatment described below under “— Sale or Other Taxable Disposition.”</w:t>
      </w:r>
    </w:p>
    <w:p>
      <w:pPr>
        <w:spacing w:after="0" w:line="12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with respect to shares of our common stock will be subject to U.S. federal withholding tax at a rate of thirty percent (30%) of the gross amount of the dividends (or such lower rate specified by an applicable income tax treaty, provided the Non-U.S. Holder furnishes a properly executed IRS Form W-8BEN or W-8BEN-E (or its successor form or other applicable documentation) certifying its qualification for such lower treaty rate). A Non-U.S. Holder that does not timely furnish the required documentation, but that qualifies for a reduced treaty rate, may obtain a refund of any excess amounts withheld by timely filing an appropriate claim for refund with the IRS.</w:t>
      </w:r>
    </w:p>
    <w:p>
      <w:pPr>
        <w:spacing w:after="0" w:line="3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No amounts in respect of U.S. federal withholding tax will generally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a properly executed IRS Form W-8ECI (or its successor form or other applicable documentation). Any such effectively connected dividends will generally be subject to U.S. federal income tax on a net income basis at the regular graduated rates that apply to U.S. persons. A Non-U.S. Holder that is treated as a corporation for U.S. federal income tax purposes receiving effectively connected dividends may also be subject to an additional “branch profits tax” imposed at a rate of</w:t>
      </w:r>
    </w:p>
    <w:p>
      <w:pPr>
        <w:spacing w:after="0" w:line="6" w:lineRule="exact"/>
        <w:rPr>
          <w:sz w:val="20"/>
          <w:szCs w:val="20"/>
          <w:color w:val="auto"/>
        </w:rPr>
      </w:pPr>
    </w:p>
    <w:p>
      <w:pPr>
        <w:ind w:left="1260" w:right="619"/>
        <w:spacing w:after="0" w:line="255" w:lineRule="auto"/>
        <w:rPr>
          <w:sz w:val="20"/>
          <w:szCs w:val="20"/>
          <w:color w:val="auto"/>
        </w:rPr>
      </w:pPr>
      <w:r>
        <w:rPr>
          <w:rFonts w:ascii="Times New Roman" w:cs="Times New Roman" w:eastAsia="Times New Roman" w:hAnsi="Times New Roman"/>
          <w:sz w:val="18"/>
          <w:szCs w:val="18"/>
          <w:color w:val="auto"/>
        </w:rPr>
        <w:t>thirty percent (30%) (or a lower rate specified by an applicable income tax treaty) on its effectively connected earnings and profits (subject to certain adjustments). Non-U.S. Holders should consult their tax advisors regarding their entitlement to benefits under any applicable income tax treaty.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shares of our common stock unless:</w:t>
      </w:r>
    </w:p>
    <w:p>
      <w:pPr>
        <w:spacing w:after="0" w:line="54" w:lineRule="exact"/>
        <w:rPr>
          <w:sz w:val="20"/>
          <w:szCs w:val="20"/>
          <w:color w:val="auto"/>
        </w:rPr>
      </w:pPr>
    </w:p>
    <w:p>
      <w:pPr>
        <w:ind w:left="1800" w:right="6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a trade or business of the Non-U.S. Holder in the United States (and, if required by an applicable income tax treaty, is attributable to a permanent establishment or fixed base maintained by the Non-U.S. Holder in the United States);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(“USRPHC”) for U.S. federal income tax purposes.</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Gain described in the first bullet point above will generally be subject to U.S. federal income tax on a net income basis at the regular graduated rates that apply to U.S. persons. A Non-U.S. Holder that is treated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as a corporation for U.S. federal income tax purposes may also be subject to an additional “branch profits tax” as discussed above under “— Distributions.”</w:t>
      </w:r>
    </w:p>
    <w:p>
      <w:pPr>
        <w:spacing w:after="0" w:line="94"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Gain recognized by a Non-U.S. Holder described in the second bullet point above will generally be subject to U.S. federal income tax at a rate of thirty percent (30%) (or a lower rate specified by an applicable income tax treaty), which may be offset by U.S.-source capital losses of the Non-U.S. Holder (even though such individual is not considered a resident of the United States), provided the Non-U.S. Holder has timely filed U.S. federal income tax returns with respect to such losses.</w:t>
      </w:r>
    </w:p>
    <w:p>
      <w:pPr>
        <w:spacing w:after="0" w:line="11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With respect to the third bullet point above, although there can be no assurance in this regard, we believe that we are not, and we do not anticipate becoming, a USRPHC for U.S. federal income tax purposes. Even if we are or were to become a USRPHC, gain arising from the sale or other taxable disposition by a Non-U.S. Holder of shares of our common stock will not be subject to U.S. federal income tax if our common stock is “regularly traded,” as defined by applicable Treasury Regulations, on an established securities market, and such Non-U.S. Holder owned, actually and constructively, five percent (5%) or less of our common stock throughout the shorter of the five-year period ending on the date of the sale or other taxable disposition or such Non-U.S. Holder’s holding period.</w:t>
      </w:r>
    </w:p>
    <w:p>
      <w:pPr>
        <w:spacing w:after="0" w:line="111"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their entitlement to benefits under any applicable income tax treaty.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thirty percent (30%) withholding rate may be imposed on dividends in respect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thirty percent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 We will not pay any amounts to holders in respect of any amounts withheld. Non-U.S. Holders should consult their tax advisors regarding the possible implications of this withholding tax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legality of the common stock offered hereby will be passed upon for us by Skadden, Arps, Slate, Meagher &amp; Flom LLP, Palo Alto, California. The underwriter has been represented by Simpson Thacher &amp; Bartlett LLP, Palo Alto, California.</w:t>
      </w:r>
    </w:p>
    <w:p>
      <w:pPr>
        <w:spacing w:after="0" w:line="1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9"/>
          <w:szCs w:val="29"/>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104140</wp:posOffset>
            </wp:positionV>
            <wp:extent cx="3540125"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Depositary Shares</w:t>
      </w:r>
    </w:p>
    <w:p>
      <w:pPr>
        <w:ind w:left="4680"/>
        <w:spacing w:after="0" w:line="233"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Subscription Rights</w:t>
      </w:r>
    </w:p>
    <w:p>
      <w:pPr>
        <w:ind w:left="4480"/>
        <w:spacing w:after="0" w:line="233" w:lineRule="auto"/>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90170</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 may offer, issue and sell, together or separately:</w:t>
      </w:r>
    </w:p>
    <w:p>
      <w:pPr>
        <w:spacing w:after="0" w:line="104" w:lineRule="exact"/>
        <w:rPr>
          <w:sz w:val="20"/>
          <w:szCs w:val="20"/>
          <w:color w:val="auto"/>
        </w:rPr>
      </w:pPr>
    </w:p>
    <w:p>
      <w:pPr>
        <w:ind w:left="1040" w:hanging="18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103"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which may be issued in one or more series;</w:t>
      </w:r>
    </w:p>
    <w:p>
      <w:pPr>
        <w:spacing w:after="0" w:line="90"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receipts, representing fractional shares of our preferred stock, which are called depositary shares;</w:t>
      </w:r>
    </w:p>
    <w:p>
      <w:pPr>
        <w:spacing w:after="0" w:line="103" w:lineRule="exact"/>
        <w:rPr>
          <w:rFonts w:ascii="Times New Roman" w:cs="Times New Roman" w:eastAsia="Times New Roman" w:hAnsi="Times New Roman"/>
          <w:sz w:val="18"/>
          <w:szCs w:val="18"/>
          <w:color w:val="auto"/>
        </w:rPr>
      </w:pPr>
    </w:p>
    <w:p>
      <w:pPr>
        <w:ind w:left="1040" w:right="140" w:hanging="188"/>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issued in one or more series and which may be senior debt securities or subordinated debt securities;</w:t>
      </w:r>
    </w:p>
    <w:p>
      <w:pPr>
        <w:spacing w:after="0" w:line="40"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shares of our preferred stock or our debt securities;</w:t>
      </w:r>
    </w:p>
    <w:p>
      <w:pPr>
        <w:spacing w:after="0" w:line="103"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our common stock, shares of our preferred stock or our debt securities;</w:t>
      </w:r>
    </w:p>
    <w:p>
      <w:pPr>
        <w:spacing w:after="0" w:line="103"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to purchase shares of our common stock, shares of our preferred stock or our debt securities; and</w:t>
      </w:r>
    </w:p>
    <w:p>
      <w:pPr>
        <w:spacing w:after="0" w:line="90" w:lineRule="exact"/>
        <w:rPr>
          <w:rFonts w:ascii="Times New Roman" w:cs="Times New Roman" w:eastAsia="Times New Roman" w:hAnsi="Times New Roman"/>
          <w:sz w:val="18"/>
          <w:szCs w:val="18"/>
          <w:color w:val="auto"/>
        </w:rPr>
      </w:pPr>
    </w:p>
    <w:p>
      <w:pPr>
        <w:ind w:left="1040" w:right="60" w:hanging="188"/>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w:t>
      </w:r>
    </w:p>
    <w:p>
      <w:pPr>
        <w:spacing w:after="0" w:line="55" w:lineRule="exact"/>
        <w:rPr>
          <w:sz w:val="20"/>
          <w:szCs w:val="20"/>
          <w:color w:val="auto"/>
        </w:rPr>
      </w:pPr>
    </w:p>
    <w:p>
      <w:pPr>
        <w:ind w:left="500" w:firstLine="360"/>
        <w:spacing w:after="0" w:line="266" w:lineRule="auto"/>
        <w:rPr>
          <w:sz w:val="20"/>
          <w:szCs w:val="20"/>
          <w:color w:val="auto"/>
        </w:rPr>
      </w:pPr>
      <w:r>
        <w:rPr>
          <w:rFonts w:ascii="Times New Roman" w:cs="Times New Roman" w:eastAsia="Times New Roman" w:hAnsi="Times New Roman"/>
          <w:sz w:val="18"/>
          <w:szCs w:val="18"/>
          <w:color w:val="auto"/>
        </w:rPr>
        <w:t>In addition, selling securityholders may offer and sell, from time to time, these securities on terms described in a prospectus supplement.</w:t>
      </w:r>
    </w:p>
    <w:p>
      <w:pPr>
        <w:spacing w:after="0" w:line="54" w:lineRule="exact"/>
        <w:rPr>
          <w:sz w:val="20"/>
          <w:szCs w:val="20"/>
          <w:color w:val="auto"/>
        </w:rPr>
      </w:pPr>
    </w:p>
    <w:p>
      <w:pPr>
        <w:ind w:left="500" w:right="100" w:firstLine="360"/>
        <w:spacing w:after="0"/>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The specific terms of any securities to be offered will be described in a prospectus supplement. The prospectus supplement may also add, update or change information contained in this prospectus. You should read this prospectus and the applicable prospectus supplement carefully before you make your investment decision.</w:t>
      </w:r>
    </w:p>
    <w:p>
      <w:pPr>
        <w:spacing w:after="0" w:line="63" w:lineRule="exact"/>
        <w:rPr>
          <w:sz w:val="20"/>
          <w:szCs w:val="20"/>
          <w:color w:val="auto"/>
        </w:rPr>
      </w:pPr>
    </w:p>
    <w:p>
      <w:pPr>
        <w:ind w:left="500" w:firstLine="360"/>
        <w:spacing w:after="0" w:line="266" w:lineRule="auto"/>
        <w:rPr>
          <w:sz w:val="20"/>
          <w:szCs w:val="20"/>
          <w:color w:val="auto"/>
        </w:rPr>
      </w:pPr>
      <w:r>
        <w:rPr>
          <w:rFonts w:ascii="Times New Roman" w:cs="Times New Roman" w:eastAsia="Times New Roman" w:hAnsi="Times New Roman"/>
          <w:sz w:val="18"/>
          <w:szCs w:val="18"/>
          <w:color w:val="auto"/>
        </w:rPr>
        <w:t>We and/or the selling securityholders may offer and sell these securities to or through one or more underwriters, dealers and agents, or directly to purchasers, on a continuous or delayed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63500</wp:posOffset>
            </wp:positionV>
            <wp:extent cx="1234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88265</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a number of risks. See “Risk Factors”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before you make your investment decision.</w:t>
      </w:r>
    </w:p>
    <w:p>
      <w:pPr>
        <w:spacing w:after="0" w:line="119" w:lineRule="exact"/>
        <w:rPr>
          <w:sz w:val="20"/>
          <w:szCs w:val="20"/>
          <w:color w:val="auto"/>
        </w:rPr>
      </w:pPr>
    </w:p>
    <w:p>
      <w:pPr>
        <w:ind w:left="500" w:right="160" w:firstLine="360"/>
        <w:spacing w:after="0"/>
        <w:rPr>
          <w:sz w:val="20"/>
          <w:szCs w:val="20"/>
          <w:color w:val="auto"/>
        </w:rPr>
      </w:pPr>
      <w:r>
        <w:rPr>
          <w:rFonts w:ascii="Times New Roman" w:cs="Times New Roman" w:eastAsia="Times New Roman" w:hAnsi="Times New Roman"/>
          <w:sz w:val="18"/>
          <w:szCs w:val="18"/>
          <w:color w:val="auto"/>
        </w:rPr>
        <w:t>We may offer securities through underwriting syndicates managed or co -managed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63" w:lineRule="exact"/>
        <w:rPr>
          <w:sz w:val="20"/>
          <w:szCs w:val="20"/>
          <w:color w:val="auto"/>
        </w:rPr>
      </w:pPr>
    </w:p>
    <w:p>
      <w:pPr>
        <w:ind w:left="500" w:right="680"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trading symbol “LCID.” Each prospectus supplement will indicate whether the securities offered thereby will be listed on any securities exchange.</w:t>
      </w:r>
    </w:p>
    <w:p>
      <w:pPr>
        <w:spacing w:after="0" w:line="50" w:lineRule="exact"/>
        <w:rPr>
          <w:sz w:val="20"/>
          <w:szCs w:val="20"/>
          <w:color w:val="auto"/>
        </w:rPr>
      </w:pPr>
    </w:p>
    <w:p>
      <w:pPr>
        <w:ind w:left="500" w:right="140"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74295</wp:posOffset>
            </wp:positionV>
            <wp:extent cx="1234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p>
      <w:pPr>
        <w:spacing w:after="0" w:line="38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b w:val="1"/>
          <w:bCs w:val="1"/>
          <w:color w:val="auto"/>
        </w:rPr>
        <w:t>The date of this prospectus is 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264795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FREQUENTLY USED TERMS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SUBSCRIPTION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PURCHASE CONTRACTS AND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and/or the selling securityholders may sell from time to time any combination of the securities described in this prospectus. This prospectus only provides you with a general description of the securities that we and/or the selling securityholders may offer. Each time we and/or the selling securityholders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2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32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94"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“Lucid,” the “Company,” “we,” “our” and “us” refer to Lucid Group, Inc. and its consolidated subsidiaries, unless otherwise specified or the context otherwise requires.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9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323" w:lineRule="exact"/>
        <w:rPr>
          <w:sz w:val="20"/>
          <w:szCs w:val="20"/>
          <w:color w:val="auto"/>
        </w:rPr>
      </w:pPr>
    </w:p>
    <w:p>
      <w:pPr>
        <w:ind w:left="1800" w:right="879" w:hanging="180"/>
        <w:spacing w:after="0" w:line="282" w:lineRule="auto"/>
        <w:tabs>
          <w:tab w:leader="none" w:pos="1800" w:val="left"/>
        </w:tabs>
        <w:numPr>
          <w:ilvl w:val="0"/>
          <w:numId w:val="24"/>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our Annual Report on Form 10-K for the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February 27, 2024 (the “Annual Report”);</w:t>
        </w:r>
      </w:hyperlink>
    </w:p>
    <w:p>
      <w:pPr>
        <w:spacing w:after="0" w:line="67" w:lineRule="exact"/>
        <w:rPr>
          <w:rFonts w:ascii="Times New Roman" w:cs="Times New Roman" w:eastAsia="Times New Roman" w:hAnsi="Times New Roman"/>
          <w:sz w:val="18"/>
          <w:szCs w:val="18"/>
          <w:u w:val="single" w:color="auto"/>
          <w:color w:val="0000EE"/>
        </w:rPr>
      </w:pPr>
    </w:p>
    <w:p>
      <w:pPr>
        <w:ind w:left="1800" w:right="539" w:hanging="180"/>
        <w:spacing w:after="0" w:line="266" w:lineRule="auto"/>
        <w:tabs>
          <w:tab w:leader="none" w:pos="180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w:t>
      </w:r>
      <w:hyperlink r:id="rId105">
        <w:r>
          <w:rPr>
            <w:rFonts w:ascii="Times New Roman" w:cs="Times New Roman" w:eastAsia="Times New Roman" w:hAnsi="Times New Roman"/>
            <w:sz w:val="18"/>
            <w:szCs w:val="18"/>
            <w:color w:val="auto"/>
          </w:rPr>
          <w:t xml:space="preserve">fiscal year ended December 31, 2023 from our </w:t>
        </w:r>
        <w:r>
          <w:rPr>
            <w:rFonts w:ascii="Times New Roman" w:cs="Times New Roman" w:eastAsia="Times New Roman" w:hAnsi="Times New Roman"/>
            <w:sz w:val="18"/>
            <w:szCs w:val="18"/>
            <w:u w:val="single" w:color="auto"/>
            <w:color w:val="0000EE"/>
          </w:rPr>
          <w:t>definitive proxy statement on Schedule 14A, filed</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EE"/>
          </w:rPr>
          <w:t>with the SEC on April 25, 2024</w:t>
        </w:r>
        <w:r>
          <w:rPr>
            <w:rFonts w:ascii="Times New Roman" w:cs="Times New Roman" w:eastAsia="Times New Roman" w:hAnsi="Times New Roman"/>
            <w:sz w:val="18"/>
            <w:szCs w:val="18"/>
            <w:color w:val="000000"/>
          </w:rPr>
          <w:t>;</w:t>
        </w:r>
      </w:hyperlink>
    </w:p>
    <w:p>
      <w:pPr>
        <w:spacing w:after="0" w:line="81"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and June 30, 2024, filed with the SEC on </w:t>
      </w:r>
      <w:hyperlink r:id="rId106">
        <w:r>
          <w:rPr>
            <w:rFonts w:ascii="Times New Roman" w:cs="Times New Roman" w:eastAsia="Times New Roman" w:hAnsi="Times New Roman"/>
            <w:sz w:val="18"/>
            <w:szCs w:val="18"/>
            <w:u w:val="single" w:color="auto"/>
            <w:color w:val="0000EE"/>
          </w:rPr>
          <w:t>May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7">
        <w:r>
          <w:rPr>
            <w:rFonts w:ascii="Times New Roman" w:cs="Times New Roman" w:eastAsia="Times New Roman" w:hAnsi="Times New Roman"/>
            <w:sz w:val="18"/>
            <w:szCs w:val="18"/>
            <w:u w:val="single" w:color="auto"/>
            <w:color w:val="0000EE"/>
          </w:rPr>
          <w:t>August 5, 2024</w:t>
        </w:r>
      </w:hyperlink>
      <w:r>
        <w:rPr>
          <w:rFonts w:ascii="Times New Roman" w:cs="Times New Roman" w:eastAsia="Times New Roman" w:hAnsi="Times New Roman"/>
          <w:sz w:val="18"/>
          <w:szCs w:val="18"/>
          <w:color w:val="auto"/>
        </w:rPr>
        <w:t>, respectively;</w:t>
      </w:r>
    </w:p>
    <w:p>
      <w:pPr>
        <w:spacing w:after="0" w:line="80" w:lineRule="exact"/>
        <w:rPr>
          <w:rFonts w:ascii="Times New Roman" w:cs="Times New Roman" w:eastAsia="Times New Roman" w:hAnsi="Times New Roman"/>
          <w:sz w:val="18"/>
          <w:szCs w:val="18"/>
          <w:color w:val="auto"/>
        </w:rPr>
      </w:pPr>
    </w:p>
    <w:p>
      <w:pPr>
        <w:ind w:left="1800" w:right="719" w:hanging="180"/>
        <w:spacing w:after="0" w:line="263" w:lineRule="auto"/>
        <w:tabs>
          <w:tab w:leader="none" w:pos="180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08">
        <w:r>
          <w:rPr>
            <w:rFonts w:ascii="Times New Roman" w:cs="Times New Roman" w:eastAsia="Times New Roman" w:hAnsi="Times New Roman"/>
            <w:sz w:val="18"/>
            <w:szCs w:val="18"/>
            <w:u w:val="single" w:color="auto"/>
            <w:color w:val="0000EE"/>
          </w:rPr>
          <w:t>January 26, 2024</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EE"/>
          </w:rPr>
          <w:t>February 15, 2024</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6,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5.02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24,</w:t>
        </w:r>
      </w:hyperlink>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2.05 therein),</w:t>
        </w:r>
        <w:r>
          <w:rPr>
            <w:rFonts w:ascii="Times New Roman" w:cs="Times New Roman" w:eastAsia="Times New Roman" w:hAnsi="Times New Roman"/>
            <w:sz w:val="18"/>
            <w:szCs w:val="18"/>
            <w:color w:val="0000EE"/>
          </w:rPr>
          <w:t xml:space="preserve"> </w:t>
        </w:r>
      </w:hyperlink>
      <w:hyperlink r:id="rId111">
        <w:r>
          <w:rPr>
            <w:rFonts w:ascii="Times New Roman" w:cs="Times New Roman" w:eastAsia="Times New Roman" w:hAnsi="Times New Roman"/>
            <w:sz w:val="18"/>
            <w:szCs w:val="18"/>
            <w:u w:val="single" w:color="auto"/>
            <w:color w:val="0000EE"/>
          </w:rPr>
          <w:t>June 6, 2024</w:t>
        </w:r>
      </w:hyperlink>
      <w:hyperlink r:id="rId11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 xml:space="preserve">August 5, 2024 </w:t>
        </w:r>
      </w:hyperlink>
      <w:hyperlink r:id="rId11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August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0000EE"/>
        </w:rPr>
      </w:pPr>
    </w:p>
    <w:p>
      <w:pPr>
        <w:spacing w:after="0" w:line="375" w:lineRule="exact"/>
        <w:rPr>
          <w:rFonts w:ascii="Times New Roman" w:cs="Times New Roman" w:eastAsia="Times New Roman" w:hAnsi="Times New Roman"/>
          <w:sz w:val="18"/>
          <w:szCs w:val="18"/>
          <w:color w:val="0000EE"/>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7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113">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 filed with the SEC on February 28, 2022, and any amendment or report filed for the purpose of updating such description.</w:t>
      </w:r>
    </w:p>
    <w:p>
      <w:pPr>
        <w:spacing w:after="0" w:line="10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335"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“AMP-1” are to our Advanced Manufacturing Plant-1 in Casa Grande, Arizona;</w:t>
      </w:r>
    </w:p>
    <w:p>
      <w:pPr>
        <w:spacing w:after="0" w:line="14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“AMP-2” are to our planned Advanced Manufacturing Plant-2 in Saudi Arabia, which consists of a semi knocked-down portion that has been completed and a completely-built-up portion that will be constructed;</w:t>
      </w:r>
    </w:p>
    <w:p>
      <w:pPr>
        <w:spacing w:after="0" w:line="10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“Ayar” are to Ayar Third Investment Company, an affiliate of PIF and the controlling stockholder of the Company;</w:t>
      </w:r>
    </w:p>
    <w:p>
      <w:pPr>
        <w:spacing w:after="0" w:line="94"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“Board” or “Board of Directors” are to the board of directors of Lucid Group Inc., a Delaware corporation;</w:t>
      </w:r>
    </w:p>
    <w:p>
      <w:pPr>
        <w:spacing w:after="0" w:line="8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08" w:lineRule="exact"/>
        <w:rPr>
          <w:sz w:val="20"/>
          <w:szCs w:val="20"/>
          <w:color w:val="auto"/>
        </w:rPr>
      </w:pPr>
    </w:p>
    <w:p>
      <w:pPr>
        <w:ind w:left="1620" w:right="619"/>
        <w:spacing w:after="0" w:line="414" w:lineRule="auto"/>
        <w:rPr>
          <w:sz w:val="20"/>
          <w:szCs w:val="20"/>
          <w:color w:val="auto"/>
        </w:rPr>
      </w:pPr>
      <w:r>
        <w:rPr>
          <w:rFonts w:ascii="Times New Roman" w:cs="Times New Roman" w:eastAsia="Times New Roman" w:hAnsi="Times New Roman"/>
          <w:sz w:val="18"/>
          <w:szCs w:val="18"/>
          <w:color w:val="auto"/>
        </w:rPr>
        <w:t>“Churchill IPO” are to the initial public offering by Churchill which closed on August 3, 2020; “common stock” are to the Class A common stock of Lucid Group, Inc., par value $0.0001 per share;</w:t>
      </w:r>
    </w:p>
    <w:p>
      <w:pPr>
        <w:spacing w:after="0" w:line="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“current bylaws” are to the Company’s Second Amended and Restated Bylaws in effect as of the date of this prospectus;</w:t>
      </w:r>
    </w:p>
    <w:p>
      <w:pPr>
        <w:spacing w:after="0" w:line="9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“current certificate of incorporation” are to the Company’s Third Amended and Restated Certificate of Incorporation in effect as of the date of this prospectus;</w:t>
      </w:r>
    </w:p>
    <w:p>
      <w:pPr>
        <w:spacing w:after="0" w:line="94" w:lineRule="exact"/>
        <w:rPr>
          <w:sz w:val="20"/>
          <w:szCs w:val="20"/>
          <w:color w:val="auto"/>
        </w:rPr>
      </w:pPr>
    </w:p>
    <w:p>
      <w:pPr>
        <w:ind w:left="1620" w:right="3079"/>
        <w:spacing w:after="0" w:line="414" w:lineRule="auto"/>
        <w:rPr>
          <w:sz w:val="20"/>
          <w:szCs w:val="20"/>
          <w:color w:val="auto"/>
        </w:rPr>
      </w:pPr>
      <w:r>
        <w:rPr>
          <w:rFonts w:ascii="Times New Roman" w:cs="Times New Roman" w:eastAsia="Times New Roman" w:hAnsi="Times New Roman"/>
          <w:sz w:val="18"/>
          <w:szCs w:val="18"/>
          <w:color w:val="auto"/>
        </w:rPr>
        <w:t>“DGCL” are to the Delaware General Corporation Law, as amended; “EV” are to electric vehicle;</w:t>
      </w:r>
    </w:p>
    <w:p>
      <w:pPr>
        <w:spacing w:after="0" w:line="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“Investor Rights Agreement” are to the Investor Rights Agreement, dated as of February 22, 2021 and as may be amended from time to time, by and among the Company, the Sponsor, Ayar and certain other parties thereto;</w:t>
      </w:r>
    </w:p>
    <w:p>
      <w:pPr>
        <w:spacing w:after="0" w:line="108"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“Legacy Lucid” are to Atieva, Inc., d/b/a Lucid Motors, an exempted company incorporated with limited liability under the laws of the Cayman Islands, and its consolidated subsidiaries before the Closing Date;</w:t>
      </w: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 are to the merger of a merger subsidiary of Churchill and Atieva, Inc., with Atieva,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surviving such merger as a wholly owned subsidiary of Churchill;</w:t>
      </w:r>
    </w:p>
    <w:p>
      <w:pPr>
        <w:spacing w:after="0" w:line="1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“Nasdaq” are to The Nasdaq Stock Market LLC;</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“PIF” are to the Public Investment Fund, the sovereign wealth fund of Saudi Arabia;</w:t>
      </w:r>
    </w:p>
    <w:p>
      <w:pPr>
        <w:spacing w:after="0" w:line="158"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“Redeemable Convertible Preferred Stock” are to the Series A and Series B Convertible Preferred Stock of Lucid Group, Inc., par value $0.0001 per share;</w:t>
      </w:r>
    </w:p>
    <w:p>
      <w:pPr>
        <w:spacing w:after="0" w:line="81"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“Sponsor” are to Churchill Sponsor IV LLC, a Delaware limited liability company and an affiliate of M. Klein and Company, LLC in which certain of Churchill’s directors and officers hold membership interests;</w:t>
      </w:r>
    </w:p>
    <w:p>
      <w:pPr>
        <w:spacing w:after="0" w:line="32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“Transactions” are to the Merger, together with the other transactions consummated under the Merger Agreement and the related agreements;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“Private Placement Warrants” are to Churchill’s warrants issued to the Sponsor in a private placement simultaneously with the closing of the Churchill IPO;</w:t>
      </w:r>
    </w:p>
    <w:p>
      <w:pPr>
        <w:spacing w:after="0" w:line="9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0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“Warrant Agreement” are to the Warrant Agreement, dated July 29, 2020, entered into in connection with the Churchill IPO by and between Continental Stock Transfer &amp; Trust Company and Churchill; and</w:t>
      </w:r>
    </w:p>
    <w:p>
      <w:pPr>
        <w:spacing w:after="0" w:line="8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“Working Capital Warrants” are to the Company’s warrants to purchase common stock pursuant to the terms of the Promissory Note, on terms identical to the terms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w:t>
      </w:r>
    </w:p>
    <w:p>
      <w:pPr>
        <w:spacing w:after="0" w:line="335"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301" w:lineRule="exact"/>
        <w:rPr>
          <w:sz w:val="20"/>
          <w:szCs w:val="20"/>
          <w:color w:val="auto"/>
        </w:rPr>
      </w:pPr>
    </w:p>
    <w:p>
      <w:pPr>
        <w:jc w:val="both"/>
        <w:ind w:left="1800" w:right="45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overall demand for our products and services and cancellation of orders for our vehicles;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our projected financial information;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expansion of our manufacturing facility, the construction of new manufacturing facilities and the increase of our production capacity;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issuance and sale of shares of our Redeemable Convertible 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 and control costs;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business;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 including our ability to realize the anticipated benefits of our transaction with Aston Martin;</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chief executive officer and executive team;</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expand our brand, and capture additional market share, and the risks associated with negative press or reputational harm;</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utilize zero emission vehicle credits and obtain and utilize certain tax and other incentives;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equity, equity-linked, or debt financing in the future;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principal on our indebtedness;</w:t>
      </w:r>
    </w:p>
    <w:p>
      <w:pPr>
        <w:spacing w:after="0" w:line="117"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pricing, and other expectations;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 and</w:t>
      </w:r>
    </w:p>
    <w:p>
      <w:pPr>
        <w:spacing w:after="0" w:line="53"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prospectus or our other filings with the SEC, including any accompanying prospectus supplement.</w:t>
      </w:r>
    </w:p>
    <w:p>
      <w:pPr>
        <w:spacing w:after="0" w:line="94"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spacing w:after="0" w:line="12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Lucid</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w:t>
      </w:r>
    </w:p>
    <w:p>
      <w:pPr>
        <w:spacing w:after="0" w:line="9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12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or any accompanying prospectus supplement, and you should not consider it a part of this prospectus or any accompanying prospectus supplement.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12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is a part. See “Where You Can Find More Information.” As used in this “Description of Capital Stock,” the terms “Lucid,” the “Company”, “we,” “our” and “us” refer to Lucid Group, Inc., a Delaware corporation, and do not, unless otherwise specified, include our subsidiaries.</w:t>
      </w:r>
    </w:p>
    <w:p>
      <w:pPr>
        <w:spacing w:after="0" w:line="32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authorized capital stock consists of 15,000,000,000 shares of common stock, par value $0.0001 per share, and 10,000,000 shares of preferred stock, par value $0.0001 per share (the “Preferred Stock”). The outstanding shares of common stock are duly authorized, validly issued, fully paid and non-assessable. The number of authorized shares of any class may be increased or decreased by an amendment to our current certificate of incorporation proposed by our Board and approved by a majority of voting shares voted on the issue at a meeting at which a quorum exists.</w:t>
      </w:r>
    </w:p>
    <w:p>
      <w:pPr>
        <w:spacing w:after="0" w:line="11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Of the Preferred Stock, we designated 100,000 shares as Series A Convertible Preferred Stock and 75,000 shares as Series B Convertible Preferred Stock (together, the “Redeemable Convertible Preferred Stock”).</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2024, there were (i) 2,337,518,542 shares of our common stock outstanding,</w:t>
      </w:r>
    </w:p>
    <w:p>
      <w:pPr>
        <w:spacing w:after="0" w:line="16" w:lineRule="exact"/>
        <w:rPr>
          <w:sz w:val="20"/>
          <w:szCs w:val="20"/>
          <w:color w:val="auto"/>
        </w:rPr>
      </w:pPr>
    </w:p>
    <w:p>
      <w:pPr>
        <w:ind w:left="1260" w:right="759"/>
        <w:spacing w:after="0" w:line="246" w:lineRule="auto"/>
        <w:tabs>
          <w:tab w:leader="none" w:pos="15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Series A Convertible Preferred Stock outstanding, (iii) 75,000 shares of Series B Convertible Preferred Stock outstanding, and (iv) 44,350,000 shares of common stock issuable upon the exercise of Private Placement Warrants (including the Working Capital Warrants).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the holders of our common stock will be entitled to receive all the remaining assets of the Company available</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spacing w:after="0" w:line="258" w:lineRule="auto"/>
        <w:rPr>
          <w:sz w:val="20"/>
          <w:szCs w:val="20"/>
          <w:color w:val="auto"/>
        </w:rPr>
      </w:pPr>
      <w:r>
        <w:rPr>
          <w:rFonts w:ascii="Times New Roman" w:cs="Times New Roman" w:eastAsia="Times New Roman" w:hAnsi="Times New Roman"/>
          <w:sz w:val="18"/>
          <w:szCs w:val="18"/>
          <w:color w:val="auto"/>
        </w:rPr>
        <w:t>for distribution to stockholders, ratably in proportion to the number of shares of common stock held by them, after the rights of creditors of the Company and the holders of any outstanding shares of preferred stock have been satisfied.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do not have preemptive or other subscription rights and there is no sinking fund or redemption provisions applicable to our common stock.</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current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current certificate of incorporation before deciding to buy shares of our preferred stock as described in any accompanying prospectus supplement.</w:t>
      </w:r>
    </w:p>
    <w:p>
      <w:pPr>
        <w:spacing w:after="0" w:line="33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current certificate of incorporation provides that shares of preferred stock may be issued from time to time in one or more series. With respect to each series of our preferred stock, our Board has the authority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 -takeover effects. The ability of the Board to issue preferred stock without stockholder approval could have the effect of delaying, deferring or preventing a change of control of us or the removal of existing management.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46"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Ranking and Dividend. </w:t>
      </w:r>
      <w:r>
        <w:rPr>
          <w:rFonts w:ascii="Times New Roman" w:cs="Times New Roman" w:eastAsia="Times New Roman" w:hAnsi="Times New Roman"/>
          <w:sz w:val="18"/>
          <w:szCs w:val="18"/>
          <w:color w:val="auto"/>
        </w:rPr>
        <w:t>The Redeemable Convertible Preferred Stock ranks senior to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respect to dividends and distributions of assets upon the Company’s liquidation, dissolution or winding up. Each share of the Redeemable Convertible Preferred Stock has an initial value of $10,000 (the “Initial Value”). Dividends on the Redeemable Convertible Preferred Stock is payable in the form of compounded dividends upon each share of Redeemable Convertible Preferred Stock (such payment in kind, “Compounded Returns”). Dividends accrue on the Initial Value (as increased for any Compounded Dividends previously compounded thereon) of each share of Redeemable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w:t>
      </w:r>
    </w:p>
    <w:p>
      <w:pPr>
        <w:spacing w:after="0" w:line="11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Upon a liquidation, dissolution or winding up of the Company, each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Redeemable Convertible Preferred Stock (“Holder”) is entitled to receive, with respect to each share of then -outstanding Redeemable Convertible Preferred Stock, out of the assets of the Company available for distribution to its stockholders (pari passu with the holders of any liquidation parity securities) an amount in cash equal to the greater of (a) an amount per share of Redeemable Convertible Preferred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Redeemable Convertible Preferred Stock based on its Accrued Value if all shares of Redeemable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share of Redeemable Convertible Preferred Stock is convertible,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w:t>
      </w:r>
    </w:p>
    <w:p>
      <w:pPr>
        <w:spacing w:after="0" w:line="32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Except as otherwise provided in the respective certificate of designations or by applicable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Redeemable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$3.120 for the Series B Convertible Preferred Stock.</w:t>
      </w:r>
    </w:p>
    <w:p>
      <w:pPr>
        <w:spacing w:after="0" w:line="3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each series of the Redeemable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w:t>
      </w:r>
    </w:p>
    <w:p>
      <w:pPr>
        <w:spacing w:after="0" w:line="10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Junior and Parity Securities. </w:t>
      </w:r>
      <w:r>
        <w:rPr>
          <w:rFonts w:ascii="Times New Roman" w:cs="Times New Roman" w:eastAsia="Times New Roman" w:hAnsi="Times New Roman"/>
          <w:sz w:val="18"/>
          <w:szCs w:val="18"/>
          <w:color w:val="auto"/>
        </w:rPr>
        <w:t>Subject to certain exceptions, unless all accumulated and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the Redeemable Convertible Preferred Stock for all preceding quarterly dividend payment periods have been declared upon all outstanding shares of Redeemable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Redeemable Convertible Preferred Stock and each such other class or series of dividend parity stock bear the same ratio</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61" w:lineRule="auto"/>
        <w:rPr>
          <w:sz w:val="20"/>
          <w:szCs w:val="20"/>
          <w:color w:val="auto"/>
        </w:rPr>
      </w:pPr>
      <w:r>
        <w:rPr>
          <w:rFonts w:ascii="Times New Roman" w:cs="Times New Roman" w:eastAsia="Times New Roman" w:hAnsi="Times New Roman"/>
          <w:sz w:val="18"/>
          <w:szCs w:val="18"/>
          <w:color w:val="auto"/>
        </w:rPr>
        <w:t>to each other as all accumulated and unpaid dividends per share of the Redeemable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Mandatory Conversion. </w:t>
      </w:r>
      <w:r>
        <w:rPr>
          <w:rFonts w:ascii="Times New Roman" w:cs="Times New Roman" w:eastAsia="Times New Roman" w:hAnsi="Times New Roman"/>
          <w:sz w:val="18"/>
          <w:szCs w:val="18"/>
          <w:color w:val="auto"/>
        </w:rPr>
        <w:t>On or after the third anniversary of the respective Initial Issue Date, if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w:t>
      </w:r>
    </w:p>
    <w:p>
      <w:pPr>
        <w:spacing w:after="0" w:line="5" w:lineRule="exact"/>
        <w:rPr>
          <w:sz w:val="20"/>
          <w:szCs w:val="20"/>
          <w:color w:val="auto"/>
        </w:rPr>
      </w:pPr>
    </w:p>
    <w:p>
      <w:pPr>
        <w:ind w:left="1260" w:right="479"/>
        <w:spacing w:after="0" w:line="252" w:lineRule="auto"/>
        <w:tabs>
          <w:tab w:leader="none" w:pos="16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period, to cause all or any portion of the Redeemable Convertible Preferred Stock to convert into common stock. The Company is required to pay an additional amount per share of Redeemable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336"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Fundamental Change. </w:t>
      </w:r>
      <w:r>
        <w:rPr>
          <w:rFonts w:ascii="Times New Roman" w:cs="Times New Roman" w:eastAsia="Times New Roman" w:hAnsi="Times New Roman"/>
          <w:sz w:val="18"/>
          <w:szCs w:val="18"/>
          <w:color w:val="auto"/>
        </w:rPr>
        <w:t>Upon a “fundamental change” (as​ defined in the respective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w:t>
      </w:r>
    </w:p>
    <w:p>
      <w:pPr>
        <w:spacing w:after="0" w:line="325"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Optional Redemption. </w:t>
      </w:r>
      <w:r>
        <w:rPr>
          <w:rFonts w:ascii="Times New Roman" w:cs="Times New Roman" w:eastAsia="Times New Roman" w:hAnsi="Times New Roman"/>
          <w:sz w:val="18"/>
          <w:szCs w:val="18"/>
          <w:color w:val="auto"/>
        </w:rPr>
        <w:t>On or after the fifth anniversary of the respective Initial Issue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redeem all or any portion of the respective series of the Redeemable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w:t>
      </w:r>
    </w:p>
    <w:p>
      <w:pPr>
        <w:spacing w:after="0" w:line="3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Nasdaq Rules. </w:t>
      </w:r>
      <w:r>
        <w:rPr>
          <w:rFonts w:ascii="Times New Roman" w:cs="Times New Roman" w:eastAsia="Times New Roman" w:hAnsi="Times New Roman"/>
          <w:sz w:val="18"/>
          <w:szCs w:val="18"/>
          <w:color w:val="auto"/>
        </w:rPr>
        <w:t>The number of shares of common stock deliverable upon conversion,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the Redeemable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Redeemable Convertible Preferred Stock. The Series A Convertible Preferred Stock is initially convertible into approximately 278.15 million shares of common stock and the Series B Convertible Preferred Stock is initially convertible into approximately 171.24 million shares of common stock.</w:t>
      </w:r>
    </w:p>
    <w:p>
      <w:pPr>
        <w:spacing w:after="0" w:line="117" w:lineRule="exact"/>
        <w:rPr>
          <w:sz w:val="20"/>
          <w:szCs w:val="20"/>
          <w:color w:val="auto"/>
        </w:rPr>
      </w:pPr>
    </w:p>
    <w:p>
      <w:pPr>
        <w:ind w:left="1260" w:right="7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Remedies for Nonpayment. </w:t>
      </w:r>
      <w:r>
        <w:rPr>
          <w:rFonts w:ascii="Times New Roman" w:cs="Times New Roman" w:eastAsia="Times New Roman" w:hAnsi="Times New Roman"/>
          <w:sz w:val="18"/>
          <w:szCs w:val="18"/>
          <w:color w:val="auto"/>
        </w:rPr>
        <w:t>The dividend rate described above will be increased to a rate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exceeding 15% per annum upon certain events of noncompliance relating to a failure by the Company to deliver consideration due in connection with a fundamental change or optional redemption.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 and Working Capital Warrants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14"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117"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increased by a stock dividend payable in shares of our common stock, or by a split -up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110"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Private Placement Warrants is adjusted, as described above, the warrant exercise price will be adjusted by multiplying</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0" w:lineRule="auto"/>
        <w:rPr>
          <w:sz w:val="20"/>
          <w:szCs w:val="20"/>
          <w:color w:val="auto"/>
        </w:rPr>
      </w:pPr>
      <w:r>
        <w:rPr>
          <w:rFonts w:ascii="Times New Roman" w:cs="Times New Roman" w:eastAsia="Times New Roman" w:hAnsi="Times New Roman"/>
          <w:sz w:val="18"/>
          <w:szCs w:val="18"/>
          <w:color w:val="auto"/>
        </w:rPr>
        <w:t>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11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 -5(b)(l)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 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200" w:lineRule="exact"/>
        <w:rPr>
          <w:sz w:val="20"/>
          <w:szCs w:val="20"/>
          <w:color w:val="auto"/>
        </w:rPr>
      </w:pPr>
    </w:p>
    <w:p>
      <w:pPr>
        <w:spacing w:after="0" w:line="36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of shares of our common stock upon exercise of the Private Placement Warrants, each holder will be entitled to one vote for each share held of record on all matters to be voted on by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3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59"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color w:val="auto"/>
        </w:rPr>
        <w:t>Effects of Our Current Certificate of Incorporation, Our Current Bylaws and Certain Provisions of Delaware Law</w:t>
      </w:r>
    </w:p>
    <w:p>
      <w:pPr>
        <w:spacing w:after="0" w:line="77" w:lineRule="exact"/>
        <w:rPr>
          <w:sz w:val="20"/>
          <w:szCs w:val="20"/>
          <w:color w:val="auto"/>
        </w:rPr>
      </w:pPr>
    </w:p>
    <w:p>
      <w:pPr>
        <w:ind w:left="1260" w:right="539" w:firstLine="360"/>
        <w:spacing w:after="0" w:line="233" w:lineRule="auto"/>
        <w:rPr>
          <w:sz w:val="20"/>
          <w:szCs w:val="20"/>
          <w:color w:val="auto"/>
        </w:rPr>
      </w:pPr>
      <w:r>
        <w:rPr>
          <w:rFonts w:ascii="Times New Roman" w:cs="Times New Roman" w:eastAsia="Times New Roman" w:hAnsi="Times New Roman"/>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07"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8" w:lineRule="exact"/>
        <w:rPr>
          <w:sz w:val="20"/>
          <w:szCs w:val="20"/>
          <w:color w:val="auto"/>
        </w:rPr>
      </w:pPr>
    </w:p>
    <w:p>
      <w:pPr>
        <w:ind w:left="1260" w:right="639" w:firstLine="360"/>
        <w:spacing w:after="0"/>
        <w:rPr>
          <w:sz w:val="20"/>
          <w:szCs w:val="20"/>
          <w:color w:val="auto"/>
        </w:rPr>
      </w:pPr>
      <w:r>
        <w:rPr>
          <w:rFonts w:ascii="Times New Roman" w:cs="Times New Roman" w:eastAsia="Times New Roman" w:hAnsi="Times New Roman"/>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7" w:lineRule="exact"/>
        <w:rPr>
          <w:sz w:val="20"/>
          <w:szCs w:val="20"/>
          <w:color w:val="auto"/>
        </w:rPr>
      </w:pPr>
    </w:p>
    <w:p>
      <w:pPr>
        <w:ind w:left="1800" w:right="10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4"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spacing w:after="0" w:line="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three years owned, 15% or more of the votes of our outstanding voting stock. For purposes of this provision, “voting stock” means any class or series of stock entitled to vote generally in the election of directors.</w:t>
      </w:r>
    </w:p>
    <w:p>
      <w:pPr>
        <w:spacing w:after="0" w:line="102"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62"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4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provisions in our current bylaws. However, it is possible that a court could find our forum selection provisions to be inapplicable or unenforceable.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325"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325"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1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Company’s current certificate of incorporation provides that we must indemnify and advance expenses to our directors and officers to the full extent authorized by the DGCL.</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32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maintains and expect to maintain standard policies of insurance that provide coverage</w:t>
      </w:r>
    </w:p>
    <w:p>
      <w:pPr>
        <w:spacing w:after="0" w:line="27" w:lineRule="exact"/>
        <w:rPr>
          <w:sz w:val="20"/>
          <w:szCs w:val="20"/>
          <w:color w:val="auto"/>
        </w:rPr>
      </w:pPr>
    </w:p>
    <w:p>
      <w:pPr>
        <w:ind w:left="1260" w:right="459"/>
        <w:spacing w:after="0" w:line="255" w:lineRule="auto"/>
        <w:tabs>
          <w:tab w:leader="none" w:pos="15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1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0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Company believes that these provisions, the insurance and the indemnity agreements are necessary to attract and retain talented and experienced officers and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“LCID.”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w:t>
      </w:r>
    </w:p>
    <w:p>
      <w:pPr>
        <w:spacing w:after="0" w:line="144"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62" w:lineRule="exact"/>
        <w:rPr>
          <w:sz w:val="20"/>
          <w:szCs w:val="20"/>
          <w:color w:val="auto"/>
        </w:rPr>
      </w:pPr>
    </w:p>
    <w:p>
      <w:pPr>
        <w:jc w:val="both"/>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1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Depositary Agreement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Except as may be provided otherwise in an accompanying prospectus supplement, upon surrender of depositary receipts at the principal office of the Bank Depositary, subject to the terms of the depositary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95"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326"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69" w:lineRule="exact"/>
        <w:rPr>
          <w:sz w:val="20"/>
          <w:szCs w:val="20"/>
          <w:color w:val="auto"/>
        </w:rPr>
      </w:pPr>
    </w:p>
    <w:p>
      <w:pPr>
        <w:ind w:left="1800" w:right="11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53"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14"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1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95"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 description of our outstanding warrants, see “Description of Capital Stock — Warrants.”</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06"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5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After warrants expire they will become void. The prospectus supplement may provide for the adjustment of the exercise price of the warrants.</w:t>
      </w:r>
    </w:p>
    <w:p>
      <w:pPr>
        <w:spacing w:after="0" w:line="9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99"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may offer will contain the specific terms of the subscription rights. These terms may include the following:</w:t>
      </w:r>
    </w:p>
    <w:p>
      <w:pPr>
        <w:spacing w:after="0" w:line="54"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share of common stock or preferred stock or debt securities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or preferred stock or debt securities upon the exercise of the subscription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8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12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securityholders may sell the securities being offered hereby in one or more of the following ways from time to time:</w:t>
      </w:r>
    </w:p>
    <w:p>
      <w:pPr>
        <w:spacing w:after="0" w:line="54"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1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262,446,931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1001395</wp:posOffset>
            </wp:positionV>
            <wp:extent cx="3540125" cy="231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975995</wp:posOffset>
            </wp:positionV>
            <wp:extent cx="12344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16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857250</wp:posOffset>
            </wp:positionV>
            <wp:extent cx="52120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Roman"/>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Roman"/>
      <w:start w:val="2"/>
    </w:lvl>
  </w:abstractNum>
  <w:abstractNum w:abstractNumId="28">
    <w:nsid w:val="22221A70"/>
    <w:multiLevelType w:val="hybridMultilevel"/>
    <w:lvl w:ilvl="0">
      <w:lvlJc w:val="left"/>
      <w:lvlText w:val="(%1)"/>
      <w:numFmt w:val="decimal"/>
      <w:start w:val="30"/>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jpe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12"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jpe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32" Type="http://schemas.openxmlformats.org/officeDocument/2006/relationships/hyperlink" Target="https://www.sec.gov/ix?doc=/Archives/edgar/data/1811210/000162828024007209/lcid-20231231.htm" TargetMode="External"/><Relationship Id="rId33" Type="http://schemas.openxmlformats.org/officeDocument/2006/relationships/hyperlink" Target="https://www.sec.gov/ix?doc=/Archives/edgar/data/1811210/000162828024020633/lcid-20240331.htm" TargetMode="External"/><Relationship Id="rId34" Type="http://schemas.openxmlformats.org/officeDocument/2006/relationships/hyperlink" Target="https://www.sec.gov/ix?doc=/Archives/edgar/data/1811210/000162828024034730/lcid-20240630.htm" TargetMode="External"/><Relationship Id="rId35" Type="http://schemas.openxmlformats.org/officeDocument/2006/relationships/hyperlink" Target="https://www.sec.gov/ix?doc=/Archives/edgar/data/1811210/000110465924051463/tm2333393d2_def14a.htm" TargetMode="External"/><Relationship Id="rId36" Type="http://schemas.openxmlformats.org/officeDocument/2006/relationships/hyperlink" Target="https://www.sec.gov/ix?doc=/Archives/edgar/data/1811210/000110465924007267/tm244182d1_8k.htm" TargetMode="External"/><Relationship Id="rId37" Type="http://schemas.openxmlformats.org/officeDocument/2006/relationships/hyperlink" Target="https://www.sec.gov/ix?doc=/Archives/edgar/data/1811210/000110465924024581/tm246312d1_8k.htm" TargetMode="External"/><Relationship Id="rId38" Type="http://schemas.openxmlformats.org/officeDocument/2006/relationships/hyperlink" Target="https://www.sec.gov/ix?doc=/Archives/edgar/data/1811210/000110465924064914/tm2415482d1_8k.htm" TargetMode="External"/><Relationship Id="rId39" Type="http://schemas.openxmlformats.org/officeDocument/2006/relationships/hyperlink" Target="https://www.sec.gov/ix?doc=/Archives/edgar/data/1811210/000110465924069080/tm2416547d1_8k.htm" TargetMode="External"/><Relationship Id="rId40" Type="http://schemas.openxmlformats.org/officeDocument/2006/relationships/hyperlink" Target="https://www.sec.gov/ix?doc=/Archives/edgar/data/1811210/000162828024034724/lcid-20240804.htm" TargetMode="External"/><Relationship Id="rId41" Type="http://schemas.openxmlformats.org/officeDocument/2006/relationships/hyperlink" Target="https://www.sec.gov/ix?doc=/Archives/edgar/data/1811210/000162828024037638/lcid-20240816.htm" TargetMode="External"/><Relationship Id="rId42" Type="http://schemas.openxmlformats.org/officeDocument/2006/relationships/hyperlink" Target="https://www.sec.gov/Archives/edgar/data/1811210/000110465921095277/tm2120294d8_8a12b.htm" TargetMode="External"/><Relationship Id="rId43" Type="http://schemas.openxmlformats.org/officeDocument/2006/relationships/hyperlink" Target="https://www.sec.gov/Archives/edgar/data/1811210/000162828022004253/exhibit46descriptionofsecu.htm" TargetMode="External"/><Relationship Id="rId104" Type="http://schemas.openxmlformats.org/officeDocument/2006/relationships/hyperlink" Target="http://www.sec.gov/ix?doc=/Archives/edgar/data/1811210/000162828024007209/lcid-20231231.htm" TargetMode="External"/><Relationship Id="rId105" Type="http://schemas.openxmlformats.org/officeDocument/2006/relationships/hyperlink" Target="http://www.sec.gov/ix?doc=/Archives/edgar/data/1811210/000110465924051463/tm2333393d2_def14a.htm" TargetMode="External"/><Relationship Id="rId106" Type="http://schemas.openxmlformats.org/officeDocument/2006/relationships/hyperlink" Target="http://www.sec.gov/ix?doc=/Archives/edgar/data/1811210/000162828024020633/lcid-20240331.htm" TargetMode="External"/><Relationship Id="rId107" Type="http://schemas.openxmlformats.org/officeDocument/2006/relationships/hyperlink" Target="http://www.sec.gov/ix?doc=/Archives/edgar/data/1811210/000162828024034730/lcid-20240630.htm" TargetMode="External"/><Relationship Id="rId108" Type="http://schemas.openxmlformats.org/officeDocument/2006/relationships/hyperlink" Target="http://www.sec.gov/ix?doc=/Archives/edgar/data/1811210/000110465924007267/tm244182d1_8k.htm" TargetMode="External"/><Relationship Id="rId109" Type="http://schemas.openxmlformats.org/officeDocument/2006/relationships/hyperlink" Target="http://www.sec.gov/ix?doc=/Archives/edgar/data/1811210/000110465924024581/tm246312d1_8k.htm" TargetMode="External"/><Relationship Id="rId110" Type="http://schemas.openxmlformats.org/officeDocument/2006/relationships/hyperlink" Target="http://www.sec.gov/ix?doc=/Archives/edgar/data/1811210/000110465924064914/tm2415482d1_8k.htm" TargetMode="External"/><Relationship Id="rId111" Type="http://schemas.openxmlformats.org/officeDocument/2006/relationships/hyperlink" Target="http://www.sec.gov/ix?doc=/Archives/edgar/data/1811210/000110465924069080/tm2416547d1_8k.htm" TargetMode="External"/><Relationship Id="rId113" Type="http://schemas.openxmlformats.org/officeDocument/2006/relationships/hyperlink" Target="http://www.sec.gov/Archives/edgar/data/1811210/000162828022004253/exhibit46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2024-10-16T16:23:16Z</dcterms:created>
  <dcterms:modified xsi:type="dcterms:W3CDTF">2024-10-16T16:23:16Z</dcterms:modified>
</cp:coreProperties>
</file>