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VIA EDGAR</w:t>
            </w: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53"/>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2024</w:t>
            </w:r>
          </w:p>
        </w:tc>
        <w:tc>
          <w:tcPr>
            <w:tcW w:w="1280" w:type="dxa"/>
            <w:vAlign w:val="bottom"/>
          </w:tcPr>
          <w:p>
            <w:pPr>
              <w:spacing w:after="0"/>
              <w:rPr>
                <w:sz w:val="24"/>
                <w:szCs w:val="24"/>
                <w:color w:val="auto"/>
              </w:rPr>
            </w:pPr>
          </w:p>
        </w:tc>
      </w:tr>
      <w:tr>
        <w:trPr>
          <w:trHeight w:val="41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Stephany Yang</w:t>
            </w:r>
          </w:p>
        </w:tc>
      </w:tr>
      <w:tr>
        <w:trPr>
          <w:trHeight w:val="234"/>
        </w:trPr>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Melissa Gilmore</w:t>
            </w:r>
          </w:p>
        </w:tc>
      </w:tr>
    </w:tbl>
    <w:p>
      <w:pPr>
        <w:spacing w:after="0" w:line="1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2417445" cy="334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17445" cy="3346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Re:</w:t>
        <w:tab/>
        <w:t>Lucid Group, Inc.</w:t>
      </w:r>
    </w:p>
    <w:p>
      <w:pPr>
        <w:spacing w:after="0" w:line="2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Form 10-K for the Fiscal Year Ended December 31, 2023</w:t>
      </w:r>
    </w:p>
    <w:p>
      <w:pPr>
        <w:spacing w:after="0" w:line="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Filed February 27, 2024</w:t>
      </w:r>
    </w:p>
    <w:p>
      <w:pPr>
        <w:spacing w:after="0" w:line="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File No. 001-39408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Yang and Ms. Gilmore:</w:t>
      </w:r>
    </w:p>
    <w:p>
      <w:pPr>
        <w:spacing w:after="0" w:line="225"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Lucid Group, Inc. (the “Company,” or “we,” “our” or “us”) is writing this letter in response to the comment letter of the Staff of the Securities and Exchange Commission (the “Staff” or the “SEC”) dated April 19, 2024 relating to the Company’s Form 10-K for the year ended December 31, 2023 (the “2023 Form 10-K”).</w:t>
      </w:r>
    </w:p>
    <w:p>
      <w:pPr>
        <w:spacing w:after="0" w:line="17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your convenience, we have reproduced the Staff’s comments preceding our responses below. All references to page numbers in our responses are to the pages of the 2023 Form 10-K as applicable. Please let us know if you have any questions or if we can provide additional information or otherwise be of assistance in expediting the review process.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256"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 Cost of Revenue, page 77</w:t>
      </w:r>
    </w:p>
    <w:p>
      <w:pPr>
        <w:spacing w:after="0" w:line="225" w:lineRule="exact"/>
        <w:rPr>
          <w:sz w:val="20"/>
          <w:szCs w:val="20"/>
          <w:color w:val="auto"/>
        </w:rPr>
      </w:pPr>
    </w:p>
    <w:p>
      <w:pPr>
        <w:ind w:left="660" w:right="100" w:hanging="652"/>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tell us and expand your disclosures to provide additional insight for the increase in inventory and firm purchase commitments write-downs in 2023. Additionally, expand your critical accounting policy disclosures to identify the material assumptions you used in determining the allowance for excess or obsolete inventory, including more details of how you develop certain assumptions such as current and future demand forecasts.</w:t>
      </w:r>
    </w:p>
    <w:p>
      <w:pPr>
        <w:spacing w:after="0" w:line="17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color w:val="auto"/>
        </w:rPr>
        <w:t>: We respectfully advise the Staff that the increase of $357.4 million from $569.5 million in the year ended December 31, 2022 to $926.9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year ended December 31, 2023 in inventory write-downs and losses from firm purchase commitments, is primarily due to a decrease in estimated average selling prices, an increase in overall inventory balances, and inventory obsolescence. The decrease in estimated average selling prices in 2023 compared to 2022 was primarily driven by expected changes in product mix and higher discounts and incentives.</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future filings, beginning with our Quarterly Report on Form 10-Q for the quarter ended March 31, 2024, we will expand our disclosure by including information regarding movements in the inventory write-downs and losses from firm purchase commitments for the comparative periods in the Management's Discussion and Analysis of Financial Condition and Results of Operations Cost of Revenue section.</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Additionally, we advise the Staff that we will expand our critical accounting policy disclosures, beginning with our Quarterly Report on Form 10-Q for the quarter ended March 31, 2024, to reflect the following steps we take in determining write-downs for excess or obsolete inventory and to identify the material assumptions used as follows: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periodically review and record write-downs for excess or obsolete inventories based upon assumptions about current and future demand forecasts, considering shelf-life and technological obsolescence of certain inventories. Our current and future demand forecasts are based on our historical sales, market share performance, macroeconomic factors and trends in quantities or prices of orders for our products. We evaluate whether raw materials are approaching the end of their shelf-lives or becoming technologically obsolete, and the likelihood that we will be able to use the raw materials in production.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2 - Summary of Significant Accounting Policies Segment Reporting, page 98</w:t>
      </w:r>
    </w:p>
    <w:p>
      <w:pPr>
        <w:spacing w:after="0" w:line="225" w:lineRule="exact"/>
        <w:rPr>
          <w:sz w:val="20"/>
          <w:szCs w:val="20"/>
          <w:color w:val="auto"/>
        </w:rPr>
      </w:pPr>
    </w:p>
    <w:p>
      <w:pPr>
        <w:ind w:left="660" w:right="40" w:hanging="652"/>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disclose revenues from external customers attributed to your country of domicile and attributed to all foreign countries in total from which you derive revenues in future filings. In addition, disclose long-lived assets located in your country of domicile and located in all foreign countries in total in which you hold assets. Also disclose the amount of revenues from external customers attributed to and the amount of long-lived assets in an individual foreign country, if material. Refer to ASC 280-10-50-41.</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color w:val="auto"/>
        </w:rPr>
        <w:t>: We acknowledge the Staff’s comment and respectfully advise the Staff that for the year ended December 31, 2023, entity wide disclosures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ASC 280-10-50-41 for revenues from external customers attributed to, and the amount of long-lived assets in an individual foreign country were not disclosed because such amounts were not material. In future filings, beginning with our Annual Report on Form 10-K for the year ended December 31, 2024 (the “2024 Form 10-K”), we will disclose (1) revenues from external customers attributed to our country of domicile and attributed to all foreign countries in total from which we derive revenues, (2) long-lived assets located in our country of domicile and located in all foreign countries in total in which we hold assets. We will also disclose the amount of revenues from external customers attributed to and the amount of long-lived assets in an individual foreign country, if it becomes material in future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 page 101</w:t>
      </w:r>
    </w:p>
    <w:p>
      <w:pPr>
        <w:spacing w:after="0" w:line="225" w:lineRule="exact"/>
        <w:rPr>
          <w:sz w:val="20"/>
          <w:szCs w:val="20"/>
          <w:color w:val="auto"/>
        </w:rPr>
      </w:pPr>
    </w:p>
    <w:p>
      <w:pPr>
        <w:ind w:left="660" w:right="100" w:hanging="652"/>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tell us whether the revenue recognition policies disclosed for vehicle sales without Residual Value Guarantee apply to vehicles sales under the EV Purchase Agreement. If different, please disclose in future filings the revenue recognition policies applied to vehicle sales under the EV Purchase Agreement.</w:t>
      </w:r>
    </w:p>
    <w:p>
      <w:pPr>
        <w:spacing w:after="0" w:line="172"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color w:val="auto"/>
        </w:rPr>
        <w:t>: We respectfully advise the Staff that the revenue recognition policies disclosed for vehicle sales without Residual Value Guarantee apply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vehicles sales under the EV Purchase Agreement. In future filing, beginning with our Quarterly Report on Form 10-Q for the quarter ended March 31, 2024, we will disclose that the revenue recognition policies for vehicle sales without Residual Value Guarantee apply to vehicles sales under the EV Purchase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20 - Related Party Transactions, page 129</w:t>
      </w:r>
    </w:p>
    <w:p>
      <w:pPr>
        <w:spacing w:after="0" w:line="225" w:lineRule="exact"/>
        <w:rPr>
          <w:sz w:val="20"/>
          <w:szCs w:val="20"/>
          <w:color w:val="auto"/>
        </w:rPr>
      </w:pPr>
    </w:p>
    <w:p>
      <w:pPr>
        <w:ind w:left="660" w:right="12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note you disclosed various related party transactions. Please identify on the face of your consolidated balance sheets, consolidated statements of operations and comprehensive loss, and consolidated statements of cash flows the amounts of all related party transactions and balances in future filings pursuant to Rule 4-08(k) of Regulations S- X.</w:t>
      </w:r>
    </w:p>
    <w:p>
      <w:pPr>
        <w:spacing w:after="0" w:line="17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color w:val="auto"/>
        </w:rPr>
        <w:t>: We acknowledge the Staff’s comment and in future filings, beginning with our Quarterly Report on Form 10-Q for the quarter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we will identify on the face of our condensed consolidated balance sheets, condensed consolidated statements of operations and comprehensive loss, and condensed consolidated statements of cash flows the amounts of all material related party transactions and balances pursuant to Rule 4-08(k) of Regulation S-X.</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While Rule 4-08(k) of Regulation S-X does not have a concept of materiality, we do not believe that the inclusion of immaterial related party amounts on the face of our condensed consolidated balance sheets, condensed consolidated statements of operations and comprehensive loss, and condensed consolidated statements of cash flows would enhance the usefulness of our financial statements and therefore such amounts will be excluded, consistent with Rule 4-02 of Regulation S-X.</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auto"/>
        </w:rPr>
        <w:t>Set forth below for the Staff’s consideration is a draft of the Company’s proposed presentation and disclosure.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right="580" w:hanging="323"/>
        <w:spacing w:after="0" w:line="250" w:lineRule="auto"/>
        <w:rPr>
          <w:sz w:val="20"/>
          <w:szCs w:val="20"/>
          <w:color w:val="auto"/>
        </w:rPr>
      </w:pPr>
      <w:r>
        <w:rPr>
          <w:rFonts w:ascii="Times New Roman" w:cs="Times New Roman" w:eastAsia="Times New Roman" w:hAnsi="Times New Roman"/>
          <w:sz w:val="18"/>
          <w:szCs w:val="18"/>
          <w:color w:val="auto"/>
        </w:rPr>
        <w:t>Accounts receivable, net (including $</w:t>
      </w:r>
      <w:r>
        <w:rPr>
          <w:sz w:val="20"/>
          <w:szCs w:val="20"/>
          <w:color w:val="auto"/>
        </w:rPr>
        <w:t xml:space="preserve"> </w:t>
      </w:r>
      <w:r>
        <w:rPr>
          <w:rFonts w:ascii="Times New Roman" w:cs="Times New Roman" w:eastAsia="Times New Roman" w:hAnsi="Times New Roman"/>
          <w:sz w:val="18"/>
          <w:szCs w:val="18"/>
          <w:color w:val="auto"/>
        </w:rPr>
        <w:t>and $35,526 from a related party as of March 31, 2024 and December 31, 2023, respectively)</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equity securities of a related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2277745</wp:posOffset>
            </wp:positionV>
            <wp:extent cx="788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1403350</wp:posOffset>
            </wp:positionV>
            <wp:extent cx="7886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0" w:lineRule="exact"/>
        <w:rPr>
          <w:sz w:val="20"/>
          <w:szCs w:val="20"/>
          <w:color w:val="auto"/>
        </w:rPr>
      </w:pPr>
    </w:p>
    <w:p>
      <w:pPr>
        <w:spacing w:after="0" w:line="236" w:lineRule="exact"/>
        <w:rPr>
          <w:sz w:val="20"/>
          <w:szCs w:val="20"/>
          <w:color w:val="auto"/>
        </w:rPr>
      </w:pPr>
    </w:p>
    <w:p>
      <w:pPr>
        <w:ind w:left="520" w:hanging="51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1,369,947</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2,489,798</w:t>
      </w:r>
    </w:p>
    <w:p>
      <w:pPr>
        <w:spacing w:after="0" w:line="20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51,822</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696,236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69,682</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79,670</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4,757,155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797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2,810,867</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221,508</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461,029</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180,626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81,533</w:t>
      </w:r>
    </w:p>
    <w:p>
      <w:pPr>
        <w:spacing w:after="0" w:line="27" w:lineRule="exact"/>
        <w:rPr>
          <w:sz w:val="20"/>
          <w:szCs w:val="20"/>
          <w:color w:val="auto"/>
        </w:rPr>
      </w:pPr>
    </w:p>
    <w:p>
      <w:pPr>
        <w:ind w:left="520" w:hanging="517"/>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8,512,718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7797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960" w:space="720"/>
            <w:col w:w="780" w:space="440"/>
            <w:col w:w="1340"/>
          </w:cols>
          <w:pgMar w:left="320" w:top="904" w:right="339" w:bottom="144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Accounts payable</w:t>
            </w:r>
          </w:p>
        </w:tc>
        <w:tc>
          <w:tcPr>
            <w:tcW w:w="32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108,724</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3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92,494</w:t>
            </w:r>
          </w:p>
        </w:tc>
      </w:tr>
      <w:tr>
        <w:trPr>
          <w:trHeight w:val="216"/>
        </w:trPr>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liabilities, current portion</w:t>
            </w:r>
          </w:p>
        </w:tc>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8,202</w:t>
            </w:r>
          </w:p>
        </w:tc>
        <w:tc>
          <w:tcPr>
            <w:tcW w:w="80" w:type="dxa"/>
            <w:vAlign w:val="bottom"/>
            <w:shd w:val="clear" w:color="auto" w:fill="CCEEFF"/>
          </w:tcPr>
          <w:p>
            <w:pPr>
              <w:spacing w:after="0"/>
              <w:rPr>
                <w:sz w:val="18"/>
                <w:szCs w:val="18"/>
                <w:color w:val="auto"/>
              </w:rPr>
            </w:pPr>
          </w:p>
        </w:tc>
      </w:tr>
      <w:tr>
        <w:trPr>
          <w:trHeight w:val="198"/>
        </w:trPr>
        <w:tc>
          <w:tcPr>
            <w:tcW w:w="9900" w:type="dxa"/>
            <w:vAlign w:val="bottom"/>
            <w:gridSpan w:val="5"/>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current liabilities (including $   and $92,258 associated with related parties as of March 31, 2024 and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46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37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798,990</w:t>
            </w:r>
          </w:p>
        </w:tc>
        <w:tc>
          <w:tcPr>
            <w:tcW w:w="80" w:type="dxa"/>
            <w:vAlign w:val="bottom"/>
          </w:tcPr>
          <w:p>
            <w:pPr>
              <w:spacing w:after="0"/>
              <w:rPr>
                <w:sz w:val="21"/>
                <w:szCs w:val="21"/>
                <w:color w:val="auto"/>
              </w:rPr>
            </w:pPr>
          </w:p>
        </w:tc>
      </w:tr>
      <w:tr>
        <w:trPr>
          <w:trHeight w:val="210"/>
        </w:trPr>
        <w:tc>
          <w:tcPr>
            <w:tcW w:w="466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7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3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77,653</w:t>
            </w: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 liability</w:t>
            </w:r>
          </w:p>
        </w:tc>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53,664</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2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1,996,960</w:t>
            </w:r>
          </w:p>
        </w:tc>
        <w:tc>
          <w:tcPr>
            <w:tcW w:w="80" w:type="dxa"/>
            <w:vAlign w:val="bottom"/>
          </w:tcPr>
          <w:p>
            <w:pPr>
              <w:spacing w:after="0"/>
              <w:rPr>
                <w:sz w:val="18"/>
                <w:szCs w:val="18"/>
                <w:color w:val="auto"/>
              </w:rPr>
            </w:pPr>
          </w:p>
        </w:tc>
      </w:tr>
      <w:tr>
        <w:trPr>
          <w:trHeight w:val="198"/>
        </w:trPr>
        <w:tc>
          <w:tcPr>
            <w:tcW w:w="990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long-term liabilities (including $   and $178,311 associated with related parties as of March 31, 2024 and</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37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524,339</w:t>
            </w:r>
          </w:p>
        </w:tc>
        <w:tc>
          <w:tcPr>
            <w:tcW w:w="80" w:type="dxa"/>
            <w:vAlign w:val="bottom"/>
            <w:shd w:val="clear" w:color="auto" w:fill="CCEEFF"/>
          </w:tcPr>
          <w:p>
            <w:pPr>
              <w:spacing w:after="0"/>
              <w:rPr>
                <w:sz w:val="21"/>
                <w:szCs w:val="21"/>
                <w:color w:val="auto"/>
              </w:rPr>
            </w:pPr>
          </w:p>
        </w:tc>
      </w:tr>
      <w:tr>
        <w:trPr>
          <w:trHeight w:val="210"/>
        </w:trPr>
        <w:tc>
          <w:tcPr>
            <w:tcW w:w="46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37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3,661,026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60" w:type="dxa"/>
            <w:vAlign w:val="bottom"/>
            <w:gridSpan w:val="2"/>
          </w:tcPr>
          <w:p>
            <w:pPr>
              <w:spacing w:after="0"/>
              <w:rPr>
                <w:sz w:val="18"/>
                <w:szCs w:val="18"/>
                <w:color w:val="auto"/>
              </w:rPr>
            </w:pPr>
          </w:p>
        </w:tc>
        <w:tc>
          <w:tcPr>
            <w:tcW w:w="3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99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$0.0001; 15,000,000,000 shares authorized as of March 31, 2024 and December 31,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and 2,300,111,489 shares issued and</w:t>
            </w:r>
          </w:p>
        </w:tc>
        <w:tc>
          <w:tcPr>
            <w:tcW w:w="5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2,299,253,664 shares outstanding as of</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March 31, 2024 and December 31, 2023, respectively</w:t>
            </w:r>
          </w:p>
        </w:tc>
        <w:tc>
          <w:tcPr>
            <w:tcW w:w="3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15,066,080</w:t>
            </w:r>
          </w:p>
        </w:tc>
      </w:tr>
      <w:tr>
        <w:trPr>
          <w:trHeight w:val="216"/>
        </w:trPr>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Treasury stock, at cost, 857,825 shares at March 31, 2024 and December 31, 2023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(20,716)</w:t>
            </w: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4,850</w:t>
            </w:r>
          </w:p>
        </w:tc>
        <w:tc>
          <w:tcPr>
            <w:tcW w:w="80" w:type="dxa"/>
            <w:vAlign w:val="bottom"/>
            <w:shd w:val="clear" w:color="auto" w:fill="CCEEFF"/>
          </w:tcPr>
          <w:p>
            <w:pPr>
              <w:spacing w:after="0"/>
              <w:rPr>
                <w:sz w:val="18"/>
                <w:szCs w:val="18"/>
                <w:color w:val="auto"/>
              </w:rPr>
            </w:pPr>
          </w:p>
        </w:tc>
      </w:tr>
      <w:tr>
        <w:trPr>
          <w:trHeight w:val="23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(10,198,752)</w:t>
            </w:r>
          </w:p>
        </w:tc>
      </w:tr>
      <w:tr>
        <w:trPr>
          <w:trHeight w:val="209"/>
        </w:trPr>
        <w:tc>
          <w:tcPr>
            <w:tcW w:w="466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7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4,851,692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7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8,512,718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800" w:type="dxa"/>
            <w:vAlign w:val="bottom"/>
            <w:gridSpan w:val="6"/>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9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5"/>
          </w:tcPr>
          <w:p>
            <w:pPr>
              <w:jc w:val="right"/>
              <w:ind w:right="981"/>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23"/>
        </w:trPr>
        <w:tc>
          <w:tcPr>
            <w:tcW w:w="196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178"/>
        </w:trPr>
        <w:tc>
          <w:tcPr>
            <w:tcW w:w="19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Revenue (including $</w:t>
            </w:r>
          </w:p>
        </w:tc>
        <w:tc>
          <w:tcPr>
            <w:tcW w:w="64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and $0 revenue from a related party for three months ended March 31, 2024 and 2023,</w:t>
            </w: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1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6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149,432</w:t>
            </w:r>
          </w:p>
        </w:tc>
      </w:tr>
      <w:tr>
        <w:trPr>
          <w:trHeight w:val="216"/>
        </w:trPr>
        <w:tc>
          <w:tcPr>
            <w:tcW w:w="19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6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6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500,524</w:t>
            </w:r>
          </w:p>
        </w:tc>
      </w:tr>
      <w:tr>
        <w:trPr>
          <w:trHeight w:val="216"/>
        </w:trPr>
        <w:tc>
          <w:tcPr>
            <w:tcW w:w="9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229,803</w:t>
            </w:r>
          </w:p>
        </w:tc>
      </w:tr>
      <w:tr>
        <w:trPr>
          <w:trHeight w:val="216"/>
        </w:trPr>
        <w:tc>
          <w:tcPr>
            <w:tcW w:w="9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168,770</w:t>
            </w:r>
          </w:p>
        </w:tc>
      </w:tr>
      <w:tr>
        <w:trPr>
          <w:trHeight w:val="229"/>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6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22,496</w:t>
            </w:r>
          </w:p>
        </w:tc>
      </w:tr>
      <w:tr>
        <w:trPr>
          <w:trHeight w:val="210"/>
        </w:trPr>
        <w:tc>
          <w:tcPr>
            <w:tcW w:w="84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cost and expenses</w:t>
            </w:r>
          </w:p>
        </w:tc>
        <w:tc>
          <w:tcPr>
            <w:tcW w:w="8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921,593</w:t>
            </w:r>
          </w:p>
        </w:tc>
        <w:tc>
          <w:tcPr>
            <w:tcW w:w="100" w:type="dxa"/>
            <w:vAlign w:val="bottom"/>
            <w:tcBorders>
              <w:bottom w:val="single" w:sz="8" w:color="CCEEFF"/>
            </w:tcBorders>
          </w:tcPr>
          <w:p>
            <w:pPr>
              <w:spacing w:after="0"/>
              <w:rPr>
                <w:sz w:val="18"/>
                <w:szCs w:val="18"/>
                <w:color w:val="auto"/>
              </w:rPr>
            </w:pPr>
          </w:p>
        </w:tc>
      </w:tr>
      <w:tr>
        <w:trPr>
          <w:trHeight w:val="209"/>
        </w:trPr>
        <w:tc>
          <w:tcPr>
            <w:tcW w:w="1960" w:type="dxa"/>
            <w:vAlign w:val="bottom"/>
            <w:shd w:val="clear" w:color="auto" w:fill="CCEEFF"/>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(772,161)</w:t>
            </w:r>
          </w:p>
        </w:tc>
      </w:tr>
      <w:tr>
        <w:trPr>
          <w:trHeight w:val="216"/>
        </w:trPr>
        <w:tc>
          <w:tcPr>
            <w:tcW w:w="8440" w:type="dxa"/>
            <w:vAlign w:val="bottom"/>
            <w:gridSpan w:val="2"/>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common stock warrant liability</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(40,802)</w:t>
            </w:r>
          </w:p>
        </w:tc>
      </w:tr>
      <w:tr>
        <w:trPr>
          <w:trHeight w:val="216"/>
        </w:trPr>
        <w:tc>
          <w:tcPr>
            <w:tcW w:w="9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Change in fair value of equity securities of a related party</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6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40,005</w:t>
            </w:r>
          </w:p>
        </w:tc>
      </w:tr>
      <w:tr>
        <w:trPr>
          <w:trHeight w:val="216"/>
        </w:trPr>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6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(7,108)</w:t>
            </w:r>
          </w:p>
        </w:tc>
      </w:tr>
      <w:tr>
        <w:trPr>
          <w:trHeight w:val="230"/>
        </w:trPr>
        <w:tc>
          <w:tcPr>
            <w:tcW w:w="9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667</w:t>
            </w:r>
          </w:p>
        </w:tc>
      </w:tr>
      <w:tr>
        <w:trPr>
          <w:trHeight w:val="209"/>
        </w:trPr>
        <w:tc>
          <w:tcPr>
            <w:tcW w:w="84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(779,399)</w:t>
            </w:r>
          </w:p>
        </w:tc>
        <w:tc>
          <w:tcPr>
            <w:tcW w:w="100" w:type="dxa"/>
            <w:vAlign w:val="bottom"/>
            <w:shd w:val="clear" w:color="auto" w:fill="CCEEFF"/>
          </w:tcPr>
          <w:p>
            <w:pPr>
              <w:spacing w:after="0"/>
              <w:rPr>
                <w:sz w:val="18"/>
                <w:szCs w:val="18"/>
                <w:color w:val="auto"/>
              </w:rPr>
            </w:pPr>
          </w:p>
        </w:tc>
      </w:tr>
      <w:tr>
        <w:trPr>
          <w:trHeight w:val="23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8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 basic and diluted</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440" w:type="dxa"/>
            <w:vAlign w:val="bottom"/>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96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attributable to common stockholders, basic and diluted</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1,831,725,009</w:t>
            </w:r>
          </w:p>
        </w:tc>
      </w:tr>
      <w:tr>
        <w:trPr>
          <w:trHeight w:val="216"/>
        </w:trPr>
        <w:tc>
          <w:tcPr>
            <w:tcW w:w="844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16"/>
        </w:trPr>
        <w:tc>
          <w:tcPr>
            <w:tcW w:w="844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unrealized gains (losses) on investments, net of tax</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4,035</w:t>
            </w:r>
          </w:p>
        </w:tc>
      </w:tr>
      <w:tr>
        <w:trPr>
          <w:trHeight w:val="230"/>
        </w:trPr>
        <w:tc>
          <w:tcPr>
            <w:tcW w:w="9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100" w:type="dxa"/>
            <w:vAlign w:val="bottom"/>
            <w:tcBorders>
              <w:bottom w:val="single" w:sz="8" w:color="CCEEFF"/>
            </w:tcBorders>
          </w:tcPr>
          <w:p>
            <w:pPr>
              <w:spacing w:after="0"/>
              <w:rPr>
                <w:sz w:val="18"/>
                <w:szCs w:val="18"/>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64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800" w:type="dxa"/>
            <w:vAlign w:val="bottom"/>
            <w:gridSpan w:val="6"/>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28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88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39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5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(779,528)</w:t>
            </w:r>
          </w:p>
        </w:tc>
      </w:tr>
      <w:tr>
        <w:trPr>
          <w:trHeight w:val="216"/>
        </w:trPr>
        <w:tc>
          <w:tcPr>
            <w:tcW w:w="9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49,838</w:t>
            </w: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insurance premium</w:t>
            </w:r>
          </w:p>
        </w:tc>
        <w:tc>
          <w:tcPr>
            <w:tcW w:w="15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10,263</w:t>
            </w: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1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5,830</w:t>
            </w: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53,819</w:t>
            </w:r>
          </w:p>
        </w:tc>
      </w:tr>
      <w:tr>
        <w:trPr>
          <w:trHeight w:val="216"/>
        </w:trPr>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 and firm purchase commitments write-downs</w:t>
            </w:r>
          </w:p>
        </w:tc>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227,048</w:t>
            </w:r>
          </w:p>
        </w:tc>
      </w:tr>
      <w:tr>
        <w:trPr>
          <w:trHeight w:val="216"/>
        </w:trPr>
        <w:tc>
          <w:tcPr>
            <w:tcW w:w="4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common stock warrant liability</w:t>
            </w:r>
          </w:p>
        </w:tc>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40,802</w:t>
            </w:r>
          </w:p>
        </w:tc>
      </w:tr>
      <w:tr>
        <w:trPr>
          <w:trHeight w:val="216"/>
        </w:trPr>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accretion of investment discounts/premiums</w:t>
            </w:r>
          </w:p>
        </w:tc>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(21,395)</w:t>
            </w:r>
          </w:p>
        </w:tc>
      </w:tr>
      <w:tr>
        <w:trPr>
          <w:trHeight w:val="216"/>
        </w:trPr>
        <w:tc>
          <w:tcPr>
            <w:tcW w:w="4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equity securities of a related party</w:t>
            </w:r>
          </w:p>
        </w:tc>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non-cash items</w:t>
            </w:r>
          </w:p>
        </w:tc>
        <w:tc>
          <w:tcPr>
            <w:tcW w:w="1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2,345</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(including $</w:t>
            </w:r>
          </w:p>
        </w:tc>
        <w:tc>
          <w:tcPr>
            <w:tcW w:w="6440" w:type="dxa"/>
            <w:vAlign w:val="bottom"/>
            <w:gridSpan w:val="3"/>
          </w:tcPr>
          <w:p>
            <w:pPr>
              <w:jc w:val="right"/>
              <w:ind w:right="1210"/>
              <w:spacing w:after="0" w:line="198" w:lineRule="exact"/>
              <w:rPr>
                <w:sz w:val="20"/>
                <w:szCs w:val="20"/>
                <w:color w:val="auto"/>
              </w:rPr>
            </w:pPr>
            <w:r>
              <w:rPr>
                <w:rFonts w:ascii="Times New Roman" w:cs="Times New Roman" w:eastAsia="Times New Roman" w:hAnsi="Times New Roman"/>
                <w:sz w:val="18"/>
                <w:szCs w:val="18"/>
                <w:color w:val="auto"/>
              </w:rPr>
              <w:t>and $0 from a related party for the three months ended March 31, 2024</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2023, respectively)</w:t>
            </w:r>
          </w:p>
        </w:tc>
        <w:tc>
          <w:tcPr>
            <w:tcW w:w="15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17,009</w:t>
            </w: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5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(354,154)</w:t>
            </w: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(9,082)</w:t>
            </w: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5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22,193</w:t>
            </w: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(27,337)</w:t>
            </w: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5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(66,174)</w:t>
            </w: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21,545</w:t>
            </w: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1,374</w:t>
            </w:r>
          </w:p>
        </w:tc>
      </w:tr>
      <w:tr>
        <w:trPr>
          <w:trHeight w:val="230"/>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4,340</w:t>
            </w:r>
          </w:p>
        </w:tc>
      </w:tr>
      <w:tr>
        <w:trPr>
          <w:trHeight w:val="209"/>
        </w:trPr>
        <w:tc>
          <w:tcPr>
            <w:tcW w:w="446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9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(801,264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4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Purchases of property, plant and equipment (including $</w:t>
            </w:r>
          </w:p>
        </w:tc>
        <w:tc>
          <w:tcPr>
            <w:tcW w:w="4860" w:type="dxa"/>
            <w:vAlign w:val="bottom"/>
            <w:gridSpan w:val="2"/>
            <w:shd w:val="clear" w:color="auto" w:fill="CCEEFF"/>
          </w:tcPr>
          <w:p>
            <w:pPr>
              <w:jc w:val="right"/>
              <w:ind w:right="1210"/>
              <w:spacing w:after="0" w:line="198" w:lineRule="exact"/>
              <w:rPr>
                <w:sz w:val="20"/>
                <w:szCs w:val="20"/>
                <w:color w:val="auto"/>
              </w:rPr>
            </w:pPr>
            <w:r>
              <w:rPr>
                <w:rFonts w:ascii="Times New Roman" w:cs="Times New Roman" w:eastAsia="Times New Roman" w:hAnsi="Times New Roman"/>
                <w:sz w:val="18"/>
                <w:szCs w:val="18"/>
                <w:color w:val="auto"/>
              </w:rPr>
              <w:t>and $(20,421) from a related party for the three</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months ended March 31, 2024 and 2023, respectively)</w:t>
            </w:r>
          </w:p>
        </w:tc>
        <w:tc>
          <w:tcPr>
            <w:tcW w:w="39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(241,770)</w:t>
            </w: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(842,538)</w:t>
            </w:r>
          </w:p>
        </w:tc>
      </w:tr>
      <w:tr>
        <w:trPr>
          <w:trHeight w:val="216"/>
        </w:trPr>
        <w:tc>
          <w:tcPr>
            <w:tcW w:w="4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1,041,151</w:t>
            </w: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1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13,244</w:t>
            </w:r>
          </w:p>
        </w:tc>
      </w:tr>
      <w:tr>
        <w:trPr>
          <w:trHeight w:val="230"/>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5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1,197</w:t>
            </w:r>
          </w:p>
        </w:tc>
      </w:tr>
      <w:tr>
        <w:trPr>
          <w:trHeight w:val="210"/>
        </w:trPr>
        <w:tc>
          <w:tcPr>
            <w:tcW w:w="446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9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5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for finance lease liabilities</w:t>
            </w:r>
          </w:p>
        </w:tc>
        <w:tc>
          <w:tcPr>
            <w:tcW w:w="1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16"/>
        </w:trPr>
        <w:tc>
          <w:tcPr>
            <w:tcW w:w="4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2,181</w:t>
            </w:r>
          </w:p>
        </w:tc>
      </w:tr>
      <w:tr>
        <w:trPr>
          <w:trHeight w:val="230"/>
        </w:trPr>
        <w:tc>
          <w:tcPr>
            <w:tcW w:w="9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Tax withholding payments for net settlement of employee awards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(6,499)</w:t>
            </w:r>
          </w:p>
        </w:tc>
      </w:tr>
      <w:tr>
        <w:trPr>
          <w:trHeight w:val="210"/>
        </w:trPr>
        <w:tc>
          <w:tcPr>
            <w:tcW w:w="446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9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(835,725)</w:t>
            </w:r>
          </w:p>
        </w:tc>
        <w:tc>
          <w:tcPr>
            <w:tcW w:w="100" w:type="dxa"/>
            <w:vAlign w:val="bottom"/>
          </w:tcPr>
          <w:p>
            <w:pPr>
              <w:spacing w:after="0"/>
              <w:rPr>
                <w:sz w:val="18"/>
                <w:szCs w:val="18"/>
                <w:color w:val="auto"/>
              </w:rPr>
            </w:pPr>
          </w:p>
        </w:tc>
      </w:tr>
      <w:tr>
        <w:trPr>
          <w:trHeight w:val="23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cash equivalents, and restricted cash</w:t>
            </w:r>
          </w:p>
        </w:tc>
        <w:tc>
          <w:tcPr>
            <w:tcW w:w="39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1,737,320</w:t>
            </w:r>
          </w:p>
        </w:tc>
      </w:tr>
      <w:tr>
        <w:trPr>
          <w:trHeight w:val="263"/>
        </w:trPr>
        <w:tc>
          <w:tcPr>
            <w:tcW w:w="4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Ending cash, cash equivalents, and restricted cash</w:t>
            </w:r>
          </w:p>
        </w:tc>
        <w:tc>
          <w:tcPr>
            <w:tcW w:w="39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901,595</w:t>
            </w:r>
          </w:p>
        </w:tc>
        <w:tc>
          <w:tcPr>
            <w:tcW w:w="100" w:type="dxa"/>
            <w:vAlign w:val="bottom"/>
            <w:tcBorders>
              <w:bottom w:val="single" w:sz="8" w:color="CCEEFF"/>
            </w:tcBorders>
          </w:tcPr>
          <w:p>
            <w:pPr>
              <w:spacing w:after="0"/>
              <w:rPr>
                <w:sz w:val="22"/>
                <w:szCs w:val="22"/>
                <w:color w:val="auto"/>
              </w:rPr>
            </w:pPr>
          </w:p>
        </w:tc>
      </w:tr>
      <w:tr>
        <w:trPr>
          <w:trHeight w:val="197"/>
        </w:trPr>
        <w:tc>
          <w:tcPr>
            <w:tcW w:w="28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857</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1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932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Increases (decreases) in purchases of property, plant and equipment included in accounts payable and other current</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5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(19,812)</w:t>
            </w:r>
          </w:p>
        </w:tc>
      </w:tr>
      <w:tr>
        <w:trPr>
          <w:trHeight w:val="216"/>
        </w:trPr>
        <w:tc>
          <w:tcPr>
            <w:tcW w:w="9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and right-of-use assets obtained through leases</w:t>
            </w:r>
          </w:p>
        </w:tc>
        <w:tc>
          <w:tcPr>
            <w:tcW w:w="9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3,862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In connection with our response to the Staff’s comments, we acknowledge that the Company and its management are responsible for the accuracy and adequacy of its disclosures, notwithstanding any review, comments, action or absence of action by the Staff.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do not hesitate to contact me at </w:t>
      </w:r>
      <w:r>
        <w:rPr>
          <w:rFonts w:ascii="Times New Roman" w:cs="Times New Roman" w:eastAsia="Times New Roman" w:hAnsi="Times New Roman"/>
          <w:sz w:val="18"/>
          <w:szCs w:val="18"/>
          <w:u w:val="single" w:color="auto"/>
          <w:color w:val="auto"/>
        </w:rPr>
        <w:t>GaganDhingra@lucidmotors.com</w:t>
      </w:r>
      <w:r>
        <w:rPr>
          <w:rFonts w:ascii="Times New Roman" w:cs="Times New Roman" w:eastAsia="Times New Roman" w:hAnsi="Times New Roman"/>
          <w:sz w:val="18"/>
          <w:szCs w:val="18"/>
          <w:color w:val="auto"/>
        </w:rPr>
        <w:t xml:space="preserve"> with any questions you may have with respect to the foregoing.</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Gagan Dhingra</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Interim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2024-06-04T23:08:50Z</dcterms:created>
  <dcterms:modified xsi:type="dcterms:W3CDTF">2024-06-04T23:08:50Z</dcterms:modified>
</cp:coreProperties>
</file>