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60" w:after="283"/>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10-K</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to             </w:t>
            </w:r>
          </w:p>
        </w:tc>
      </w:tr>
    </w:tbl>
    <w:p>
      <w:pPr>
        <w:pStyle w:val="TextBody"/>
        <w:bidi w:val="0"/>
        <w:spacing w:lineRule="auto" w:line="288" w:before="100" w:after="283"/>
        <w:jc w:val="center"/>
        <w:rPr/>
      </w:pPr>
      <w:r>
        <w:rPr>
          <w:rFonts w:ascii="Times New Roman;sans-serif" w:hAnsi="Times New Roman;sans-serif"/>
          <w:b/>
          <w:color w:val="000000"/>
          <w:sz w:val="20"/>
        </w:rPr>
        <w:t>Commission File Number:</w:t>
      </w:r>
      <w:r>
        <w:rPr>
          <w:color w:val="000000"/>
        </w:rPr>
        <w:t xml:space="preserve"> </w:t>
      </w:r>
      <w:r>
        <w:rPr>
          <w:rFonts w:ascii="Times New Roman;sans-serif" w:hAnsi="Times New Roman;sans-serif"/>
          <w:b/>
          <w:color w:val="000000"/>
          <w:sz w:val="20"/>
        </w:rPr>
        <w:t>001-39408</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7004" w:type="dxa"/>
        <w:jc w:val="left"/>
        <w:tblInd w:w="0" w:type="dxa"/>
        <w:tblLayout w:type="fixed"/>
        <w:tblCellMar>
          <w:top w:w="28" w:type="dxa"/>
          <w:left w:w="28" w:type="dxa"/>
          <w:bottom w:w="28" w:type="dxa"/>
          <w:right w:w="28" w:type="dxa"/>
        </w:tblCellMar>
      </w:tblPr>
      <w:tblGrid>
        <w:gridCol w:w="1568"/>
        <w:gridCol w:w="1375"/>
        <w:gridCol w:w="1391"/>
        <w:gridCol w:w="780"/>
        <w:gridCol w:w="780"/>
        <w:gridCol w:w="1110"/>
      </w:tblGrid>
      <w:tr>
        <w:trPr/>
        <w:tc>
          <w:tcPr>
            <w:tcW w:w="15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(I.R.S. Employer Identification No.)</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7373 Gateway Boulevard, Newark, CA 94560</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9284" w:type="dxa"/>
        <w:jc w:val="left"/>
        <w:tblInd w:w="0" w:type="dxa"/>
        <w:tblLayout w:type="fixed"/>
        <w:tblCellMar>
          <w:top w:w="28" w:type="dxa"/>
          <w:left w:w="28" w:type="dxa"/>
          <w:bottom w:w="28" w:type="dxa"/>
          <w:right w:w="28" w:type="dxa"/>
        </w:tblCellMar>
      </w:tblPr>
      <w:tblGrid>
        <w:gridCol w:w="1371"/>
        <w:gridCol w:w="1205"/>
        <w:gridCol w:w="1219"/>
        <w:gridCol w:w="554"/>
        <w:gridCol w:w="554"/>
        <w:gridCol w:w="556"/>
        <w:gridCol w:w="1118"/>
        <w:gridCol w:w="1118"/>
        <w:gridCol w:w="1589"/>
      </w:tblGrid>
      <w:tr>
        <w:trPr/>
        <w:tc>
          <w:tcPr>
            <w:tcW w:w="137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LCID</w:t>
            </w:r>
          </w:p>
        </w:tc>
        <w:tc>
          <w:tcPr>
            <w:tcW w:w="382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100" w:after="283"/>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bidi w:val="0"/>
        <w:spacing w:lineRule="auto" w:line="288" w:before="100" w:after="283"/>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No</w:t>
      </w:r>
    </w:p>
    <w:p>
      <w:pPr>
        <w:pStyle w:val="TextBody"/>
        <w:bidi w:val="0"/>
        <w:spacing w:lineRule="auto" w:line="288" w:before="100" w:after="283"/>
        <w:jc w:val="both"/>
        <w:rPr/>
      </w:pPr>
      <w:r>
        <w:rPr>
          <w:rFonts w:ascii="Times New Roman;sans-serif" w:hAnsi="Times New Roman;sans-serif"/>
          <w:b w:val="false"/>
          <w:color w:val="000000"/>
          <w:sz w:val="16"/>
        </w:rPr>
        <w:t xml:space="preserve">Indicate by check mark if the registrant is not required to file reports pursuant to Section 13 or Section 15(d) of the Act.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No</w:t>
      </w:r>
    </w:p>
    <w:p>
      <w:pPr>
        <w:pStyle w:val="TextBody"/>
        <w:bidi w:val="0"/>
        <w:spacing w:lineRule="auto" w:line="288" w:before="100" w:after="283"/>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6"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15"/>
        <w:gridCol w:w="115"/>
        <w:gridCol w:w="116"/>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46"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r>
              <w:rPr>
                <w:rFonts w:ascii="Wingdings;sans-serif" w:hAnsi="Wingdings;sans-serif"/>
                <w:b w:val="false"/>
                <w:color w:val="000000"/>
                <w:sz w:val="16"/>
              </w:rPr>
              <w:t>o</w:t>
            </w:r>
          </w:p>
        </w:tc>
      </w:tr>
    </w:tbl>
    <w:p>
      <w:pPr>
        <w:pStyle w:val="TextBody"/>
        <w:bidi w:val="0"/>
        <w:spacing w:lineRule="auto" w:line="288" w:before="100" w:after="283"/>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00" w:after="283"/>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p>
    <w:p>
      <w:pPr>
        <w:pStyle w:val="TextBody"/>
        <w:bidi w:val="0"/>
        <w:spacing w:lineRule="auto" w:line="288" w:before="100" w:after="283"/>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r>
        <w:rPr>
          <w:color w:val="000000"/>
        </w:rPr>
        <w:t xml:space="preserve"> </w:t>
      </w:r>
    </w:p>
    <w:p>
      <w:pPr>
        <w:pStyle w:val="TextBody"/>
        <w:bidi w:val="0"/>
        <w:spacing w:lineRule="auto" w:line="288" w:before="100" w:after="283"/>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r>
        <w:rPr>
          <w:color w:val="000000"/>
        </w:rPr>
        <w:t xml:space="preserve"> </w:t>
      </w:r>
    </w:p>
    <w:p>
      <w:pPr>
        <w:pStyle w:val="TextBody"/>
        <w:bidi w:val="0"/>
        <w:spacing w:lineRule="auto" w:line="288" w:before="100" w:after="283"/>
        <w:jc w:val="both"/>
        <w:rPr/>
      </w:pPr>
      <w:r>
        <w:rPr>
          <w:rFonts w:ascii="Times New Roman;sans-serif" w:hAnsi="Times New Roman;sans-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stock held by non-affiliates of the registrant, as of June 30, 2023 (the last business day of registrant’s second quarter of fiscal year 2023), was $6.1 billion based upon the last sale price reported for such date on the Nasdaq Stock Market LLC.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Number of shares of the registrant’s common stock outstanding at February 21, 2024: 2,300,047,548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center"/>
        <w:rPr/>
      </w:pPr>
      <w:r>
        <w:rPr/>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Certain portions of the registrant’s definitive proxy statement for its annual meeting of stockholders (the “Proxy Statement”), to be filed with the Securities and Exchange Commission within 120 days after December 31, 2023, are incorporated by reference into Part III of this Annual Report on Form 10-K (this “Annual Report”). Except with respect to information specifically incorporated by reference in this Annual Report, the Proxy Statement shall not be deemed to be filed as part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INDEX TO ANNUAL REPORT ON FORM 10-K</w:t>
      </w:r>
    </w:p>
    <w:tbl>
      <w:tblPr>
        <w:tblW w:w="10205" w:type="dxa"/>
        <w:jc w:val="left"/>
        <w:tblInd w:w="0" w:type="dxa"/>
        <w:tblLayout w:type="fixed"/>
        <w:tblCellMar>
          <w:top w:w="28" w:type="dxa"/>
          <w:left w:w="28" w:type="dxa"/>
          <w:bottom w:w="28" w:type="dxa"/>
          <w:right w:w="28" w:type="dxa"/>
        </w:tblCellMar>
      </w:tblPr>
      <w:tblGrid>
        <w:gridCol w:w="628"/>
        <w:gridCol w:w="508"/>
        <w:gridCol w:w="410"/>
        <w:gridCol w:w="2667"/>
        <w:gridCol w:w="2501"/>
        <w:gridCol w:w="2481"/>
        <w:gridCol w:w="294"/>
        <w:gridCol w:w="294"/>
        <w:gridCol w:w="422"/>
      </w:tblGrid>
      <w:tr>
        <w:trPr/>
        <w:tc>
          <w:tcPr>
            <w:tcW w:w="62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 10-K ITEM</w:t>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br/>
              <w:t>NUMBER</w:t>
            </w:r>
          </w:p>
        </w:tc>
      </w:tr>
      <w:tr>
        <w:trPr/>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6">
              <w:r>
                <w:rPr>
                  <w:rStyle w:val="InternetLink"/>
                  <w:rFonts w:ascii="Times New Roman;sans-serif" w:hAnsi="Times New Roman;sans-serif"/>
                  <w:b w:val="false"/>
                  <w:color w:val="0000FF"/>
                  <w:sz w:val="20"/>
                  <w:u w:val="single"/>
                </w:rPr>
                <w:t>PART I</w:t>
              </w:r>
            </w:hyperlink>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6">
              <w:r>
                <w:rPr>
                  <w:rStyle w:val="InternetLink"/>
                  <w:rFonts w:ascii="Times New Roman;sans-serif" w:hAnsi="Times New Roman;sans-serif"/>
                  <w:b w:val="false"/>
                  <w:strike w:val="false"/>
                  <w:dstrike w:val="false"/>
                  <w:color w:val="000000"/>
                  <w:sz w:val="20"/>
                  <w:u w:val="none"/>
                  <w:effect w:val="none"/>
                </w:rPr>
                <w:t>ITEM 1.</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9">
              <w:r>
                <w:rPr>
                  <w:rStyle w:val="InternetLink"/>
                  <w:rFonts w:ascii="Times New Roman;sans-serif" w:hAnsi="Times New Roman;sans-serif"/>
                  <w:b w:val="false"/>
                  <w:color w:val="0000FF"/>
                  <w:sz w:val="20"/>
                  <w:u w:val="single"/>
                </w:rPr>
                <w:t>BUSINESS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19">
              <w:r>
                <w:rPr>
                  <w:rStyle w:val="InternetLink"/>
                  <w:rFonts w:ascii="Times New Roman;sans-serif" w:hAnsi="Times New Roman;sans-serif"/>
                  <w:b w:val="false"/>
                  <w:strike w:val="false"/>
                  <w:dstrike w:val="false"/>
                  <w:color w:val="000000"/>
                  <w:sz w:val="20"/>
                  <w:u w:val="none"/>
                  <w:effect w:val="none"/>
                </w:rPr>
                <w:t>6</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3">
              <w:r>
                <w:rPr>
                  <w:rStyle w:val="InternetLink"/>
                  <w:rFonts w:ascii="Times New Roman;sans-serif" w:hAnsi="Times New Roman;sans-serif"/>
                  <w:b w:val="false"/>
                  <w:strike w:val="false"/>
                  <w:dstrike w:val="false"/>
                  <w:color w:val="000000"/>
                  <w:sz w:val="20"/>
                  <w:u w:val="none"/>
                  <w:effect w:val="none"/>
                </w:rPr>
                <w:t>ITEM 1A.</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64">
              <w:r>
                <w:rPr>
                  <w:rStyle w:val="InternetLink"/>
                  <w:rFonts w:ascii="Times New Roman;sans-serif" w:hAnsi="Times New Roman;sans-serif"/>
                  <w:b w:val="false"/>
                  <w:color w:val="0000FF"/>
                  <w:sz w:val="20"/>
                  <w:u w:val="single"/>
                </w:rPr>
                <w:t>RISK FACTORS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64">
              <w:r>
                <w:rPr>
                  <w:rStyle w:val="InternetLink"/>
                  <w:rFonts w:ascii="Times New Roman;sans-serif" w:hAnsi="Times New Roman;sans-serif"/>
                  <w:b w:val="false"/>
                  <w:strike w:val="false"/>
                  <w:dstrike w:val="false"/>
                  <w:color w:val="000000"/>
                  <w:sz w:val="20"/>
                  <w:u w:val="none"/>
                  <w:effect w:val="none"/>
                </w:rPr>
                <w:t>22</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67">
              <w:r>
                <w:rPr>
                  <w:rStyle w:val="InternetLink"/>
                  <w:rFonts w:ascii="Times New Roman;sans-serif" w:hAnsi="Times New Roman;sans-serif"/>
                  <w:b w:val="false"/>
                  <w:color w:val="0000FF"/>
                  <w:sz w:val="20"/>
                  <w:u w:val="single"/>
                </w:rPr>
                <w:t>UNRESOLVED STAFF COMMENTS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67">
              <w:r>
                <w:rPr>
                  <w:rStyle w:val="InternetLink"/>
                  <w:rFonts w:ascii="Times New Roman;sans-serif" w:hAnsi="Times New Roman;sans-serif"/>
                  <w:b w:val="false"/>
                  <w:strike w:val="false"/>
                  <w:dstrike w:val="false"/>
                  <w:color w:val="000000"/>
                  <w:sz w:val="20"/>
                  <w:u w:val="none"/>
                  <w:effect w:val="none"/>
                </w:rPr>
                <w:t>69</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649">
              <w:r>
                <w:rPr>
                  <w:rStyle w:val="InternetLink"/>
                  <w:rFonts w:ascii="Times New Roman;sans-serif" w:hAnsi="Times New Roman;sans-serif"/>
                  <w:b w:val="false"/>
                  <w:strike w:val="false"/>
                  <w:dstrike w:val="false"/>
                  <w:color w:val="000080"/>
                  <w:sz w:val="20"/>
                  <w:u w:val="single"/>
                  <w:effect w:val="none"/>
                </w:rPr>
                <w:t>I</w:t>
              </w:r>
            </w:hyperlink>
            <w:hyperlink w:anchor="id3c788c6065d4192a7bcce53147b1070_1649">
              <w:r>
                <w:rPr>
                  <w:rStyle w:val="InternetLink"/>
                  <w:rFonts w:ascii="Times New Roman;sans-serif" w:hAnsi="Times New Roman;sans-serif"/>
                  <w:b w:val="false"/>
                  <w:strike w:val="false"/>
                  <w:dstrike w:val="false"/>
                  <w:color w:val="000080"/>
                  <w:sz w:val="20"/>
                  <w:u w:val="single"/>
                  <w:effect w:val="none"/>
                </w:rPr>
                <w:t xml:space="preserve">TEM 1C. </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649">
              <w:r>
                <w:rPr>
                  <w:rStyle w:val="InternetLink"/>
                  <w:rFonts w:ascii="Times New Roman;sans-serif" w:hAnsi="Times New Roman;sans-serif"/>
                  <w:b w:val="false"/>
                  <w:color w:val="000080"/>
                  <w:sz w:val="20"/>
                  <w:u w:val="single"/>
                </w:rPr>
                <w:t>C</w:t>
              </w:r>
            </w:hyperlink>
            <w:hyperlink w:anchor="id3c788c6065d4192a7bcce53147b1070_1649">
              <w:r>
                <w:rPr>
                  <w:rStyle w:val="InternetLink"/>
                  <w:rFonts w:ascii="Times New Roman;sans-serif" w:hAnsi="Times New Roman;sans-serif"/>
                  <w:b w:val="false"/>
                  <w:color w:val="000080"/>
                  <w:sz w:val="20"/>
                  <w:u w:val="single"/>
                </w:rPr>
                <w:t>Y</w:t>
              </w:r>
            </w:hyperlink>
            <w:hyperlink w:anchor="id3c788c6065d4192a7bcce53147b1070_1649">
              <w:r>
                <w:rPr>
                  <w:rStyle w:val="InternetLink"/>
                  <w:rFonts w:ascii="Times New Roman;sans-serif" w:hAnsi="Times New Roman;sans-serif"/>
                  <w:b w:val="false"/>
                  <w:color w:val="000080"/>
                  <w:sz w:val="20"/>
                  <w:u w:val="single"/>
                </w:rPr>
                <w:t>BERSECURITY</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67">
              <w:r>
                <w:rPr>
                  <w:rStyle w:val="InternetLink"/>
                  <w:rFonts w:ascii="Times New Roman;sans-serif" w:hAnsi="Times New Roman;sans-serif"/>
                  <w:b w:val="false"/>
                  <w:strike w:val="false"/>
                  <w:dstrike w:val="false"/>
                  <w:color w:val="000000"/>
                  <w:sz w:val="20"/>
                  <w:u w:val="none"/>
                  <w:effect w:val="none"/>
                </w:rPr>
                <w:t>69</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75">
              <w:r>
                <w:rPr>
                  <w:rStyle w:val="InternetLink"/>
                  <w:rFonts w:ascii="Times New Roman;sans-serif" w:hAnsi="Times New Roman;sans-serif"/>
                  <w:b w:val="false"/>
                  <w:strike w:val="false"/>
                  <w:dstrike w:val="false"/>
                  <w:color w:val="000000"/>
                  <w:sz w:val="20"/>
                  <w:u w:val="none"/>
                  <w:effect w:val="none"/>
                </w:rPr>
                <w:t>ITEM 2.</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70">
              <w:r>
                <w:rPr>
                  <w:rStyle w:val="InternetLink"/>
                  <w:rFonts w:ascii="Times New Roman;sans-serif" w:hAnsi="Times New Roman;sans-serif"/>
                  <w:b w:val="false"/>
                  <w:color w:val="0000FF"/>
                  <w:sz w:val="20"/>
                  <w:u w:val="single"/>
                </w:rPr>
                <w:t>PROPERTIES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70">
              <w:r>
                <w:rPr>
                  <w:rStyle w:val="InternetLink"/>
                  <w:rFonts w:ascii="Times New Roman;sans-serif" w:hAnsi="Times New Roman;sans-serif"/>
                  <w:b w:val="false"/>
                  <w:strike w:val="false"/>
                  <w:dstrike w:val="false"/>
                  <w:color w:val="000000"/>
                  <w:sz w:val="20"/>
                  <w:u w:val="none"/>
                  <w:effect w:val="none"/>
                </w:rPr>
                <w:t>70</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78">
              <w:r>
                <w:rPr>
                  <w:rStyle w:val="InternetLink"/>
                  <w:rFonts w:ascii="Times New Roman;sans-serif" w:hAnsi="Times New Roman;sans-serif"/>
                  <w:b w:val="false"/>
                  <w:strike w:val="false"/>
                  <w:dstrike w:val="false"/>
                  <w:color w:val="000000"/>
                  <w:sz w:val="20"/>
                  <w:u w:val="none"/>
                  <w:effect w:val="none"/>
                </w:rPr>
                <w:t>ITEM 3.</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76">
              <w:r>
                <w:rPr>
                  <w:rStyle w:val="InternetLink"/>
                  <w:rFonts w:ascii="Times New Roman;sans-serif" w:hAnsi="Times New Roman;sans-serif"/>
                  <w:b w:val="false"/>
                  <w:color w:val="0000FF"/>
                  <w:sz w:val="20"/>
                  <w:u w:val="single"/>
                </w:rPr>
                <w:t>LEGAL PROCEEDINGS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76">
              <w:r>
                <w:rPr>
                  <w:rStyle w:val="InternetLink"/>
                  <w:rFonts w:ascii="Times New Roman;sans-serif" w:hAnsi="Times New Roman;sans-serif"/>
                  <w:b w:val="false"/>
                  <w:strike w:val="false"/>
                  <w:dstrike w:val="false"/>
                  <w:color w:val="000000"/>
                  <w:sz w:val="20"/>
                  <w:u w:val="none"/>
                  <w:effect w:val="none"/>
                </w:rPr>
                <w:t>71</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81">
              <w:r>
                <w:rPr>
                  <w:rStyle w:val="InternetLink"/>
                  <w:rFonts w:ascii="Times New Roman;sans-serif" w:hAnsi="Times New Roman;sans-serif"/>
                  <w:b w:val="false"/>
                  <w:strike w:val="false"/>
                  <w:dstrike w:val="false"/>
                  <w:color w:val="000000"/>
                  <w:sz w:val="20"/>
                  <w:u w:val="none"/>
                  <w:effect w:val="none"/>
                </w:rPr>
                <w:t>ITEM 4.</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79">
              <w:r>
                <w:rPr>
                  <w:rStyle w:val="InternetLink"/>
                  <w:rFonts w:ascii="Times New Roman;sans-serif" w:hAnsi="Times New Roman;sans-serif"/>
                  <w:b w:val="false"/>
                  <w:color w:val="0000FF"/>
                  <w:sz w:val="20"/>
                  <w:u w:val="single"/>
                </w:rPr>
                <w:t>MINE SAFETY DISCLOSURES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79">
              <w:r>
                <w:rPr>
                  <w:rStyle w:val="InternetLink"/>
                  <w:rFonts w:ascii="Times New Roman;sans-serif" w:hAnsi="Times New Roman;sans-serif"/>
                  <w:b w:val="false"/>
                  <w:strike w:val="false"/>
                  <w:dstrike w:val="false"/>
                  <w:color w:val="000000"/>
                  <w:sz w:val="20"/>
                  <w:u w:val="none"/>
                  <w:effect w:val="none"/>
                </w:rPr>
                <w:t>71</w:t>
              </w:r>
            </w:hyperlink>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82">
              <w:r>
                <w:rPr>
                  <w:rStyle w:val="InternetLink"/>
                  <w:rFonts w:ascii="Times New Roman;sans-serif" w:hAnsi="Times New Roman;sans-serif"/>
                  <w:b w:val="false"/>
                  <w:color w:val="0000FF"/>
                  <w:sz w:val="20"/>
                  <w:u w:val="single"/>
                </w:rPr>
                <w:t>PART II</w:t>
              </w:r>
            </w:hyperlink>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90">
              <w:r>
                <w:rPr>
                  <w:rStyle w:val="InternetLink"/>
                  <w:rFonts w:ascii="Times New Roman;sans-serif" w:hAnsi="Times New Roman;sans-serif"/>
                  <w:b w:val="false"/>
                  <w:strike w:val="false"/>
                  <w:dstrike w:val="false"/>
                  <w:color w:val="000000"/>
                  <w:sz w:val="20"/>
                  <w:u w:val="none"/>
                  <w:effect w:val="none"/>
                </w:rPr>
                <w:t>ITEM 5.</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MARKET FOR REGISTRANT’S COMMON EQUITY, RELATED STOCKHOLDER MATTERS AND ISSUER PURCHASES OF EQUITY SECURITIES</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85">
              <w:r>
                <w:rPr>
                  <w:rStyle w:val="InternetLink"/>
                  <w:rFonts w:ascii="Times New Roman;sans-serif" w:hAnsi="Times New Roman;sans-serif"/>
                  <w:b w:val="false"/>
                  <w:strike w:val="false"/>
                  <w:dstrike w:val="false"/>
                  <w:color w:val="000000"/>
                  <w:sz w:val="20"/>
                  <w:u w:val="none"/>
                  <w:effect w:val="none"/>
                </w:rPr>
                <w:t>72</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93">
              <w:r>
                <w:rPr>
                  <w:rStyle w:val="InternetLink"/>
                  <w:rFonts w:ascii="Times New Roman;sans-serif" w:hAnsi="Times New Roman;sans-serif"/>
                  <w:b w:val="false"/>
                  <w:strike w:val="false"/>
                  <w:dstrike w:val="false"/>
                  <w:color w:val="000000"/>
                  <w:sz w:val="20"/>
                  <w:u w:val="none"/>
                  <w:effect w:val="none"/>
                </w:rPr>
                <w:t>ITEM 6.</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91">
              <w:r>
                <w:rPr>
                  <w:rStyle w:val="InternetLink"/>
                  <w:rFonts w:ascii="Times New Roman;sans-serif" w:hAnsi="Times New Roman;sans-serif"/>
                  <w:b w:val="false"/>
                  <w:color w:val="0000FF"/>
                  <w:sz w:val="20"/>
                  <w:u w:val="single"/>
                </w:rPr>
                <w:t>[RESERVED]</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91">
              <w:r>
                <w:rPr>
                  <w:rStyle w:val="InternetLink"/>
                  <w:rFonts w:ascii="Times New Roman;sans-serif" w:hAnsi="Times New Roman;sans-serif"/>
                  <w:b w:val="false"/>
                  <w:strike w:val="false"/>
                  <w:dstrike w:val="false"/>
                  <w:color w:val="000000"/>
                  <w:sz w:val="20"/>
                  <w:u w:val="none"/>
                  <w:effect w:val="none"/>
                </w:rPr>
                <w:t>74</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96">
              <w:r>
                <w:rPr>
                  <w:rStyle w:val="InternetLink"/>
                  <w:rFonts w:ascii="Times New Roman;sans-serif" w:hAnsi="Times New Roman;sans-serif"/>
                  <w:b w:val="false"/>
                  <w:strike w:val="false"/>
                  <w:dstrike w:val="false"/>
                  <w:color w:val="000000"/>
                  <w:sz w:val="20"/>
                  <w:u w:val="none"/>
                  <w:effect w:val="none"/>
                </w:rPr>
                <w:t>ITEM 7.</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94">
              <w:r>
                <w:rPr>
                  <w:rStyle w:val="InternetLink"/>
                  <w:rFonts w:ascii="Times New Roman;sans-serif" w:hAnsi="Times New Roman;sans-serif"/>
                  <w:b w:val="false"/>
                  <w:color w:val="000080"/>
                  <w:sz w:val="20"/>
                  <w:u w:val="single"/>
                </w:rPr>
                <w:t>MANAGEMENT</w:t>
              </w:r>
            </w:hyperlink>
            <w:hyperlink w:anchor="id3c788c6065d4192a7bcce53147b1070_94">
              <w:r>
                <w:rPr>
                  <w:rStyle w:val="InternetLink"/>
                  <w:rFonts w:ascii="Times New Roman;sans-serif" w:hAnsi="Times New Roman;sans-serif"/>
                  <w:b w:val="false"/>
                  <w:color w:val="000080"/>
                  <w:sz w:val="20"/>
                  <w:u w:val="single"/>
                </w:rPr>
                <w:t>’</w:t>
              </w:r>
            </w:hyperlink>
            <w:hyperlink w:anchor="id3c788c6065d4192a7bcce53147b1070_94">
              <w:r>
                <w:rPr>
                  <w:rStyle w:val="InternetLink"/>
                  <w:rFonts w:ascii="Times New Roman;sans-serif" w:hAnsi="Times New Roman;sans-serif"/>
                  <w:b w:val="false"/>
                  <w:color w:val="000080"/>
                  <w:sz w:val="20"/>
                  <w:u w:val="single"/>
                </w:rPr>
                <w:t>S</w:t>
              </w:r>
            </w:hyperlink>
            <w:hyperlink w:anchor="id3c788c6065d4192a7bcce53147b1070_94">
              <w:r>
                <w:rPr>
                  <w:rStyle w:val="InternetLink"/>
                  <w:rFonts w:ascii="Times New Roman;sans-serif" w:hAnsi="Times New Roman;sans-serif"/>
                  <w:b w:val="false"/>
                  <w:color w:val="000080"/>
                  <w:sz w:val="20"/>
                  <w:u w:val="single"/>
                </w:rPr>
                <w:t xml:space="preserve"> DISCUSSION AND ANALYSIS OF FINANCIAL CONDITION AND RESULTS OF OPERATIONS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94">
              <w:r>
                <w:rPr>
                  <w:rStyle w:val="InternetLink"/>
                  <w:rFonts w:ascii="Times New Roman;sans-serif" w:hAnsi="Times New Roman;sans-serif"/>
                  <w:b w:val="false"/>
                  <w:strike w:val="false"/>
                  <w:dstrike w:val="false"/>
                  <w:color w:val="000000"/>
                  <w:sz w:val="20"/>
                  <w:u w:val="none"/>
                  <w:effect w:val="none"/>
                </w:rPr>
                <w:t>74</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286">
              <w:r>
                <w:rPr>
                  <w:rStyle w:val="InternetLink"/>
                  <w:rFonts w:ascii="Times New Roman;sans-serif" w:hAnsi="Times New Roman;sans-serif"/>
                  <w:b w:val="false"/>
                  <w:strike w:val="false"/>
                  <w:dstrike w:val="false"/>
                  <w:color w:val="000000"/>
                  <w:sz w:val="20"/>
                  <w:u w:val="none"/>
                  <w:effect w:val="none"/>
                </w:rPr>
                <w:t>ITEM 7A.</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72">
              <w:r>
                <w:rPr>
                  <w:rStyle w:val="InternetLink"/>
                  <w:rFonts w:ascii="Times New Roman;sans-serif" w:hAnsi="Times New Roman;sans-serif"/>
                  <w:b w:val="false"/>
                  <w:color w:val="0000FF"/>
                  <w:sz w:val="20"/>
                  <w:u w:val="single"/>
                </w:rPr>
                <w:t>QUANTITATIVE AND QUALITATIVE DISCLOSURES ABOUT MARKET RISK</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172">
              <w:r>
                <w:rPr>
                  <w:rStyle w:val="InternetLink"/>
                  <w:rFonts w:ascii="Times New Roman;sans-serif" w:hAnsi="Times New Roman;sans-serif"/>
                  <w:b w:val="false"/>
                  <w:strike w:val="false"/>
                  <w:dstrike w:val="false"/>
                  <w:color w:val="000000"/>
                  <w:sz w:val="20"/>
                  <w:u w:val="none"/>
                  <w:effect w:val="none"/>
                </w:rPr>
                <w:t>85</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289">
              <w:r>
                <w:rPr>
                  <w:rStyle w:val="InternetLink"/>
                  <w:rFonts w:ascii="Times New Roman;sans-serif" w:hAnsi="Times New Roman;sans-serif"/>
                  <w:b w:val="false"/>
                  <w:strike w:val="false"/>
                  <w:dstrike w:val="false"/>
                  <w:color w:val="000000"/>
                  <w:sz w:val="20"/>
                  <w:u w:val="none"/>
                  <w:effect w:val="none"/>
                </w:rPr>
                <w:t>ITEM 8.</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75">
              <w:r>
                <w:rPr>
                  <w:rStyle w:val="InternetLink"/>
                  <w:rFonts w:ascii="Times New Roman;sans-serif" w:hAnsi="Times New Roman;sans-serif"/>
                  <w:b w:val="false"/>
                  <w:color w:val="0000FF"/>
                  <w:sz w:val="20"/>
                  <w:u w:val="single"/>
                </w:rPr>
                <w:t>FINANCIAL STATEMENTS AND SUPPLEMENTARY DATA</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175">
              <w:r>
                <w:rPr>
                  <w:rStyle w:val="InternetLink"/>
                  <w:rFonts w:ascii="Times New Roman;sans-serif" w:hAnsi="Times New Roman;sans-serif"/>
                  <w:b w:val="false"/>
                  <w:strike w:val="false"/>
                  <w:dstrike w:val="false"/>
                  <w:color w:val="000000"/>
                  <w:sz w:val="20"/>
                  <w:u w:val="none"/>
                  <w:effect w:val="none"/>
                </w:rPr>
                <w:t>87</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40">
              <w:r>
                <w:rPr>
                  <w:rStyle w:val="InternetLink"/>
                  <w:rFonts w:ascii="Times New Roman;sans-serif" w:hAnsi="Times New Roman;sans-serif"/>
                  <w:b w:val="false"/>
                  <w:color w:val="0000FF"/>
                  <w:sz w:val="20"/>
                  <w:u w:val="single"/>
                </w:rPr>
                <w:t>CHANGES IN AND DISAGREEMENTS WITH ACCOUNTANTS ON ACCOUNTING AND FINANCIAL DISCLOSURES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340">
              <w:r>
                <w:rPr>
                  <w:rStyle w:val="InternetLink"/>
                  <w:rFonts w:ascii="Times New Roman;sans-serif" w:hAnsi="Times New Roman;sans-serif"/>
                  <w:b w:val="false"/>
                  <w:strike w:val="false"/>
                  <w:dstrike w:val="false"/>
                  <w:color w:val="000000"/>
                  <w:sz w:val="20"/>
                  <w:u w:val="none"/>
                  <w:effect w:val="none"/>
                </w:rPr>
                <w:t>131</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21">
              <w:r>
                <w:rPr>
                  <w:rStyle w:val="InternetLink"/>
                  <w:rFonts w:ascii="Times New Roman;sans-serif" w:hAnsi="Times New Roman;sans-serif"/>
                  <w:b w:val="false"/>
                  <w:strike w:val="false"/>
                  <w:dstrike w:val="false"/>
                  <w:color w:val="000000"/>
                  <w:sz w:val="20"/>
                  <w:u w:val="none"/>
                  <w:effect w:val="none"/>
                </w:rPr>
                <w:t>ITEM 9A.</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43">
              <w:r>
                <w:rPr>
                  <w:rStyle w:val="InternetLink"/>
                  <w:rFonts w:ascii="Times New Roman;sans-serif" w:hAnsi="Times New Roman;sans-serif"/>
                  <w:b w:val="false"/>
                  <w:color w:val="0000FF"/>
                  <w:sz w:val="20"/>
                  <w:u w:val="single"/>
                </w:rPr>
                <w:t>CONTROLS AND PROCEDURES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343">
              <w:r>
                <w:rPr>
                  <w:rStyle w:val="InternetLink"/>
                  <w:rFonts w:ascii="Times New Roman;sans-serif" w:hAnsi="Times New Roman;sans-serif"/>
                  <w:b w:val="false"/>
                  <w:strike w:val="false"/>
                  <w:dstrike w:val="false"/>
                  <w:color w:val="000000"/>
                  <w:sz w:val="20"/>
                  <w:u w:val="none"/>
                  <w:effect w:val="none"/>
                </w:rPr>
                <w:t>131</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46">
              <w:r>
                <w:rPr>
                  <w:rStyle w:val="InternetLink"/>
                  <w:rFonts w:ascii="Times New Roman;sans-serif" w:hAnsi="Times New Roman;sans-serif"/>
                  <w:b w:val="false"/>
                  <w:color w:val="0000FF"/>
                  <w:sz w:val="20"/>
                  <w:u w:val="single"/>
                </w:rPr>
                <w:t>OTHER INFORMATION</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346">
              <w:r>
                <w:rPr>
                  <w:rStyle w:val="InternetLink"/>
                  <w:rFonts w:ascii="Times New Roman;sans-serif" w:hAnsi="Times New Roman;sans-serif"/>
                  <w:b w:val="false"/>
                  <w:strike w:val="false"/>
                  <w:dstrike w:val="false"/>
                  <w:color w:val="000000"/>
                  <w:sz w:val="20"/>
                  <w:u w:val="none"/>
                  <w:effect w:val="none"/>
                </w:rPr>
                <w:t>132</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49">
              <w:r>
                <w:rPr>
                  <w:rStyle w:val="InternetLink"/>
                  <w:rFonts w:ascii="Times New Roman;sans-serif" w:hAnsi="Times New Roman;sans-serif"/>
                  <w:b w:val="false"/>
                  <w:color w:val="0000FF"/>
                  <w:sz w:val="20"/>
                  <w:u w:val="single"/>
                </w:rPr>
                <w:t>DISCLOSURE REGARDING FOREIGN JURISDICTIONS THAT PREVENT INSPECTION</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349">
              <w:r>
                <w:rPr>
                  <w:rStyle w:val="InternetLink"/>
                  <w:rFonts w:ascii="Times New Roman;sans-serif" w:hAnsi="Times New Roman;sans-serif"/>
                  <w:b w:val="false"/>
                  <w:strike w:val="false"/>
                  <w:dstrike w:val="false"/>
                  <w:color w:val="000000"/>
                  <w:sz w:val="20"/>
                  <w:u w:val="none"/>
                  <w:effect w:val="none"/>
                </w:rPr>
                <w:t>132</w:t>
              </w:r>
            </w:hyperlink>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52">
              <w:r>
                <w:rPr>
                  <w:rStyle w:val="InternetLink"/>
                  <w:rFonts w:ascii="Times New Roman;sans-serif" w:hAnsi="Times New Roman;sans-serif"/>
                  <w:b w:val="false"/>
                  <w:color w:val="0000FF"/>
                  <w:sz w:val="20"/>
                  <w:u w:val="single"/>
                </w:rPr>
                <w:t>PART III</w:t>
              </w:r>
            </w:hyperlink>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30">
              <w:r>
                <w:rPr>
                  <w:rStyle w:val="InternetLink"/>
                  <w:rFonts w:ascii="Times New Roman;sans-serif" w:hAnsi="Times New Roman;sans-serif"/>
                  <w:b w:val="false"/>
                  <w:strike w:val="false"/>
                  <w:dstrike w:val="false"/>
                  <w:color w:val="000000"/>
                  <w:sz w:val="20"/>
                  <w:u w:val="none"/>
                  <w:effect w:val="none"/>
                </w:rPr>
                <w:t>ITEM 10.</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55">
              <w:r>
                <w:rPr>
                  <w:rStyle w:val="InternetLink"/>
                  <w:rFonts w:ascii="Times New Roman;sans-serif" w:hAnsi="Times New Roman;sans-serif"/>
                  <w:b w:val="false"/>
                  <w:color w:val="0000FF"/>
                  <w:sz w:val="20"/>
                  <w:u w:val="single"/>
                </w:rPr>
                <w:t>DIRECTORS, EXECUTIVE OFFICERS AND CORPORATE GOVERNANCE</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355">
              <w:r>
                <w:rPr>
                  <w:rStyle w:val="InternetLink"/>
                  <w:rFonts w:ascii="Times New Roman;sans-serif" w:hAnsi="Times New Roman;sans-serif"/>
                  <w:b w:val="false"/>
                  <w:strike w:val="false"/>
                  <w:dstrike w:val="false"/>
                  <w:color w:val="000000"/>
                  <w:sz w:val="20"/>
                  <w:u w:val="none"/>
                  <w:effect w:val="none"/>
                </w:rPr>
                <w:t>133</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33">
              <w:r>
                <w:rPr>
                  <w:rStyle w:val="InternetLink"/>
                  <w:rFonts w:ascii="Times New Roman;sans-serif" w:hAnsi="Times New Roman;sans-serif"/>
                  <w:b w:val="false"/>
                  <w:strike w:val="false"/>
                  <w:dstrike w:val="false"/>
                  <w:color w:val="000000"/>
                  <w:sz w:val="20"/>
                  <w:u w:val="none"/>
                  <w:effect w:val="none"/>
                </w:rPr>
                <w:t>ITEM 11.</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58">
              <w:r>
                <w:rPr>
                  <w:rStyle w:val="InternetLink"/>
                  <w:rFonts w:ascii="Times New Roman;sans-serif" w:hAnsi="Times New Roman;sans-serif"/>
                  <w:b w:val="false"/>
                  <w:color w:val="0000FF"/>
                  <w:sz w:val="20"/>
                  <w:u w:val="single"/>
                </w:rPr>
                <w:t>EXECUTIVE COMPENSATION</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358">
              <w:r>
                <w:rPr>
                  <w:rStyle w:val="InternetLink"/>
                  <w:rFonts w:ascii="Times New Roman;sans-serif" w:hAnsi="Times New Roman;sans-serif"/>
                  <w:b w:val="false"/>
                  <w:strike w:val="false"/>
                  <w:dstrike w:val="false"/>
                  <w:color w:val="000000"/>
                  <w:sz w:val="20"/>
                  <w:u w:val="none"/>
                  <w:effect w:val="none"/>
                </w:rPr>
                <w:t>133</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36">
              <w:r>
                <w:rPr>
                  <w:rStyle w:val="InternetLink"/>
                  <w:rFonts w:ascii="Times New Roman;sans-serif" w:hAnsi="Times New Roman;sans-serif"/>
                  <w:b w:val="false"/>
                  <w:strike w:val="false"/>
                  <w:dstrike w:val="false"/>
                  <w:color w:val="000000"/>
                  <w:sz w:val="20"/>
                  <w:u w:val="none"/>
                  <w:effect w:val="none"/>
                </w:rPr>
                <w:t>ITEM 12.</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6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361">
              <w:r>
                <w:rPr>
                  <w:rStyle w:val="InternetLink"/>
                  <w:rFonts w:ascii="Times New Roman;sans-serif" w:hAnsi="Times New Roman;sans-serif"/>
                  <w:b w:val="false"/>
                  <w:strike w:val="false"/>
                  <w:dstrike w:val="false"/>
                  <w:color w:val="000000"/>
                  <w:sz w:val="20"/>
                  <w:u w:val="none"/>
                  <w:effect w:val="none"/>
                </w:rPr>
                <w:t>133</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39">
              <w:r>
                <w:rPr>
                  <w:rStyle w:val="InternetLink"/>
                  <w:rFonts w:ascii="Times New Roman;sans-serif" w:hAnsi="Times New Roman;sans-serif"/>
                  <w:b w:val="false"/>
                  <w:strike w:val="false"/>
                  <w:dstrike w:val="false"/>
                  <w:color w:val="000000"/>
                  <w:sz w:val="20"/>
                  <w:u w:val="none"/>
                  <w:effect w:val="none"/>
                </w:rPr>
                <w:t>ITEM 13.</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6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364">
              <w:r>
                <w:rPr>
                  <w:rStyle w:val="InternetLink"/>
                  <w:rFonts w:ascii="Times New Roman;sans-serif" w:hAnsi="Times New Roman;sans-serif"/>
                  <w:b w:val="false"/>
                  <w:strike w:val="false"/>
                  <w:dstrike w:val="false"/>
                  <w:color w:val="000000"/>
                  <w:sz w:val="20"/>
                  <w:u w:val="none"/>
                  <w:effect w:val="none"/>
                </w:rPr>
                <w:t>133</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42">
              <w:r>
                <w:rPr>
                  <w:rStyle w:val="InternetLink"/>
                  <w:rFonts w:ascii="Times New Roman;sans-serif" w:hAnsi="Times New Roman;sans-serif"/>
                  <w:b w:val="false"/>
                  <w:strike w:val="false"/>
                  <w:dstrike w:val="false"/>
                  <w:color w:val="000000"/>
                  <w:sz w:val="20"/>
                  <w:u w:val="none"/>
                  <w:effect w:val="none"/>
                </w:rPr>
                <w:t>ITEM 14.</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67">
              <w:r>
                <w:rPr>
                  <w:rStyle w:val="InternetLink"/>
                  <w:rFonts w:ascii="Times New Roman;sans-serif" w:hAnsi="Times New Roman;sans-serif"/>
                  <w:b w:val="false"/>
                  <w:color w:val="0000FF"/>
                  <w:sz w:val="20"/>
                  <w:u w:val="single"/>
                </w:rPr>
                <w:t>PRINCIPAL ACCOUNTANT FEES AND SERVICES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367">
              <w:r>
                <w:rPr>
                  <w:rStyle w:val="InternetLink"/>
                  <w:rFonts w:ascii="Times New Roman;sans-serif" w:hAnsi="Times New Roman;sans-serif"/>
                  <w:b w:val="false"/>
                  <w:strike w:val="false"/>
                  <w:dstrike w:val="false"/>
                  <w:color w:val="000000"/>
                  <w:sz w:val="20"/>
                  <w:u w:val="none"/>
                  <w:effect w:val="none"/>
                </w:rPr>
                <w:t>133</w:t>
              </w:r>
            </w:hyperlink>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70">
              <w:r>
                <w:rPr>
                  <w:rStyle w:val="InternetLink"/>
                  <w:rFonts w:ascii="Times New Roman;sans-serif" w:hAnsi="Times New Roman;sans-serif"/>
                  <w:b w:val="false"/>
                  <w:color w:val="0000FF"/>
                  <w:sz w:val="20"/>
                  <w:u w:val="single"/>
                </w:rPr>
                <w:t>PART IV</w:t>
              </w:r>
            </w:hyperlink>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73">
              <w:r>
                <w:rPr>
                  <w:rStyle w:val="InternetLink"/>
                  <w:rFonts w:ascii="Times New Roman;sans-serif" w:hAnsi="Times New Roman;sans-serif"/>
                  <w:b w:val="false"/>
                  <w:color w:val="0000FF"/>
                  <w:sz w:val="20"/>
                  <w:u w:val="single"/>
                </w:rPr>
                <w:t>EXHIBITS AND FINANCIAL STATEMENT SCHEDULES</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373">
              <w:r>
                <w:rPr>
                  <w:rStyle w:val="InternetLink"/>
                  <w:rFonts w:ascii="Times New Roman;sans-serif" w:hAnsi="Times New Roman;sans-serif"/>
                  <w:b w:val="false"/>
                  <w:strike w:val="false"/>
                  <w:dstrike w:val="false"/>
                  <w:color w:val="000000"/>
                  <w:sz w:val="20"/>
                  <w:u w:val="none"/>
                  <w:effect w:val="none"/>
                </w:rPr>
                <w:t>134</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72">
              <w:r>
                <w:rPr>
                  <w:rStyle w:val="InternetLink"/>
                  <w:rFonts w:ascii="Times New Roman;sans-serif" w:hAnsi="Times New Roman;sans-serif"/>
                  <w:b w:val="false"/>
                  <w:strike w:val="false"/>
                  <w:dstrike w:val="false"/>
                  <w:color w:val="000000"/>
                  <w:sz w:val="20"/>
                  <w:u w:val="none"/>
                  <w:effect w:val="none"/>
                </w:rPr>
                <w:t>ITEM 16.</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76">
              <w:r>
                <w:rPr>
                  <w:rStyle w:val="InternetLink"/>
                  <w:rFonts w:ascii="Times New Roman;sans-serif" w:hAnsi="Times New Roman;sans-serif"/>
                  <w:b w:val="false"/>
                  <w:color w:val="0000FF"/>
                  <w:sz w:val="20"/>
                  <w:u w:val="single"/>
                </w:rPr>
                <w:t>FORM 10-K SUMMARY</w:t>
              </w:r>
            </w:hyperlink>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376">
              <w:r>
                <w:rPr>
                  <w:rStyle w:val="InternetLink"/>
                  <w:rFonts w:ascii="Times New Roman;sans-serif" w:hAnsi="Times New Roman;sans-serif"/>
                  <w:b w:val="false"/>
                  <w:strike w:val="false"/>
                  <w:dstrike w:val="false"/>
                  <w:color w:val="000000"/>
                  <w:sz w:val="20"/>
                  <w:u w:val="none"/>
                  <w:effect w:val="none"/>
                </w:rPr>
                <w:t>136</w:t>
              </w:r>
            </w:hyperlink>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79">
              <w:r>
                <w:rPr>
                  <w:rStyle w:val="InternetLink"/>
                  <w:rFonts w:ascii="Times New Roman;sans-serif" w:hAnsi="Times New Roman;sans-serif"/>
                  <w:b w:val="false"/>
                  <w:color w:val="0000FF"/>
                  <w:sz w:val="20"/>
                  <w:u w:val="single"/>
                </w:rPr>
                <w:t>SIGNATURES</w:t>
              </w:r>
            </w:hyperlink>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3c788c6065d4192a7bcce53147b1070_379">
              <w:r>
                <w:rPr>
                  <w:rStyle w:val="InternetLink"/>
                  <w:rFonts w:ascii="Times New Roman;sans-serif" w:hAnsi="Times New Roman;sans-serif"/>
                  <w:b w:val="false"/>
                  <w:strike w:val="false"/>
                  <w:dstrike w:val="false"/>
                  <w:color w:val="000000"/>
                  <w:sz w:val="20"/>
                  <w:u w:val="none"/>
                  <w:effect w:val="none"/>
                </w:rPr>
                <w:t>137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CAUTIONARY NOTE REGARDING FORWARD-LOOKING STATEMENTS</w:t>
      </w:r>
    </w:p>
    <w:p>
      <w:pPr>
        <w:pStyle w:val="TextBody"/>
        <w:bidi w:val="0"/>
        <w:spacing w:lineRule="auto" w:line="288" w:before="240" w:after="283"/>
        <w:jc w:val="left"/>
        <w:rPr/>
      </w:pPr>
      <w:r>
        <w:rPr>
          <w:rFonts w:ascii="Times New Roman;sans-serif" w:hAnsi="Times New Roman;sans-serif"/>
          <w:b w:val="false"/>
          <w:color w:val="000000"/>
          <w:sz w:val="20"/>
        </w:rPr>
        <w:t xml:space="preserve">This </w:t>
      </w:r>
      <w:r>
        <w:rPr>
          <w:rFonts w:ascii="Times New Roman;sans-serif" w:hAnsi="Times New Roman;sans-serif"/>
          <w:b w:val="false"/>
          <w:color w:val="000000"/>
          <w:sz w:val="20"/>
          <w:shd w:fill="FFFFFF" w:val="clear"/>
        </w:rPr>
        <w:t xml:space="preserve">Annual Report </w:t>
      </w:r>
      <w:r>
        <w:rPr>
          <w:rFonts w:ascii="Times New Roman;sans-serif" w:hAnsi="Times New Roman;sans-serif"/>
          <w:b w:val="false"/>
          <w:color w:val="000000"/>
          <w:sz w:val="20"/>
        </w:rPr>
        <w:t xml:space="preserve">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w:t>
      </w:r>
      <w:r>
        <w:rPr>
          <w:rFonts w:ascii="Times New Roman;sans-serif" w:hAnsi="Times New Roman;sans-serif"/>
          <w:b w:val="false"/>
          <w:color w:val="000000"/>
          <w:sz w:val="20"/>
          <w:shd w:fill="FFFFFF" w:val="clear"/>
        </w:rPr>
        <w:t xml:space="preserve">Annual Report </w:t>
      </w:r>
      <w:r>
        <w:rPr>
          <w:rFonts w:ascii="Times New Roman;sans-serif" w:hAnsi="Times New Roman;sans-serif"/>
          <w:b w:val="false"/>
          <w:color w:val="000000"/>
          <w:sz w:val="20"/>
        </w:rPr>
        <w:t>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changes in overall demand for our products and services and cancellation of reservations and orders for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uncertainty of our projected financial information;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timing of expected business milestones and commercial product launches;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expansion of our manufacturing facility, the construction of new manufacturing facilities and the increase of our production capacity;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expenses and control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future market adoption of our offerings;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effects of competition and the pace and depth of electric vehicle adoption generally on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regulatory requirements, governmental incentives and fuel and energy prices;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rapidly innovate;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enter into or maintain partnerships with original equipment manufacturers, vendors and technology providers, including our ability to realize the anticipated benefits of our transaction with Aston Martin;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effectively manage our growth and recruit and retain key employees, including our chief executive officer and executive team;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risks related to potential vehicle recalls;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ability to establish and expand our brand, and capture additional market share, and the risks associated with negative press or reputational harm;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effectively utilize zero emission vehicle credits and obtain and utilize certain tax and other incentives;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conduct equity, equity-linked, or debt financing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pay interest and principal on our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future changes to vehicle specifications which may impact performance, pricing, and other expectations;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of any potential litigation, government and regulatory proceedings, investigations and inquiries;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other factors disclosed in this </w:t>
      </w:r>
      <w:r>
        <w:rPr>
          <w:rFonts w:ascii="Times New Roman;sans-serif" w:hAnsi="Times New Roman;sans-serif"/>
          <w:b w:val="false"/>
          <w:color w:val="000000"/>
          <w:sz w:val="20"/>
          <w:shd w:fill="FFFFFF" w:val="clear"/>
        </w:rPr>
        <w:t xml:space="preserve">Annual Report </w:t>
      </w:r>
      <w:r>
        <w:rPr>
          <w:rFonts w:ascii="Times New Roman;sans-serif" w:hAnsi="Times New Roman;sans-serif"/>
          <w:b w:val="false"/>
          <w:color w:val="000000"/>
          <w:sz w:val="20"/>
        </w:rPr>
        <w:t>or our other filings with the Securities and Exchange Commission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The forward-looking statements contained in this </w:t>
      </w:r>
      <w:r>
        <w:rPr>
          <w:rFonts w:ascii="Times New Roman;sans-serif" w:hAnsi="Times New Roman;sans-serif"/>
          <w:b w:val="false"/>
          <w:color w:val="000000"/>
          <w:sz w:val="20"/>
          <w:shd w:fill="FFFFFF" w:val="clear"/>
        </w:rPr>
        <w:t xml:space="preserve">Annual Report </w:t>
      </w:r>
      <w:r>
        <w:rPr>
          <w:rFonts w:ascii="Times New Roman;sans-serif" w:hAnsi="Times New Roman;sans-serif"/>
          <w:b w:val="false"/>
          <w:color w:val="000000"/>
          <w:sz w:val="20"/>
        </w:rPr>
        <w:t xml:space="preserve">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Item 1A of Part I of this Annual Report.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Annual Report.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Frequently Used Terms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Part II Item 8. Financial Statements and Supplementary Data, or the context otherwise requires, references in this Annual Report 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2026 Notes” are to the 1.25% Convertible Senior Notes due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AMP-1” are to our Advanced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AMP-2” are to our planned Advanced Manufacturing Plant-2 in Saudi Arabia, which consists of a semi knocked-down (“SKD”) portion that has been completed and a completely-built-up (“CBU”) portion that will be constructed;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Ayar” are to Ayar Third Investment Company, an affiliate of PIF and the controlling stockholder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Board” or “Board of Directors” are, prior to consummation of the Transactions, to the board of directors of Legacy Lucid, and, following consummation of the Transactions, to the board of directors of Lucid Group Inc., a Delaware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 IPO” are to the initial public offering by Churchill which closed on August 3, 2020;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Churchill’s Class A common stock” are to Churchill’s Class A common stock,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Churchill’s Class B common stock” are to Churchill’s Class B common stock,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Closing” are to the consummation of the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Closing Date” are to July 23, 2021, the date on which the Transactions were consummated;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ans-serif" w:hAnsi="Times New Roman;sans-serif"/>
          <w:b w:val="false"/>
          <w:color w:val="000000"/>
          <w:sz w:val="20"/>
        </w:rPr>
        <w:t>common stock” are, prior to the consummation of the Transactions, to Churchill’s Class A common stock and Churchill’s Class B common stock and, following the consummation of the Transactions, to the common stock of Lucid Group, Inc., par value $0.0001 per share;</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0"/>
        </w:rPr>
        <w:t>ESG” are to Environmental, Social and Governance;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EV” are to electric vehicle;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Investor Rights Agreement” are to the Investor Rights Agreement, dated as of February 22, 2021 and as may be amended from time-to-time, by and among the Company, the Sponsor, Ayar and certain other parties thereto;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are to Atieva, Inc., d/b/a Lucid Motors, an exempted company incorporated with limited liability under the laws of the Cayman Islands, and its consolidated subsidiaries before the Closing Date;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Common Shares” are to the common shares, par value $0.0001 per share, of Legacy Lucid;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Options” are to all issued and outstanding options to purchase or otherwise acquire Legacy Lucid Common Shares (whether or not vested) held by any person, including share options granted under any Legacy Lucid Share Plan;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Preferred Shares” are to, collectively, Legacy Lucid Series A Preferred Shares, Legacy Lucid Series B Preferred Shares, Legacy Lucid Series C Preferred Shares, Legacy Lucid Series D Preferred Shares and Legacy Lucid Series E Preferred Shares;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Series A Preferred Shares” are to the Series A preferred shares, par value $0.0001 per share, of Legacy Lucid;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Series B Preferred Shares” are to the Series B preferred shares, par value $0.0001 per share, of Legacy Lucid;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Series C Preferred Shares” are to the Series C preferred shares, par value $0.0001 per share, of Legacy Lucid;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Series D Preferred Shares” are to the Series D preferred shares, par value $0.0001 per share, of Legacy Lucid;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Series E Preferred Shares” are to the Series E preferred shares, par value $0.0001 per share, of Legacy Lucid;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Shares” are to the Legacy Lucid Common Shares and Legacy Lucid Preferred Shares;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RSUs” are to all issued and outstanding restricted stock unit awards with respect to Legacy Lucid Common Shares outstanding under any Legacy Lucid Share Plan;</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ans-serif" w:hAnsi="Times New Roman;sans-serif"/>
          <w:b w:val="false"/>
          <w:color w:val="000000"/>
          <w:sz w:val="20"/>
        </w:rPr>
        <w:t>LPM-1” are to our Lucid Powertrain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Lucid Options” are to all issued and outstanding options to purchase shares of common stock immediately following the closing of the Merger;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Lucid RSUs” are to all issued and outstanding restricted stock unit awards with respect to shares of common stock immediately following the closing of the Merger;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Merger” are to the merger of a merger subsidiary of Churchill and Atieva, Inc., with Atieva, Inc. surviving such merger as a wholly owned subsidiary of Churchill;</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PIF” are to the Public Investment Fund, the sovereign wealth fund of Saudi Arabia;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PIPE Investment” are to the private placement subscription agreements that Churchill entered into contemporaneously with the execution of the Merger Agreement whereby Churchill has agreed to issue and sell to certain investors $2.5 billion of Churchill’s Class A common stock at a purchase price of $15.00 per share. The PIPE Investment closed simultaneously with the Closing of the Merger;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PIPE Investors” are to the investors participating in the PIPE Investment;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Private Placement Warrants” are to Churchill’s warrants issued to the Sponsor in a private placement simultaneously with the closing of the Churchill IPO;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Sponsor” are to Churchill Sponsor IV LLC, a Delaware limited liability company and an affiliate of M. Klein and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Transactions” are to the Merger, together with the other transactions consummated under the Merger Agreement and the related agreements;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Warrant Agreement” are to the Warrant Agreement, dated July 29, 2020, entered into in connection with the Churchill IPO by and between Continental Stock Transfer &amp; Trust Company and Churchill.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OVERVIEW</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Mission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Lucid’s mission is to inspire the adoption of sustainable energy by creating advanced technologies and the most captivating luxury electric vehicles (“EV”), centered around the human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About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is a technology company that is setting new standards with its advanced luxury EV, beginning with the Lucid Air, the most efficient (as measured by miles of range per kilowatt-hour), the longest-range, and the fastest-charging fully electric car in its class on the market today. Lucid (i) designs, engineers and manufactures EVs, EV powertrains and battery systems in-house using our own equipment and factories, (ii) designs and develops proprietary software in-house for Lucid vehicles that can be continuously improved upon through over-the-air (“OTA”) software updates, (iii) offers a refined customer experience at our own geographically distributed retail and service locations and through direct-to-consumer online and retail sales, (iv) plans to supply and license technology to third parties, and (v) boasts a strong product roadmap of future vehicle programs and technologies. Our focus on in-house hardware and software innovation, vertical integration, and a “clean-sheet” approach to engineering and design led to the development of the award-winning Lucid Air.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Lucid Air is a luxury sedan that redefines both the luxury car segment and the EV space, with an EPA-estimated range of up to 516 miles on a single charge (estimated ranges, including EPA-estimated ranges where applicable, is provided for vehicles equipped with 19-inch wheels, and actual range will vary dependent on many factors including vehicle configuration, battery age, driving habits, charging habits, temperatures, accessory use, and other factors). This range is enabled by an efficient and powerful drivetrain that Lucid developed and built in-house through our vertically integrated manufacturing structure. The Lucid Space Concept underpins the Lucid Air’s design, merging a spacious interior with a smaller exterior footprint than other luxury cars with similar space and comfort. This achievement is enabled by our miniaturized drive-train components, which also reduces weight and maximizes storage capacity.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Lucid Air is manufactured at our greenfield EV manufacturing facility in Casa Grande, Arizona, Advanced Manufacturing Plant-1 (“AMP-1”). Our manufacturing footprint in Casa Grande also includes the Lucid Powertrain Manufacturing-1 (“LPM-1”) plant, which we plan to relocate to AMP-1. Expansion activities are underway to bring installed capacity at our Arizona site to 90,000 vehicles per year within 2024.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control our technology roadmap, ensure a high degree of quality control, and improve product margins relative to an outsourced manufacturing arrangement. We expect to diversify our vehicle portfolio and increase production capacity through localization of manufacturing in other geographies. In 2022, we broke ground on the Advanced Manufacturing Plant-2 in Saudi Arabia (“AMP-2”), and in 2023, we began semi knocked-down (“SKD”) assembly, with installed annual capacity of 5,000 vehicles. The initial operation is re-assembly of the Lucid Air vehicle ‘kits’ that are pre-manufactured at AMP-1. We plan to significantly expand AMP-2 to completely-built-up (“CBU”) unit production with additional installed annual capacity of 150,000 vehicles with start of production of our Midsize platform scheduled for late 2026, which we expect will expand our market reach into higher-volume vehicle segments.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sell vehicles directly to consumers through our retail sales network and through direct online sales including through Lucid Financial Services. As of December 31, 2023, we have opened thirty-eight studios and service centers in North America, five in Europe and two in the Middle East. In addition, we have various temporary and satellite service centers. We believe that owning and operating our sales network provides an opportunity to closely manage the customer experience, gather direct customer feedback, and ensure that customer interactions are tailored to our customers’ needs.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 We have contracted with a third-party roadside assistance partner for urgent roadside needs. As a technology company, we also complement our in-house service offerings through remote vehicle diagnostics and alerts capabilities, and OTA updates. This combination of in-house capabilities, ancillary service partners, and remote support and update capability is expected to serve our customers’ high service expectations.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began delivering the Lucid Air to customers in October 2021 and we expect to launch additional vehicles. We have leveraged and expanded the technological advancements from the Lucid Air to the Lucid Gravity, a luxury sport utility vehicle (“SUV”), which is scheduled for start of production in late 2024. After the Lucid Air and the Lucid Gravity, start of production of our Midsize platform is scheduled for late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Opportunity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defining electric luxury by uniting our California aesthetic with our high-tech and Silicon Valley roots. Current luxury vehicles are based on traditions established by internal combustion automotive manufacture and design. We believe that we are leading the next wave of innovation in the vehicle space. With the Lucid Air and the Lucid Gravity, we target consumers who desire EVs with a high-end aesthetic and the accompanying luxury experience.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initial product, the Lucid Air, competes in the global luxury car market. Our competitive advantage is defined by our leading EV hardware and software technology, developed entirely in-house. The Lucid Air is the most efficient (as measured by miles of range per kilowatt-hour), the longest-range, and the fastest-charging fully electric car in its class on the market today.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defining an exclusive and recognizable brand that is synonymous with luxury and performance. We believe the luxury automotive experience is one comprised of several essential elements, including: (i) high-end comfort and significant attention to detail in design, content, materials, fit and finish, (ii) superior customer interaction, with high-touch customer engagement throughout both the sales cycle and ownership journey, and (iii) convenient service that exceeds that of a non-luxury automotive experience.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ultimate goal is to make a positive impact on the global climate crisis through mass production of advanced technologies and EVs. Increased government mandates for electrification, combined with the need for clean energy vehicles, are driving electrification of the automotive industry at a rapid pace and on a global scale. The market is still nascent, with approximately 9.6% and 7.4% of new passenger vehicle sales in 2023 represented battery electric vehicle (“BEV”) worldwide and in North America, respectively, according to an estimate from the S&amp;P Global AutoInsight and an actual result from the S&amp;P Global Catalyst Registration,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our flagship product, the Lucid Air is intended to establish the bar for excellence across all our future products and experiences. We started delivering vehicles to customers in North America in 2021. In 2022, we delivered our first vehicles to customers in Europe and the Middle East. Over the course of 2023, we delivered the entire Lucid Air lineup including the Lucid Air Sapphire, the world’s first luxury electric super-sports sedan, and the Lucid Air Pure, the most attainable Lucid Air model. The Lucid Air has received critical acclaim since it debuted, winning MotorTrend 2022 Car of the Year award, followed by the 2023 World Luxury Car Award, and most recently, the Air Pure earned a place on Car and Driver’s prestigious 2024 10Best list. Our second vehicle, the Lucid Gravity, is a luxury SUV defined by efficiency, performance, and a spacious interior that will set it apart in the SUV class, similar to how the Lucid Air stands out in its class. We plan to enter higher-volume SUV vehicle segment with the Lucid Gravity, which is scheduled for start of production in late 2024. Beyond the Lucid Air and the Lucid Gravity, our business plan also includes start of production of our Midsize platform, which is scheduled for late 2026.</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Beyond the sale of Lucid branded vehicles, we believe that our technological prowess and manufacturing capabilities present a further opportunity to generate revenue and combat climate change through the sale or licensing of EV powertrain and battery technology to third parties. Such powertrain and battery arrangements could facilitate and accelerate the shift to electrification for traditional automotive original equipment manufacturers (“OEMs”), pure-play EV companies, and prospective partners in the transportation sector and thereby enable the global production of EV in greater volumes and at varying price points. We believe that the sale or licensing of our technology would also enable us to refine our manufacturing efficiencies and the real world, practical operation of our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Competitive Strengths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Revolutionary Powertrain Technology.</w:t>
      </w:r>
      <w:r>
        <w:rPr>
          <w:color w:val="000000"/>
        </w:rPr>
        <w:t xml:space="preserve"> </w:t>
      </w:r>
      <w:r>
        <w:rPr>
          <w:rFonts w:ascii="Times New Roman;sans-serif" w:hAnsi="Times New Roman;sans-serif"/>
          <w:b w:val="false"/>
          <w:color w:val="000000"/>
          <w:sz w:val="20"/>
        </w:rPr>
        <w:t xml:space="preserve">Our proprietary EV technology delivers outstanding range, charging, and driver-oriented performance without the cost and weight of ever-larger battery packs that are common in other EVs. All variants of the Lucid Air have received EPA-estimated range ratings of over 400 miles and the Lucid Air Grand Touring is the first and only fully electric vehicle to reach an EPA-estimated range of 516 miles.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Air’s proprietary high-voltage electrical architecture, the Wunderbox on-board inverter charger, and our efficient battery management system, all developed in-house by us, enable customers to spend less time charging. For example, the Lucid Air Grand Touring can add approximately 300 miles in about 22 minutes using DC fast charging, while the Lucid Air Pure can add up to 150 miles in about 12 minutes with DC fast charging. Estimates are based on use of a 350 kW DC fast charger and vehicles equipped with 19-inch wheels. Actual rates will vary based upon vehicle equipment and charging conditions.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we launched RangeXchange, the first application of the bi-directional charging capability built into the Lucid Air. Using Lucid’s innovative new vehicle-to-vehicle (“V2V”) RangeXchange adapter and the latest mobile charging cable, the Lucid Air can function as the power source to charge another EV. In the future, we plan to introduce additional functionality, such as features that might allow a Lucid Air to serve as a back-up power source for residential applications, such as during emergency power grid outages.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we entered into an agreement (the “Implementation Agreement”) with Aston Martin Lagonda Global Holdings plc (together with its subsidiaries, “Aston Martin”), under which we and Aston Martin have established a long-term strategic technology and supply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BEV chassis, and supply powertrain and battery components to Aston Martin (collectively, the “Strategic Technology Arrangement”).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Proven, Real World Validation. </w:t>
      </w:r>
      <w:r>
        <w:rPr>
          <w:rFonts w:ascii="Times New Roman;sans-serif" w:hAnsi="Times New Roman;sans-serif"/>
          <w:b w:val="false"/>
          <w:color w:val="000000"/>
          <w:sz w:val="20"/>
        </w:rPr>
        <w:t>Our battery technology developed over the past decade has been validated as world-class technology. Through our prototype and production vehicles and our role as the sole battery supplier to the second generation of the premier EV racing series, our patented battery technology has driven more than 95 million real world miles since Lucid’s inception.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Highly Differentiated Performance. </w:t>
      </w:r>
      <w:r>
        <w:rPr>
          <w:rFonts w:ascii="Times New Roman;sans-serif" w:hAnsi="Times New Roman;sans-serif"/>
          <w:b w:val="false"/>
          <w:color w:val="000000"/>
          <w:sz w:val="20"/>
        </w:rPr>
        <w:t>Our advancements in battery pack and drivetrain technology, created through a clean-sheet approach to engineering, have resulted in compelling performance and efficiency in our vehicles. The Lucid Air is available in a configuration with 1,234 horsepower, a zero to 60 miles per hour acceleration time of 1.89 seconds and a quarter-mile time of 8.95 seconds.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Directly Owned Manufacturing. </w:t>
      </w:r>
      <w:r>
        <w:rPr>
          <w:rFonts w:ascii="Times New Roman;sans-serif" w:hAnsi="Times New Roman;sans-serif"/>
          <w:b w:val="false"/>
          <w:color w:val="000000"/>
          <w:sz w:val="20"/>
        </w:rPr>
        <w:t>Our vehicles are produced at AMP-1, the first purpose-built, greenfield EV manufacturing facility in North America. With the Lucid Air already in production, expansion activities are underway to enable the concurrent production of the Lucid Air and the Lucid Gravity.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 Additionally, we manufacture and assemble our complete electric powertrain at LPM-1, including assembly of battery packs, integrated drive units, and the Wunderbox. We designed LPM-1 to simplify the future establishment of similar facilities for an expanded, global manufacturing footprint for vehicles. In September 2023, we also opened AMP-2, which was Saudi Arabia’s first-ever car manufacturing facility and our first manufacturing facility outside the United States, where we commenced SKD assembly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In-House Sales and Service. </w:t>
      </w:r>
      <w:r>
        <w:rPr>
          <w:rFonts w:ascii="Times New Roman;sans-serif" w:hAnsi="Times New Roman;sans-serif"/>
          <w:b w:val="false"/>
          <w:color w:val="000000"/>
          <w:sz w:val="20"/>
        </w:rPr>
        <w:t>Consistent with the focus on quality in our manufacturing processes, we implement a direct sales and service strategy to maintain control over the customer experience and ensure that interactions are aligned with the Lucid brand. We enable this tight control over the customer experience by vertically integrating our sales operations instead of relying on a traditional outsourced dealership model. We are also scaling our own service operations to support customers, in addition to growing our established network of partnerships with body shops and other ancillary service partners that meet our expectations for customer service.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Product Design. </w:t>
      </w:r>
      <w:r>
        <w:rPr>
          <w:rFonts w:ascii="Times New Roman;sans-serif" w:hAnsi="Times New Roman;sans-serif"/>
          <w:b w:val="false"/>
          <w:color w:val="000000"/>
          <w:sz w:val="20"/>
        </w:rPr>
        <w:t>Our first vehicle, the Lucid Air, fuses art and science to capture the potential of electrification. As our current flagship product, the Air establishes the bar for excellence across all our products and experiences. Our Space Concept represents a technical breakthrough, achieved by rethinking the way an automobile is designed from the ground up. Our reimagining of the car has resulted in class-leading interior space for the driver, passengers, and storage within a compact and efficient exterior.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Favorable Market Trends. </w:t>
      </w:r>
      <w:r>
        <w:rPr>
          <w:rFonts w:ascii="Times New Roman;sans-serif" w:hAnsi="Times New Roman;sans-serif"/>
          <w:b w:val="false"/>
          <w:color w:val="000000"/>
          <w:sz w:val="20"/>
        </w:rPr>
        <w:t>The Lucid Air is the first true luxury EV and positions us to build our brand and reputation. By building the Lucid brand and achieving scale and efficiency in our manufacturing footprint, we believe we will have the opportunity over time to create more attainable technology to allow broader adoption in the EV space and the ability to capitalize on adjacent market opportunities.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Management Team Experience. </w:t>
      </w:r>
      <w:r>
        <w:rPr>
          <w:rFonts w:ascii="Times New Roman;sans-serif" w:hAnsi="Times New Roman;sans-serif"/>
          <w:b w:val="false"/>
          <w:color w:val="000000"/>
          <w:sz w:val="20"/>
        </w:rPr>
        <w:t>We have assembled a seasoned management team with deep experience in the automotive, EV, and software industries led by Peter Rawlinson, who served as the Chief Engineer of the Tesla Model S program. The management team is rounded out by executives with significant experience from such companies as Apple, Intel, Tesla, Mazda, Audi, Volkswagen, Ford, and Mercedes-Benz,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Strategic Partnerships. </w:t>
      </w:r>
      <w:r>
        <w:rPr>
          <w:rFonts w:ascii="Times New Roman;sans-serif" w:hAnsi="Times New Roman;sans-serif"/>
          <w:b w:val="false"/>
          <w:color w:val="000000"/>
          <w:sz w:val="20"/>
        </w:rPr>
        <w:t>We have established strong relationships with suppliers and partners to deliver the Lucid Air. We have battery cell supply agreements in place with leading suppliers in the EV space.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Growth Strategy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aim to create opportunity as an automotive company and a technology provider for other automotive OEMs.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Vehicle Roadmap. </w:t>
      </w:r>
      <w:r>
        <w:rPr>
          <w:rFonts w:ascii="Times New Roman;sans-serif" w:hAnsi="Times New Roman;sans-serif"/>
          <w:b w:val="false"/>
          <w:color w:val="000000"/>
          <w:sz w:val="20"/>
        </w:rPr>
        <w:t>We have established a planned roadmap for future vehicle lines that includes a variety of vehicle types that are expected to perform well in various customer segments. By utilizing the Lucid Air to establish the brand, we plan to leverage economies of scale and efficiency of operations to unlock sales in higher-volume vehicle segments. We will seek to establish a strong customer base in the luxury and premium vehicle markets across the globe.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International Expansion.</w:t>
      </w:r>
      <w:r>
        <w:rPr>
          <w:color w:val="000000"/>
        </w:rPr>
        <w:t xml:space="preserve"> </w:t>
      </w:r>
      <w:r>
        <w:rPr>
          <w:rFonts w:ascii="Times New Roman;sans-serif" w:hAnsi="Times New Roman;sans-serif"/>
          <w:b w:val="false"/>
          <w:color w:val="000000"/>
          <w:sz w:val="20"/>
        </w:rPr>
        <w:t>We expect to establish manufacturing facilities in multiple geographies along with a retail and service footprint throughout each geographic area. These manufacturing facilities could include facilities for component subassembly, vehicle kit reassembly, and complete built unit vehicle production. We believe that establishing a global manufacturing footprint will help us to grow the brand, scale the business and address market demand in the Middle East, European and Asia-Pacific markets, while also taking action to address climate change. We anticipate that localized supply chain, production, distribution and retail can yield cost savings and environmental benefits with reduced transportation of product to the customer. We began construction of a manufacturing facility in Saudi Arabia in May 2022 and began SKD assembly in September 2023. See “</w:t>
      </w:r>
      <w:r>
        <w:rPr>
          <w:color w:val="000000"/>
        </w:rPr>
        <w:t>—</w:t>
      </w:r>
      <w:r>
        <w:rPr>
          <w:rFonts w:ascii="Times New Roman;sans-serif" w:hAnsi="Times New Roman;sans-serif"/>
          <w:b w:val="false"/>
          <w:i/>
          <w:color w:val="000000"/>
          <w:sz w:val="20"/>
        </w:rPr>
        <w:t>Manufacturing.</w:t>
      </w:r>
      <w:r>
        <w:rPr>
          <w:color w:val="000000"/>
        </w:rPr>
        <w: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Technology Outbound Sales &amp; Licensing. </w:t>
      </w:r>
      <w:r>
        <w:rPr>
          <w:rFonts w:ascii="Times New Roman;sans-serif" w:hAnsi="Times New Roman;sans-serif"/>
          <w:b w:val="false"/>
          <w:color w:val="000000"/>
          <w:sz w:val="20"/>
        </w:rPr>
        <w:t>We are actively engaged in supplying racing teams in a premier EV racing series with the front drive unit and software. We entered into the Strategic Technology Arrangement with Aston Martin under which we will provide Aston Martin access to our powertrain and battery system technology to use in Aston Martin’s initial and certain future EVs. We expect to continue expanding this technology division to supply our world class technology to other automotive OEMs and prospective partners in the transportation sector to help accelerate the adoption of EVs.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motivated to achieve a future where transportation is sustainable and works with the planet, not against it. The sale of technology solutions to traditional automotive OEMs would support that goal, as would sales to customers in the marine and aviation sectors. Our technology is modular and readily customizable, enhancing our suitability for build-to-print powertrain and battery solutions for other manufacturers.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Vehicles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Lucid Air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our current flagship product, the Lucid Air has established the bar for excellence across all our future products and experiences.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Lucid Air is a state-of-the-art luxury electric sedan featuring California-inspired design and award-winning powertrain technology. Some variants of the Lucid Air offer an EPA-estimated range of 516 miles on a single charge.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Lucid Space Concept offers class-leading interior space, with the Lucid Air providing a massive front trunk (or “frunk”) with a capacity of three times more than leading competitors. From the start of its development, we used the Lucid Space Concept to maximize interior space. This new approach to sedan architecture takes advantage of our miniaturized EV drivetrain to deliver full-size interior volume within a mid-size exterior footprint. This technical breakthrough resulted in class-leading interior space for the driver, passengers, and storage within a compact, agile, and efficient exterior.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Lucid Air offers a bench style rear seat that provides expansive space for three adults with class leading legroom. Some variants of the Lucid Air’s interior are capped with a glass canopy that creates an even more extravagant sense of space. Despite its expansive interior, the Lucid Air is more compact on the exterior than leading internal combustion engine (“ICE”) vehicles in the same class and segment.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centerpiece of the Lucid Air’s human-machine interface is its Glass Cockpit, a beautifully integrated, configurable infotainment system that is designed to provide a seamless connected experience for the driver. This system is presented on a compound three-screen display assembly that curves in front of the driver — including two touch screens. This display is designed to sit in the driver’s line of sight to increase operator safety and reduce time looking away from the road. The Glass Cockpit is augmented by a retractable center screen for a more immersive user interface.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Lucid Air is a true software-defined vehicle, designed to improve over time, with OTA software updates and key hardware already in place in the vehicle. For example, we recently launched RangeXchange, an innovative new feature enabling the Lucid Air to directly charge other EVs. This new capability is enabled by our bi-directional charging technology built into every Air via an OTA software update, as well as the RangeXchange adapter. This holistic systems approach to the integration of hardware and software is what allows us to provide these value-add updates and is what sets us apart in the automotive industry.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Lucid Air has the looks to match its advanced powertrain, with clean styling up front emphasized by slim headlights and a chrome strip that spans from one corner to the other. The hood features sculpting over the wheels to further emphasize power, and the windshield flows as one piece of glass all the way back to the B-pillar. The sleek lines work well with the Lucid Air’s short overhangs and large wheels. This pleasing shape is also functional, providing the Lucid Air Pure a low coefficient of drag at a mere 0.197 and enabling greater range. The Lucid Air’s interior themes are crafted with colors and materials that evoke iconic California locations at various times of day and night.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Efficiency is the ultimate measure of EV technology, and we believe our technology leads the industry in this respect, with a range efficiency of up to 4.74 miles of range per kilowatt-hour for some variants of the Lucid Air when equipped with 19-inch wheels.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Lucid Air is offered at various price points with different specifications. Following the limited-availability Lucid Air Dream Edition, which began deliveries in October 2021, we have subsequently rounded out the product lineup with Grand Touring, Touring, Sapphire and Pure variants of the Lucid Air. The Lucid Air Grand Touring offers the highest range potential and most power in the standard Air lineup, with an EPA-estimated range of 516 miles and 819 horsepower from its two-motor all-wheel drive configuration. The Lucid Air Touring is the quintessential Lucid Air, with better performance, range, energy efficiency, aerodynamics, and packaging than many other competitors. The Lucid Air Pure is the most accessible variant in the Lucid Air lines, and still offers 410 miles of estimated range. We have also commenced deliveries of the special production Lucid Air Sapphire, the highest-performance version of the Lucid Air, boasting 1,234 horsepower from three motors, 427 miles of an EPA-estimated range (when equipped with standard wheel inserts), the ability to accelerate from zero to 60 miles per hour in 1.89 seconds, and a quarter-mile time of 8.95 seconds.</w:t>
      </w:r>
    </w:p>
    <w:p>
      <w:pPr>
        <w:pStyle w:val="TextBody"/>
        <w:bidi w:val="0"/>
        <w:spacing w:lineRule="auto" w:line="288" w:before="240" w:after="283"/>
        <w:jc w:val="left"/>
        <w:rPr/>
      </w:pPr>
      <w:r>
        <w:rPr>
          <w:rFonts w:ascii="Times New Roman;sans-serif" w:hAnsi="Times New Roman;sans-serif"/>
          <w:b w:val="false"/>
          <w:color w:val="000000"/>
          <w:sz w:val="20"/>
        </w:rPr>
        <w:t>As discussed in “</w:t>
      </w:r>
      <w:r>
        <w:rPr>
          <w:color w:val="000000"/>
        </w:rPr>
        <w:t>— </w:t>
      </w:r>
      <w:r>
        <w:rPr>
          <w:rFonts w:ascii="Times New Roman;sans-serif" w:hAnsi="Times New Roman;sans-serif"/>
          <w:b w:val="false"/>
          <w:i/>
          <w:color w:val="000000"/>
          <w:sz w:val="20"/>
        </w:rPr>
        <w:t>Technology</w:t>
      </w:r>
      <w:r>
        <w:rPr>
          <w:color w:val="000000"/>
        </w:rPr>
        <w:t xml:space="preserve">” </w:t>
      </w:r>
      <w:r>
        <w:rPr>
          <w:rFonts w:ascii="Times New Roman;sans-serif" w:hAnsi="Times New Roman;sans-serif"/>
          <w:b w:val="false"/>
          <w:color w:val="000000"/>
          <w:sz w:val="20"/>
        </w:rPr>
        <w:t>below, the Lucid Air is underpinned by the Lucid Electric Advanced Platform (“LEAP”), which is designed with adjustability to support other vehicle variants to enable greater capital deployment efficiency and speed to market.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Vehicle Programs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Lucid Gravity, which we unveiled in November 2023 and start of production is scheduled for late 2024, will share many of the same attributes that make the Lucid Air special, including a class-leading spacious interior in a more compact and efficient exterior, and at least 440 miles for our longest range trim. We anticipate the use of Air components in the Lucid Gravity will enable efficiency in design, engineering, and capital expenditure deployment for the Lucid Gravity. We expect to have installed production capacity of 90,000 vehicles per year at AMP-1.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developed a roadmap of additional vehicles and platforms that will be accessible at a variety of price points. We have started manufacturing high-end vehicles to establish our brand and expect to progress to higher-volume vehicle segments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Technology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technology company that has set new standards for sustainable transportation. We have done so in part by developing proprietary EV technology in-house. Core to our DNA is the achievement of technical excellence.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in-house engineering team is focused on delivering innovation in all facets of vehicle development, including hardware and software development, vehicle design, and passenger comfort. The development of the Lucid Air was predicated on the premise that miniaturizing the powertrain would allow us to redesign what a car can be from the ground up.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refined our battery technologies over many years in real-world applications, including more than 95 million miles of vehicle testing and the supply of battery packs to all teams in the world’s premier EV racing series. We have used the data accumulated from these activities to refine our technology and thoughtfully develop the Lucid Air, and subsequently the Lucid Gravity.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in-house research and development organization establishes us as a leader across multiple technologies and areas of expertise. Our technological achievements include significant advancements to the core technologies that drive an EV and are instrumental in the LEAP. LEAP was designed and developed in-house, incorporating our six key powertrain elements: (i) battery pack &amp; battery management software, (ii) electric motors, (iii) power electronics, (iv) transmission, (v) control software, and (vi) two-way onboard boost-charger. The LEAP structure is an enabling factor allowing the Lucid Space Concept to support class-leading interior and cargo room for a luxury EV.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Areas where our in-house engineering has driven advancement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Battery Pack. </w:t>
      </w:r>
      <w:r>
        <w:rPr>
          <w:rFonts w:ascii="Times New Roman;sans-serif" w:hAnsi="Times New Roman;sans-serif"/>
          <w:b w:val="false"/>
          <w:color w:val="000000"/>
          <w:sz w:val="20"/>
        </w:rPr>
        <w:t>The Lucid Air’s battery pack translates our motorsport experience and more than 95 million miles of real-world testing into a compact and energy dense unit that was developed in-house with a clean-sheet approach to engineering. The battery pack is designed to be scalable and modular, providing opportunities for cost and range variations as we develop future variants on our LEAP architecture. It is also designed for performance, with advanced cell end-cooling and low resistance technologies designed to reduce heat generation, control battery cell thermal conditions and ultimately increase range.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battery packs incorporate battery cells from suppliers that have extensive experience in the development and manufacturing of cells for high-performance EV applications and robust battery cycle life. The battery cells incorporated into our battery packs are required to conform to our high standards, including with respect to our targets for range, energy density, recharge/discharge rates and other characteristics, and to support our compact, energy-dense battery pack form.</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battery packs support our vision to revolutionize EV technology through mass industrialization. Our single piece injection molded battery module is race derived yet designed for mass production, with electrical “bus bar” connectors that are integrally captured in the molding in a single operation — a profound technological advancement.</w:t>
      </w:r>
    </w:p>
    <w:p>
      <w:pPr>
        <w:pStyle w:val="TextBody"/>
        <w:bidi w:val="0"/>
        <w:spacing w:lineRule="auto" w:line="288" w:before="240" w:after="283"/>
        <w:jc w:val="left"/>
        <w:rPr/>
      </w:pPr>
      <w:r>
        <w:rPr>
          <w:rFonts w:ascii="Times New Roman;sans-serif" w:hAnsi="Times New Roman;sans-serif"/>
          <w:b w:val="false"/>
          <w:color w:val="000000"/>
          <w:sz w:val="20"/>
        </w:rPr>
        <w:t>The technology developed for the battery pack in the Lucid Air has transferred to the Lucid Gravity, and we believe is suitable for the industrialization of our Midsize platform, and to technologically adjacent markets. See “</w:t>
      </w:r>
      <w:r>
        <w:rPr>
          <w:color w:val="000000"/>
        </w:rPr>
        <w:t>— </w:t>
      </w:r>
      <w:r>
        <w:rPr>
          <w:rFonts w:ascii="Times New Roman;sans-serif" w:hAnsi="Times New Roman;sans-serif"/>
          <w:b w:val="false"/>
          <w:i/>
          <w:color w:val="000000"/>
          <w:sz w:val="20"/>
        </w:rPr>
        <w:t>Growth Strategy.</w:t>
      </w:r>
      <w:r>
        <w:rPr>
          <w:color w:val="000000"/>
        </w:rPr>
        <w:t xml:space="preserv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Integrated Electric Motor, Inverter and Transmission Drive Unit. </w:t>
      </w:r>
      <w:r>
        <w:rPr>
          <w:rFonts w:ascii="Times New Roman;sans-serif" w:hAnsi="Times New Roman;sans-serif"/>
          <w:b w:val="false"/>
          <w:color w:val="000000"/>
          <w:sz w:val="20"/>
        </w:rPr>
        <w:t>For our motor and gearbox system, we developed permanent magnet motors in-house. Combining these motors with an inverter and an integrated gearbox and differential creates an advanced electric drive unit that weighs just 163lb (74kg) and is small enough to fit inside a carry-on roller bag.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Lucid drive unit is capable of producing up to 670 horsepower with power density up to 9.0 horsepower per kg, depending on vehicle trim and variant. This compactness allows for one, two or even three units to be used to power a Lucid Air or Gravity. Further to this, we have developed motor and transmission technology for the world’s premier EVs racing series with a power density of over 14.5 horsepower per kg.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enablers of these electric motor characteristics include a set of inventions that are part of our intellectual property portfolio. Most notably, a new motor winding technology has been introduced to increase power output and reduce electrical losses. The motor also features an innovative cooling system that more effectively removes heat from the stator winding, reducing losses and boosting efficiency.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compactness of these electric drive units lays the foundation for our Space Concept vehicle design approach. The fully integrated transmission and differential also contribute to this approach. Together, these components comprise a unified, integrated rotational system that is both lightweight and extremely efficient. Meanwhile, we leverage a high voltage, silicon-carbide metal–oxide–semiconductor field-effect transistor (“MOSFET”) system in our inverters to increase efficiency, especially in real-world driving conditions.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Pursuit of a lightweight platform construction contributes to overall vehicle efficiency. Our technology allows for a lighter powertrain through miniaturization and improvement of key components. For example, the Lucid Air Grand Touring has an EPA-estimated range of 516 miles. Less weight leads to increased efficiency, even as performance is elevated to new levels.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Finally, we have also achieved breakthroughs in the advanced thermal management system within our electric motors. We have patented our efficient cooling design, which enables even higher levels of efficiency and performance.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Bi-directional Charging. </w:t>
      </w:r>
      <w:r>
        <w:rPr>
          <w:rFonts w:ascii="Times New Roman;sans-serif" w:hAnsi="Times New Roman;sans-serif"/>
          <w:b w:val="false"/>
          <w:color w:val="000000"/>
          <w:sz w:val="20"/>
        </w:rPr>
        <w:t>Our proprietary technology is designed to enable ultra-fast DC and bi-directional AC charging. The available 900V+ architecture and our Wunderbox are key enablers inside the Air’s electrical platform. The Wunderbox is a multi-function unit, developed in-house to ensure compatibility with charging systems of differing voltages. It enables “boost-charging” when needed, such as when connected to 400V charging infrastructure.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Wunderbox is also designed to enable a wide array of future-ready, bi-directional power delivery features, such as vehicle-to-grid (“V2G”) applications for situations such as managing home power outages. In November 2023, we launched RangeXchange, an innovative new feature enabling the Lucid Air to directly charge another EV. This new capability is enabled by our bi-directional charging technology built into every Air via an OTA software update, as well as the RangeXchange adapter. This holistic systems approach to the integration of hardware and software is what allows us to provide these value-add updates and truly sets us apart in the automotive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Software System. </w:t>
      </w:r>
      <w:r>
        <w:rPr>
          <w:rFonts w:ascii="Times New Roman;sans-serif" w:hAnsi="Times New Roman;sans-serif"/>
          <w:b w:val="false"/>
          <w:color w:val="000000"/>
          <w:sz w:val="20"/>
        </w:rPr>
        <w:t>The Lucid Air is a true software-defined vehicle. With software-enabled future-ready hardware, Lucid vehicles can evolve over time to best meet customer needs long after they take delivery. With highly advanced processing capabilities, the system is designed to leverage data analytics and OTA updates to improve and refresh the vehicle over time.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deployed more than 80 OTA software updates for improvements and bug fixes since customers deliveries began in October 2021.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2022, we introduced Lucid UX 2.0, our most extensive software update to that point, with hundreds of updates and new features for every Lucid Air on the road. These included new capabilities for the DreamDrive advanced driver assistance systems, enhanced system performance, and new on-screen layouts to make Lucid UX more ergonomically friendly. These software updates are developed, coded, validated, and deployed by Lucid’s in-house hardware and software engineering teams.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we introduced Apple CarPlay integration. Scheduled Charging, introduced in February 2023, allows customers to plug in a Lucid Air to a charger and begin charging at a predetermined time. In addition to these, we introduced several new features including Max A/C, Multitasking Widget, and Easy Entry, and made improvements to existing features including Highway Assist, SiriusXM, and Range Estimation.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Lucid DreamDrive. </w:t>
      </w:r>
      <w:r>
        <w:rPr>
          <w:rFonts w:ascii="Times New Roman;sans-serif" w:hAnsi="Times New Roman;sans-serif"/>
          <w:b w:val="false"/>
          <w:color w:val="000000"/>
          <w:sz w:val="20"/>
        </w:rPr>
        <w:t>The Lucid Air is equipped with an extensive sensor suite, high on-board computing power, back-up systems for Advanced Driver Assistance Systems (“ADAS”) and, over time, increased levels of partial autonomy. With 32 sensors onboard, the Lucid Air features one of the most comprehensive sensor suites among currently available production vehicles. The Lucid Air includes certain features with Level 2 ADAS functionality and is capable of software upgrades via OTA updates. Further, by collecting and analyzing fleet data, we expect to enhance our ADAS features and improve the Lucid experience over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Lucid’s Micro Lens Array (“MLA”) Lighting. </w:t>
      </w:r>
      <w:r>
        <w:rPr>
          <w:rFonts w:ascii="Times New Roman;sans-serif" w:hAnsi="Times New Roman;sans-serif"/>
          <w:b w:val="false"/>
          <w:color w:val="000000"/>
          <w:sz w:val="20"/>
        </w:rPr>
        <w:t>A revolution in optical technology, our MLA was created in-house and allows more accurate control over the intensity distribution of the headlamp than conventional technologies. In a very compact form factor, the technology delivers exceptional contrast, high peak intensity, and high color uniformity. This enables a long-illuminated distance in low-beam mode with good visibility on both sides of the road and low glare for oncoming traffic. The MLA also allows angular distribution adaptation without mechanical movement of the light module only by changing the electrical current to the LED. For example, it can change the beam pattern from a more range focused brighter narrow beam on a highway to a broader mid-distance focused beam in cities or improve illumination of the roadside in curves or intersections.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Manufacturing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built North America’s first greenfield, purpose-built EV manufacturing facilities, in Casa Grande, Arizona. Lucid’s manufacturing activities are carried out at Lucid’s vehicle manufacturing plant, AMP-1, and dedicated powertrain manufacturing facility, LPM-1. An emphasis on vertical integration of manufacturing capabilities provides us the opportunity to control our technology roadmap, ensure a high degree of quality control, and improve product margins relative to an outsourced manufacturing arrangement.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AMP-1 began production of the Lucid Air in September 2021. Phase 2 of our manufacturing expansion kicked off in mid-2021 and production started in September 2023. Phase 2 adds approximately 3 million square feet of manufacturing space to our facilities in Casa Grande. These expansion activities are expected to enable a 90,000 vehicles per year installed capacity within 2024. Within the AMP-1 phase 2 facility, we produce vehicles using innovative production processes and state-of-the-art equipment. Key elements of our vehicle engineering enable efficient and advanced manufacturing processes with a high degree of quality control.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expansions of AMP-1 are being planned to account for the launch of future vehicle programs that may be manufactured in Arizona and to accommodate growth in sales volumes. Our AMP-1 phase 2 facility will manufacture all current products as well as the Lucid Gravity. By building the factory from a clean slate and leveraging decades of industry experience, we expect to achieve (i) greater capital efficiencies, (ii) greater operational efficiencies, and (iii) consistent production quality. The key activities that currently take place in AMP-1 include body shell manufacture, painting of body shells, and general assembly. All key manufacturing activities will take place at AMP-1 once the expansion is complete, including stamping, powertrain production, battery remanufacturing, and onsite logistics.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2023, we also opened AMP-2, which was Saudi Arabia’s first-ever car manufacturing facility and our first manufacturing facility outside the United States, where we commenced SKD assembly operations. The facility’s initial operation is re-assembly of SKD Lucid Air vehicle “kits” that are pre-manufactured at AMP-1. It is expected to have installed annual capacity of 5,000 vehicles with the intent to scale up operations to meet demand in the Middle East and European markets.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global footprint with localized manufacturing will enable us to serve market demand with locally manufactured vehicles. We designed the production processes in AMP-1 and LPM-1 to be highly repeatable and scalable to standardize manufacturing operations and to build efficiency in our capital planning and deployment.</w:t>
      </w:r>
    </w:p>
    <w:p>
      <w:pPr>
        <w:pStyle w:val="TextBody"/>
        <w:bidi w:val="0"/>
        <w:spacing w:lineRule="auto" w:line="288" w:before="240" w:after="283"/>
        <w:jc w:val="left"/>
        <w:rPr/>
      </w:pPr>
      <w:r>
        <w:rPr>
          <w:rFonts w:ascii="Times New Roman;sans-serif" w:hAnsi="Times New Roman;sans-serif"/>
          <w:b/>
          <w:i/>
          <w:color w:val="000000"/>
          <w:sz w:val="20"/>
        </w:rPr>
        <w:t>Supply Chain</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supplier partners remain key in delivering our plan. Our vehicle contains thousands of parts and materials from suppliers around the globe. Lucid’s sourcing plans utilize a comprehensive qualification process to assess technical capability, quality, cost, footprint, etc. Challenges in supply chain remain, so collaborative relationships are essential. Lucid works closely with suppliers in the upfront development process and in supporting production needs and requirements. In December 2022, we announced a multi-year sourcing agreement for lithium-ion batteries with Panasonic Energy Co., Ltd. and certain of its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Go-To-Market Strategy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typical customer journey begins through our advanced digital platform. We use several channels to educate customers regarding our brand identity, explain the creation of our technology and highlight the people behind our design and technology. The goal is to cultivate a sense of brand loyalty with our customers. Our direct-to-consumer model allows customers the option of building vehicles to order or selecting from available cars via our digital platform. This initial engagement drives customers to our website to learn more about our story and our vehicles. On the website, customers can experience our online vehicle configurator, which provides an immersive and customizable opportunity to interact with our vehicles in a virtual setting. From there, we provide the customer with the option to either place an order online or visit one of our retail stores or gallery locations, which we refer to as “Studios.” We believe that our direct-to-consumer sales model, combined with a digitally enhanced luxury experience through our website and a refined in-store experience, creates opportunities to tailor to each customer’s purchase and ownership preferences. Customers have the option to visit a Studio in person, make their inquiries entirely online, or enjoy a combination of the two experiences.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developing our Studios, we have built a network of retail spaces to enable customers to experience the brand and our products in locations that underscore our design aesthetic. Like the Lucid Air and the Lucid Gravity, the interiors of Lucid Studios showcase color and material themes that represent specific locations within California as well as our focus on innovation with immersive technology experiences. We intend our Studios to provide a pressure-free environment for our customers to comfortably experience the brand and our products. Lucid Studios draw inspiration from the beauty, innovation, and diversity of our home state of California.</w:t>
      </w:r>
    </w:p>
    <w:p>
      <w:pPr>
        <w:pStyle w:val="TextBody"/>
        <w:bidi w:val="0"/>
        <w:spacing w:lineRule="auto" w:line="288" w:before="240" w:after="283"/>
        <w:jc w:val="left"/>
        <w:rPr/>
      </w:pPr>
      <w:r>
        <w:rPr>
          <w:rFonts w:ascii="Times New Roman;sans-serif" w:hAnsi="Times New Roman;sans-serif"/>
          <w:b w:val="false"/>
          <w:color w:val="000000"/>
          <w:sz w:val="20"/>
        </w:rPr>
        <w:t>Retail locations serve both as our sales channels and marketing tools in high-foot-traffic locations within urban areas. As of December 31, 2023, we had forty-five</w:t>
      </w:r>
      <w:r>
        <w:rPr>
          <w:color w:val="000000"/>
          <w:shd w:fill="FFFFFF" w:val="clear"/>
        </w:rPr>
        <w:t xml:space="preserve"> </w:t>
      </w:r>
      <w:r>
        <w:rPr>
          <w:rFonts w:ascii="Times New Roman;sans-serif" w:hAnsi="Times New Roman;sans-serif"/>
          <w:b w:val="false"/>
          <w:color w:val="000000"/>
          <w:sz w:val="20"/>
          <w:shd w:fill="FFFFFF" w:val="clear"/>
        </w:rPr>
        <w:t>Studios and service center locations opened, including locations in Europe and Middle East markets. We expect to increase coverage throughout North America, Europe, and Middle East markets in 2024. These markets are continuing to adopt EV, and we believe that establishing a strong retail presence will enhance our opportunity to increase our share of our total addressable market.</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a focus on convenience, our service operations include vehicle and customer support at customers’ physical locations through our mobile service offerings and certified partners for roadside assistance and collision repairs, as well as through our network of brick-and-mortar service centers. The Lucid Air is also designed to enable OTA updates and remote diagnostics.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Rather than investing in a proprietary charging network, we leverage third-party charging networks in North America and Europe. In North America, we have partnerships with Electrify America and Electrify Canada. In Europe, we have partnered with Bosch to aggregate over 1,000 networks across 29 European countries. This gives our customers access to over 630,000 public AC &amp; DC charge points throughout Europe. These partnerships allow us to avoid the capital intensity of establishing our own high-power networks and provides our customers with easy access to established networks across the United States, Canada and Europe.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Lucid Air is also compatible with Combined Charging System (“CCS”) based public and commercial charging stations. Additionally, in 2025, our customers will also have access to the Tesla Supercharging network via a North American Charging Standard (“NACS”) adapter. For at home charging, the Lucid Connected Home Charging Station can be installed to provide convenient, simple, and seamless charging at home. The Lucid Air now supports V2V charging and we expect to support further bi-directional capabilities with the Lucid Air and Lucid Connected Home Charging Station.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an agreement with the Government of Saudi Arabia, as represented by the Ministry of Finance, under which the Government of Saudi Arabia and its entities and corporate subsidiaries and other beneficiaries undertook to purchase up to 100,000 vehicles, with a minimum purchase quantity of 50,000 vehicles and an option to purchase up to an additional 50,000 vehicles over a ten-year period. We believe that our customer traction is strong and will continue to grow as we expand our footprint in Saudi Arabia.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Regulations and Credits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Environmental Regulations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an industry that is subject to extensive environmental regulation, which has become more stringent over time.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and the remediation of environmental contamination. Compliance with such laws and regulations at an international, regional, national, state, provincial and local level is and will be an important aspect of our ability to continue our operations.</w: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Environmental standards applicable to us are established by United States laws and regulations and those of other jurisdictions in which we operate, standards adopted by regulatory agencies and the permits and licenses we are required to obtain. Each of these sources is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periodic modifications and what we anticipate will be increasingly stringent requirements. Violations of these laws, regulations or permits and licenses may result in substantial civil and criminal fines, penalties and orders to cease the violating operations or to conduct or pay for corrective works. In some instances, violations may also result in the suspension or revocation of permits and licenses.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countries and U.S. states have announced a requirement for the sale of zero-emission vehicles only within proscribed timeframes, some as early as 2030, and we as an EV manufacturer are already able to comply with these requirements across our entire product portfolio as we expand. Our competitors, by contrast, will need to reconcile an expensive infrastructure with factories and equipment tailored for production of ICE vehicles, along with workforces trained to produce ICE vehicles and intellectual property portfolios geared for ICE vehicles.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Emissions Credits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 manufacture, sale, and/or registration of Zero Emission Vehicles (“ZEVs”) in various regions will earn certain regulatory credits that we can sell to other manufacturers. This may include ZEV credits in up to 16 U.S. jurisdictions referred to collectively as the “ZEV States” that require compliance with program mandates (California, Colorado, Connecticut, Maine, Maryland, Massachusetts, Minnesota, Nevada, New Jersey, New Mexico, New York, Oregon, Rhode Island, Vermont, Virginia and Washington). Lucid’s sales of ZEVs also generate credits that can be sold to other manufacturers under several other regulatory schemes that control emissions from automobiles. This would also include Corporate Average Fuel Economy (“CAFE”) credits under the U.S. Department of Transportation standards, greenhouse gas and other emission limitations credits from U.S. Environmental Protection Agency (“EPA”) programs, Low-Emission Vehicle (“LEV”) credits in California and most of the ZEV States plus Delaware, Pennsylvania and the District of Columbia, and similar credits in each of Europe, Canada, and Middle East.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ZEV credits are calculated under applicable regulation and are paid in relation to ZEVs sold and registered, including BEVs. ZEV programs generally assign ZEV credits to each vehicle manufacturer. Vehicle manufacturers are required to maintain ZEV credits equal to a set percentage of non-EV sold and registered in California and ZEV States. Each vehicle sold and registered in the state earns a number of credits based on the drivetrain type and the all-electric range of the vehicle under the Urban Dynamometer Driving Schedule Test Cycle.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reference, the ZEV credit requirement in California was 17% in 2023 and will rise to 22% in 2025. If a vehicle manufacturer does not sell enough EVs to meet its quota, it can choose to buy credits from other manufacturers who do or it would be required to pay a $5,000 fine for each credit it is short. We expect this requirement to provide an opportunity to generate revenue from the sale of ZEV credits.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we expect these environmental regulations to provide a tailwind to our growth, it is possible for certain regulations to result in margin pressures. For example, regulations that effectively impose EV production quotas on auto manufacturers may lead to an oversupply of EV, which in turn could promote price decreases. Changes to these incentives and regulations could affect our revenues and gross margins.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Credits and Benefits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benefit from additional opportunities under government regulations and legislation, such as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Customer tax credits and other benefits arising from government regulation may spur interest in our products and business. Our EVs qualify for the $7,500 federal tax credit under IRS Section 45W when sold for commercial uses, including those leased to customers, and may be eligible for incentives for EVs such as in Norway, which currently waives various toll charges and road taxes for BEVs and high-occupancy lane driving privileges available to purchasers in certain U.S. states such as California.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eligible for various tax credits, abatements and other benefits, including: the federal 30C Alternative Fuel Infrastructure tax credit for alternative fuel infrastructure; the federal 45X Advanced Energy Production Credit; the Qualified Facilities tax credit in Arizona; a California sales and use tax exclusion under the California Alternative Energy and Advanced Transportation Financing Authority; and other hiring and job training grants and income tax credits in both Arizona and California.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also be eligible for a loan pursuant to the Advanced Technology Vehicles Manufacturing Loan Program administered by the U.S. Department of Energy.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EPA Emissions and Certificate of Conformity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Clean Air Act requires that we obtain a Certificate of Conformity issued by the EPA and a California Executive Order issued by the California Air Resources Board (“CARB”) certifying that our vehicles comply with applicable emissions requirements. A Certificate of Conformity is required for vehicles sold in the United States, and an Executive Order from CARB is required for vehicles sold in states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adopted California standards. CARB sets the California standards for emissions control for certain regulated pollutants for new vehicles and engines sold in California. States that have adopted the California emission standards as approved by EPA also recognize the CARB Executive Order for sales of vehicles. In addition to California, there are 17 states plus the District of Columbia that have adopted California’s stricter emissions LEV standards, including New York, Massachusetts, Vermont, Maine, Pennsylvania, Connecticut, Rhode Island, Washington, Oregon, New Jersey, Maryland, Delaware, Colorado, Minnesota, Nevada, Virginia and New Mexico.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Lucid Air has zero emissions, we are required to seek an EPA Certificate of Conformity and, for vehicles sold in California or any of the other 18 U.S. jurisdictions that have adopted the stricter California emission standards, a CARB Executive Order. Compliance with the program is required in each state two model years following adoption of the program.</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Vehicle Safety and Testing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vehicles are subject to, and will be required to comply with, numerous regulatory requirements established by the National Highway Traffic Safety Administration (“NHTSA”), including applicable U.S. Federal Motor Vehicle Safety Standards (“FMVSS”). The Lucid Air fully complies with all applicable FMVSS without any exemptions, and we expect our future vehicles to either fully comply or comply with limited exemptions related to new technologies. Additionally, there are regulatory changes being considered for several FMVSS, and while we anticipate compliance, there is no assurance that we will comply with such changes under the final versions as enacted.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must self-certify that our vehicles meet all applicable FMVSS, as well as the NHTSA bumper standard, or otherwise are exempt, before our vehicles can be sold in the United States. Numerous FMVSS will apply to our vehicles, such as crash-worthiness requirements, crash avoidance requirements and EV-specific requirements. We will also be required to comply with other federal laws and regulations administered by NHTSA, including, among other things, ensuring our vehicles do not contain defects related to motor vehicle safety, recall requirements, the CAFE standards, Theft Prevention Act standards, consumer information labeling requirements, reporting required notices, bulletins and other communications, Early Warning Reporting, foreign recall reporting, and owner’s manual requirements.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Automobile Information and Disclosure Act requires manufacturers of motor vehicles to disclose certain information regarding the manufacturer’s suggested retail price, optional equipment and pricing. In addition, this law requires inclusion of city and highway fuel economy ratings, as determined by the EPA, as well as crash test ratings as determined by NHTSA if such tests are conducted.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expand our offerings outside of the United States, and in connection with such expansion our vehicles will be subject to foreign safety, environmental and other regulations. Many of those regulations are different from those applicable in the United States and may require redesign and/or retesting. For example, the European Union (“E.U.”) has established approval and oversight rules requiring that a national authority certify compliance with heightened safety rules, emissions limits and production requirements before vehicles can be sold in each E.U. member state.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various territorial legal requirements we are obligated to meet, the Lucid Air is engineered with the expectation that it will deliver overall five-star performance in the two main voluntary vehicle safety performance assessment programs, the U.S. New Car Assessment Program (“NCAP”) and the Euro NCAP. Five-star is the maximum attainable score. These programs have introduced several additional safety related tests aimed at improving the safety of passenger vehicles, both for occupants and pedestrians involved in collisions with vehicles. Some of these tests are derived from legal requirements, such as side impact, but have higher performance requirements. Others are unique to the programs. Areas covered by these tests included: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Mobile Progressive Deformable Barrier;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Full Width Rigid Barrier;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Mobile Side Impact Barrier;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Side Pole;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Far Side Impact;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Whiplash;</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Vulnerable Road Users (Pedestrians and Cyclists);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Safety Assist;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Rescue and Extrication.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ADAS Regulations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equipped the Lucid Air with certain advanced driver assistance features. Generally, laws pertaining to driver assistance features and self-driving vehicles are evolving globally, and in some cases may create restrictions on advanced driver assistance or self-driving features that Lucid may develop.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there are currently no U.S. federal regulations specifically pertaining to self-driving vehicles or self-driving equipment, NHTSA has published recommended guidelines on self-driving vehicles and retains the authority to investigate and/or act on the safety of any vehicle, equipment or features operating on public roads. Certain U.S. states also have legal restrictions on the operation, registration or licensure of self-driving vehicles, and many other states are considering similar restrictions. This regulatory patchwork increases the legal complexity with respect to self-driving vehicles in the United States.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markets that follow the regulations of the United Nations Economic Commission for Europe, some requirements restrict the design of advanced driver assistance or self-driving features, which can compromise or prevent their use entirely. Other applicable laws, both current and proposed, may hinder the path and timeline to introducing such features in the markets where they apply. Other jurisdictions, including China, continue to consider self-driving regulation. Any implemented regulations may differ materially from those in the United States and Europe, which may further increase the legal complexity of advanced driver assistance and self-driving features and limit or prevent certain features.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Automobile Manufacturer and Dealer Regulation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state laws regulate the manufacture, distribution, sale and service of automobiles, and generally require motor vehicle manufacturers and dealers to be licensed in order to sell vehicles directly to residents. Certain states do not permit automobile manufacturers to be licensed as dealers or to act in the capacity of a dealer, or otherwise restrict a manufacturer’s ability to deliver or service vehicles. To sell vehicles to residents of states where we are not licensed as a dealer, we expect to conduct the transfer of title out of the state. In certain such states, we expect to open Studios that serve an educational purpose and where the title transfer may not occur.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automobile dealer trade associations have challenged the legality of our operations and direct selling operations by OEMs in court and have used administrative and legislative processes to attempt to prohibit or limit such OEMs’ ability to operate existing stores or expand to new locations. Certain dealer associations have also actively lobbied state licensing agencies and legislators to interpret existing laws or enact new laws in ways not favorable to our planned direct sales and service model. We expect dealer trade associations to continue to lobby state licensing agencies and legislators to interpret existing laws or enact new laws in ways not favorable to our business model; however, we intend to oppose such efforts to limit our ability to operate and intend to proactively support legislation, and litigation when necessary, that enables our business model.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Battery Safety and Testing Regulation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battery packs are designed to conform to mandatory regulations that govern transport of “dangerous goods,” defined to include lithium-ion batteries, which may present a risk in transportation. The governing regulations, which are issued by the Pipeline and Hazardous Materials Safety Administration, are based on the United Nations (“U.N.”) Recommendations on the Safe Transport of Dangerous Goods Model Regulations and related U.N. Manual Tests and Criteria. The regulations vary by mode of shipping transportation, such as by ocean vessel, rail, truck or air. We plan to complete all applicable transportation tests for our battery packs, demonstrating our compliance with applicable regulations. We use lithium-ion cells in the high voltage battery packs in our vehicles. The use, storage and disposal of battery packs is regulated under federal law.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battery packs are intended to meet the applicable compliance requirements of the UN Manual of Tests and Criteria demonstrating our ability to ship battery packs by any method. These tests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Altitude simulation — simulating air transport;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Thermal cycling — assessing cell and battery seal integrity;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Vibration — simulating vibration during transport;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Shock — simulating possible impacts during transport;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External short circuit — simulating an external short circuit;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Overcharge — evaluating the ability of a rechargeable battery to withstand overcharging.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Data Privacy and Cybersecurity Regulation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variety of increasingly stringent federal, state, local and international laws and regulations relating to data privacy and cybersecurity, including, among other laws and regulations, the E.U.’s General Data Protection Regulation (“GDPR”), the UK General Data Protection Regulation (“UK GDPR”) (i.e. a version of the GDPR as implemented into the law of the United Kingdom), Saudi Arabia’s Personal Data Protection Law (“PDPL”), the rules and regulations promulgated under the authority of the Federal Trade Commission (“FTC”), the Gramm Leach Bliley Act, the California Consumer Privacy Act of 2018 (as amended by the California Privacy Rights Act of 2020, collectively, “CCPA”), certain other comprehensive state data privacy and cybersecurity laws and regulations, and various state data breach notification laws. We are also impacted by regulations obligating us to share vehicle repair-related information with third parties, including repair shops and repair tool hardware developers, under what are commonly called “right-to-repair” laws. In addition, the United Nations Economic Commission for Europe has introduced regulations governing connected vehicle cybersecurity in the E.U. which are mandatory for all new vehicle types from July 2022 and all new vehicles produced from July 2024. See “Risk Factors — Risks Related to Cybersecurity and Data Privacy” for more information regarding applicable cybersecurity and data privacy laws and regulations and risks related to cybersecurity and data privacy and “Item 1C — Cybersecurity” for more information regarding our cybersecurity risk management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face competition from both traditional automotive OEMs and an increasing number of newer companies focused on electric and other alternative fuel vehicles. We expect this competition to increase, particularly as the transportation sector continues to shift towards low-emission, zero-emission or carbon neutral solutions.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Lucid Air, the Lucid Gravity, and planned future vehicles are expected to compete with both traditional luxury internal combustion vehicles from established automotive OEMs and electric and other alternative fuel vehicles from both new manufacturers and established automotive OEMs, many of which have entered or have announced plans to enter the alternative fuel and electric vehicle market. Many major automobile manufacturers, including luxury automobile manufacturers, have EVs available today, and other current and prospective automobile manufacturers are also developing EVs. In addition, numerous manufacturers offer hybrid vehicles, including plug-in versions, with which our vehicles also compete.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primary competitive factors on which we will compete include, but are not limited to: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product quality, reliability and safety;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range, efficiency and charging speeds;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product performance;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technological innovation, including with respect to ADAS features;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access to charging options;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design, styling and luxury;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service options and customer experience;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management team experience at bringing EV and other disruptive technologies to market;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manufacturing efficiency;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brand recognition and prestige;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product price.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compete favorably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Furthermore, many of our competitors operate with a traditional sales and dealer distribution model for vehicles that may be viewed more favorably by potential customers. These competitors also compete with us in recruiting and retaining qualified research and development, sales, marketing and management personnel, as well as in acquiring technologies complementary to, or necessary for, our products. Additional mergers and acquisitions in the EV and luxury automotive markets may result in even more resources being concentrated in our competitors.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 is important to our business. Our commercial success depends in part on our ability to obtain, maintain, enforce, defend, and protect the intellectual property and other proprietary technology that we develop, to operate without infringing, misappropriating or otherwise violating the intellectual property and proprietary rights of others; and to prevent others from infringing, misappropriating or violating our intellectual property and proprietary rights. We rely on a combination of patents, trademarks, copyrights, trade secrets, know-how, continuing technological innovation, confidential information and other measures to develop and maintain our proprietary position including through employee, contractor, consultant and third-party nondisclosure and invention assignment agreements and other contractual arrangements.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Regardless of the coverage we seek under our existing patent applications, there is always a risk that alterations from our products or processes may provide sufficient basis for a competitor to avoid infringement claims. In addition, the coverage claimed in a patent application can be significantly reduced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We cannot provide any assurance that any patents will be issued from our pending or any future applications or that any current or future issued patents will adequately protect our intellectual property. For this and other risks related to our intellectual property, proprietary technology, inventions and improvements, please see the section entitled “Risk Factors — Risks Related to Our Business and Operations — Risks Related to Intellectual Property.”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approximately 189 issued U.S. patents, 103 pending U.S. patent applications, 199 issued foreign patents, 78 pending foreign patent applications and 90 pending Patent Cooperation Treaty patent applications.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also owned approximately 9 registered U.S. trademarks and 18 pending U.S. trademark applications, as well as 356 registered foreign trademarks and 156 pending foreign trademark applications in approximately 33 countries worldwide in addition to the European Union.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also owned approximately 30 issued U.S. design patents and 58 pending U.S. design patent applications, as well as 177 issued foreign design patents/industrial designs and 93 pending foreign design patent/industrial design applications.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develop additional intellectual property and proprietary technology as our engineering and validation activities proceed. Technologies that we have and intend to invest in and develop include engineering software, powertrain systems and controls, infotainment, cybersecurity, telematics and electrical architecture hardware and software. As we develop our technology, we will continue to build our intellectual property portfolio, including by pursuing patent and other intellectual property protection when we believe it is possible, cost-effective, beneficial and consistent with our overall intellectual property protection strategy.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intellectual property that we own, we also procure key technologies under our supply chain agreements, and we license key technologies under our license agreements.</w:t>
      </w:r>
    </w:p>
    <w:p>
      <w:pPr>
        <w:pStyle w:val="TextBody"/>
        <w:bidi w:val="0"/>
        <w:spacing w:lineRule="auto" w:line="288" w:before="240" w:after="283"/>
        <w:jc w:val="left"/>
        <w:rPr/>
      </w:pPr>
      <w:r>
        <w:rPr>
          <w:rFonts w:ascii="Times New Roman;sans-serif" w:hAnsi="Times New Roman;sans-serif"/>
          <w:b w:val="false"/>
          <w:color w:val="000000"/>
          <w:sz w:val="20"/>
        </w:rPr>
        <w:t>See “—</w:t>
      </w:r>
      <w:r>
        <w:rPr>
          <w:color w:val="000000"/>
        </w:rPr>
        <w:t> </w:t>
      </w:r>
      <w:r>
        <w:rPr>
          <w:rFonts w:ascii="Times New Roman;sans-serif" w:hAnsi="Times New Roman;sans-serif"/>
          <w:b w:val="false"/>
          <w:i/>
          <w:color w:val="000000"/>
          <w:sz w:val="20"/>
        </w:rPr>
        <w:t>Our Vehicles</w:t>
      </w:r>
      <w:r>
        <w:rPr>
          <w:color w:val="000000"/>
        </w:rPr>
        <w:t xml:space="preserve">” </w:t>
      </w:r>
      <w:r>
        <w:rPr>
          <w:rFonts w:ascii="Times New Roman;sans-serif" w:hAnsi="Times New Roman;sans-serif"/>
          <w:b w:val="false"/>
          <w:color w:val="000000"/>
          <w:sz w:val="20"/>
        </w:rPr>
        <w:t>and “— </w:t>
      </w:r>
      <w:r>
        <w:rPr>
          <w:rFonts w:ascii="Times New Roman;sans-serif" w:hAnsi="Times New Roman;sans-serif"/>
          <w:b w:val="false"/>
          <w:i/>
          <w:color w:val="000000"/>
          <w:sz w:val="20"/>
        </w:rPr>
        <w:t>Technology</w:t>
      </w:r>
      <w:r>
        <w:rPr>
          <w:color w:val="000000"/>
        </w:rPr>
        <w:t xml:space="preserve">” </w:t>
      </w:r>
      <w:r>
        <w:rPr>
          <w:rFonts w:ascii="Times New Roman;sans-serif" w:hAnsi="Times New Roman;sans-serif"/>
          <w:b w:val="false"/>
          <w:color w:val="000000"/>
          <w:sz w:val="20"/>
        </w:rPr>
        <w:t xml:space="preserve">above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individual issued patents extend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The duration of foreign patents varies in accordance with provisions of applicable local law, but typically is also 20 years from the earliest effective filing date. The actual protection afforded by a patent may vary from country to country and can depend upon many factors, including the type of patent, the scope of its coverage, the availability of patent term adjustments or extensions, the availability of legal remedies in a particular country and the validity and enforceability of the patent. As a result, our owned patent portfolio may not provide us with sufficient rights to exclude others from commercializing products similar or identical to ours.</w:t>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rely upon trade secrets, know-how, confidential information, unpatented technologies, continuing technological innovation and other proprietary information to develop, protect and maintain our competitive position and aspects of our business that are not amenable to, or that we do not presently consider appropriate for, patent protection and prevent competitors from reverse engineering or copying our technologies. However, the foregoing rights, technologies and information are difficult to protect. We seek to protect them by, in part, using confidentiality agreements with our employees, contractors, consultants and any potential commercial partners and collaborators and invention assignment agreements with our employees. We also have implemented or intend to implement confidentiality agreements or invention assignment agreements with our selected contractors, consultants, and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There can be no assurance that these agreements will be self-executing or otherwise provide meaningful protection for our trade secrets or other intellectual property or proprietary information or technology. In addition, our trade secrets may otherwise become known or be independently discovered by competitors. To the extent that our commercial partners, collaborators, employees, contractors, and consultants use intellectual property owned by others in their work for us, disputes may arise as to the rights in related or resulting know-how and inventions.</w:t>
      </w:r>
    </w:p>
    <w:p>
      <w:pPr>
        <w:pStyle w:val="TextBody"/>
        <w:bidi w:val="0"/>
        <w:spacing w:lineRule="auto" w:line="288" w:before="240" w:after="283"/>
        <w:jc w:val="left"/>
        <w:rPr/>
      </w:pPr>
      <w:r>
        <w:rPr>
          <w:rFonts w:ascii="Times New Roman;sans-serif" w:hAnsi="Times New Roman;sans-serif"/>
          <w:b w:val="false"/>
          <w:color w:val="000000"/>
          <w:sz w:val="20"/>
        </w:rPr>
        <w:t>Our commercial success will also depend in part on not infringing,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or technologies may have an adverse impact on us. Given that patent applications in the United States and certain other jurisdictions are maintained in secrecy for 18 months or potentially longer, and since publication of discoveries in the scientific or patent literature often lags behind actual discoveries, we cannot be certain of the patent protection being sought by third parties and/or the priority of inventions covered by such patent applications. Moreover, we may have to participate in interference, revocation, derivation, re-examination, post-grant review, inter partes review or opposition proceedings brought by third parties or declared by the U.S. Patent and Trademark Office or an equivalent foreign body. See “</w:t>
      </w:r>
      <w:r>
        <w:rPr>
          <w:rFonts w:ascii="Times New Roman;sans-serif" w:hAnsi="Times New Roman;sans-serif"/>
          <w:b w:val="false"/>
          <w:i/>
          <w:color w:val="000000"/>
          <w:sz w:val="20"/>
        </w:rPr>
        <w:t>Risk Factors — Risks Related to Our Business and Operations — Risks Related to Intellectual Property</w:t>
      </w:r>
      <w:r>
        <w:rPr>
          <w:color w:val="000000"/>
        </w:rPr>
        <w:t xml:space="preserve">” </w:t>
      </w:r>
      <w:r>
        <w:rPr>
          <w:rFonts w:ascii="Times New Roman;sans-serif" w:hAnsi="Times New Roman;sans-serif"/>
          <w:b w:val="false"/>
          <w:color w:val="000000"/>
          <w:sz w:val="20"/>
        </w:rPr>
        <w:t>for more information regarding these and other risks related to our intellectual property portfolio and their potential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Lucid, we strongly believe in the power of our talented employees and partners to create, build, and support the world’s most captivating luxury EV available in the market. We seek to attract and retain employees whose respective professional and personal backgrounds can help craft an unparalleled suite of state-of-the-art, technologically advanced, California-inspired vehicles for consumers worldwide.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Towards these goals, as of December 31, 2023, we employed approximately 6,500 full-time employees globally. Our employees are primarily based at our headquarters in Newark, California, at our regional headquarters in Riyadh, Saudi Arabia, at our EV manufacturing facilities in Casa Grande, Arizona, and King Abdullah Economic City (“KAEC”), Saudi Arabia, and at our retail stores and service centers throughout the United States and Canada, Europe, and Saudi Arabia.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mission-first passion to inspire the adoption of sustainable transportation would not be possible without a broad array of experiences, professional and personal backgrounds, and individual identities across our team. We work hard to attract a pool of diverse candidates for all open positions. As of December 31, 2023, approximately 71% of Lucid’s employees in the United States were identified as Black or African American, Hispanic or Latino, Asian, American Indian or Alaskan Native, Native Hawaiian or Pacific Islander, and two or more races or ethnicities.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Culture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design is led by inspiration, invention by insight, and engineering by experience, we believe that anything is possible. Our relentless focus on innovation, luxury, and sustainability moves us toward a future where you no longer must choose between doing great things and doing the right thing.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collective of future visionaries; those who can think and do differently, that thrive on challenge and collaboration. Inspired by infinite possibilities, we strive to make a profound difference in the world. We are a team that values innovation, harnesses our passions, and embraces the entrepreneurial mind of limitless potential. We recognize, welcome, and appreciate the unique experiences and diverse perspectives that each of our employees bring with them, that in turn fuel our shared successes.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foster an open, egalitarian culture where all ideas and concerns can be raised to any member of leadership. It is a core belief that each employee has a unique lens which helps propel Lucid’s mission forward. To that end, we urge all employees to communicate their thoughts and to use any channel they deem warranted to share their perspective towards our mission. This approach helps fuel innovation, prevent stumbling blocks, and engages all employees towards being a member of one, unified team.</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Safety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instilled an expectation and culture of safety in our workplace. As a manufacturing company, we are committed to ensuring workplace health, safety and environmental protection for our employees, suppliers, business partners, customers, and all our stakeholders. We protect the health and safety of our employees through a proactive and systematic approach to safety and health management. To demonstrate this, in 2023, we maintained ISO 45001 and ISO 14001 certifications for our Arizona manufacturing site which validates our system of continuous improvement to reduce occupational risk and improve worker safety.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Diversity, Equity and Inclusion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Lucid, diversity, equity, inclusion is an essential part of who we are. We value the diverse perspectives, experiences, and identities of our employees who reflect the communities we serve. Our differences spark innovation and drive us forward, which is why we are committed to fostering an equitable and inclusive culture that empowers us to bring our best selves to work and achieve our mission to build a better future together.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people centric and data-driven DEI strategy focuses on three pillars: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1.Growing a diverse workforce by attracting, hiring, and promoting talent from all backgrounds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2.Fostering an equitable and inclusive culture by promoting policies, practices, and programs that support and engage all employees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3.Being key contributors to the community by engaging with and investing in local communities where we operate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note, Lucid sponsors seven employee resource groups to support and empower historically excluded affinities: Women at Lucid, Pride at Lucid, Veterans at Lucid, Black at Lucid, Hola at Lucid, AaPI at Lucid, and Sustainability at Lucid. These seven groups help foster Lucid’s inclusive and dynamic workforce while helping to fuel our business objective of centering our suite of vehicles on the human experience.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offer competitive compensation to attract and retain the best people in the world, and we help care for our people so they can focus on our mission. Our employees' total compensation package includes market-competitive cash compensation and equity awards to all employees. We offer full-time employees equity at the time of hire and through annual equity grants because we want them to be owners of the company and committed to our long-term success. In 2023, we strengthened our support for employees and their families through the introduction of new health and wellness benefits. We are pleased to support employees and families through a comprehensive suite of insurance and retirement offerings, most of which can be individually selected by each employee to best fit their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ENVIRONMENTAL IMPACT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an EV company relentlessly focused on efficiency, our products are a key part of transforming the transportation space to a more sustainable model. But having sustainable products alone is not enough; we are dedicated to a holistic environmental, social, and governance (“ESG”) strategy to maximize our ability to positively impact our environment and society, meet investor expectations, and instill pride and purpose in our employees and customers.</w:t>
      </w:r>
    </w:p>
    <w:p>
      <w:pPr>
        <w:pStyle w:val="TextBody"/>
        <w:bidi w:val="0"/>
        <w:spacing w:lineRule="auto" w:line="288" w:before="240" w:after="283"/>
        <w:ind w:left="0" w:right="0" w:hanging="360"/>
        <w:jc w:val="left"/>
        <w:rPr/>
      </w:pPr>
      <w:r>
        <w:rPr>
          <w:color w:val="231F20"/>
        </w:rPr>
        <w:t>•</w:t>
      </w:r>
      <w:r>
        <w:rPr>
          <w:rFonts w:ascii="Times New Roman;sans-serif" w:hAnsi="Times New Roman;sans-serif"/>
          <w:b/>
          <w:i/>
          <w:color w:val="231F20"/>
          <w:sz w:val="20"/>
        </w:rPr>
        <w:t>ESG Strategy</w:t>
      </w:r>
      <w:r>
        <w:rPr>
          <w:rFonts w:ascii="Times New Roman;sans-serif" w:hAnsi="Times New Roman;sans-serif"/>
          <w:b w:val="false"/>
          <w:i/>
          <w:color w:val="231F20"/>
          <w:sz w:val="20"/>
        </w:rPr>
        <w:t xml:space="preserve">: </w:t>
      </w:r>
      <w:r>
        <w:rPr>
          <w:rFonts w:ascii="Times New Roman;sans-serif" w:hAnsi="Times New Roman;sans-serif"/>
          <w:b w:val="false"/>
          <w:color w:val="231F20"/>
          <w:sz w:val="20"/>
        </w:rPr>
        <w:t>Our dedicated ESG team is driving our efforts to implement leading environmental, social, and governance strategy and program. In 2021, we completed a high-level ESG materiality assessment to identify key topics for our ESG strategy. This effort included insight on investors, ratings and rankings, company leadership interviews, research on peers and consumer trends, and a business/investor media review. During 2022 and 2023, we continued to keep a pulse on the dynamic ESG field to allocate resources to the most significant ESG topics to our business. Our ESG Steering Committee, comprised of senior executive leaders, meets on a regular basis to drive our strategic roadmapping in the ESG topics such as climate and GHG emissions, DEI, and ESG partnerships. We enhanced our ESG disclosures, and plan to continue to build our internal capabilities for data collection and disclosure for high-level reporting on ESG performance, in alignment with leading industry standards.</w:t>
      </w:r>
    </w:p>
    <w:p>
      <w:pPr>
        <w:pStyle w:val="TextBody"/>
        <w:bidi w:val="0"/>
        <w:spacing w:lineRule="auto" w:line="288" w:before="240" w:after="283"/>
        <w:ind w:left="0" w:right="0" w:hanging="360"/>
        <w:jc w:val="left"/>
        <w:rPr/>
      </w:pPr>
      <w:r>
        <w:rPr>
          <w:color w:val="231F20"/>
        </w:rPr>
        <w:t>•</w:t>
      </w:r>
      <w:r>
        <w:rPr>
          <w:rFonts w:ascii="Times New Roman;sans-serif" w:hAnsi="Times New Roman;sans-serif"/>
          <w:b/>
          <w:i/>
          <w:color w:val="231F20"/>
          <w:sz w:val="20"/>
        </w:rPr>
        <w:t>United Nations Global Compact:</w:t>
      </w:r>
      <w:r>
        <w:rPr>
          <w:color w:val="231F20"/>
        </w:rPr>
        <w:t xml:space="preserve"> </w:t>
      </w:r>
      <w:r>
        <w:rPr>
          <w:rFonts w:ascii="Times New Roman;sans-serif" w:hAnsi="Times New Roman;sans-serif"/>
          <w:b w:val="false"/>
          <w:color w:val="231F20"/>
          <w:sz w:val="20"/>
        </w:rPr>
        <w:t>In April 2023, we joined the United Nations Global Compact (“UN Global Compact”), the world’s largest voluntary corporate sustainability initiative that seeks to mobilize a global movement of sustainable companies and stakeholders. The UN Global Compact challenges companies to conduct business responsibly by aligning their operations and strategies with the United Nations’ Ten Principles relating to human rights, labor, environmental practices, and anti-corruption. By joining, we have committed to act in accordance with the UN Sustainable Development Goals. Member organizations commit not only to sustainable practices but also to enhancing transparency. Signatories report yearly on their commitment to the universal sustainability principles and development goals.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Product Efficiency: </w:t>
      </w:r>
      <w:r>
        <w:rPr>
          <w:rFonts w:ascii="Times New Roman;sans-serif" w:hAnsi="Times New Roman;sans-serif"/>
          <w:b w:val="false"/>
          <w:color w:val="000000"/>
          <w:sz w:val="20"/>
        </w:rPr>
        <w:t>Efficiency is a key measure of the in-house technology embedded in our products, contributing to our goal of a best-in-class experience for our customers while benefiting the environment. The Lucid Air continues to be the longest-range fully electric car (the Lucid Air Grand Touring has an EPA-estimated range of 516 miles per charge) and has some of the highest driving efficiency (the Lucid Air Pure with 4.74 miles of range per kilowatt-hour), and the Lucid Air has one of the lowest coefficient of drag of any vehicle on the market (0.197 coefficient of drag with 19-inch wheels). These achievements are based on a relentless focus on efficiency through the EV powertrain, battery pack and system, and a highly aerodynamic design. This focus on efficiency also enables our vehicles to travel further per electron of energy. Each extra mile that we extract per kilowatt-hour of energy means less energy required and fewer carbon emissions from the electrical grid. This same efficient technology and approach enables the possibility of vehicles with smaller, lower-cost battery packs that retain competitive range — which in turn would benefit the environment by requiring fewer battery cells per vehicle.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Future Adaptations of our Technology:</w:t>
      </w:r>
      <w:r>
        <w:rPr>
          <w:color w:val="000000"/>
        </w:rPr>
        <w:t xml:space="preserve"> </w:t>
      </w:r>
      <w:r>
        <w:rPr>
          <w:rFonts w:ascii="Times New Roman;sans-serif" w:hAnsi="Times New Roman;sans-serif"/>
          <w:b w:val="false"/>
          <w:color w:val="000000"/>
          <w:sz w:val="20"/>
        </w:rPr>
        <w:t>We are exploring opportunities to adapt and expand the impact of our technology. For example, by providing our advanced technology access to other organizations and researching other use cases for our compelling technology, we can spread the benefits of efficiency and enable EV adoption through and beyond Lucid’s own vehicles. Our state-of-the-art technology is showcased in the execution of the award-winning the Lucid Air lineup. The industry-topping capabilities of the Lucid Air are a compelling proof point for the growing interest in getting access to our technology. In 2023, we entered into the Strategic Technology Arrangement with Aston Martin to provide them technology access to our powertrain and battery system technology, which will be at the center of their all-new in-house battery EV platform. This landmark arrangement marks the first such relationship for Lucid, a realization of a vision that expands the reach of Lucid's products, paves the way for more mainstream applications, and accelerates electrification in the automotive industry.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Environmental Operations: </w:t>
      </w:r>
      <w:r>
        <w:rPr>
          <w:rFonts w:ascii="Times New Roman;sans-serif" w:hAnsi="Times New Roman;sans-serif"/>
          <w:b w:val="false"/>
          <w:color w:val="000000"/>
          <w:sz w:val="20"/>
        </w:rPr>
        <w:t>From our production facility in Casa Grande, Arizona to our vehicle reassembly facility in Saudi Arabia, we have designed our manufacturing sites to minimize carbon emissions where practical through energy efficiency. Our factory in Casa Grande, Arizona, is the first greenfield EV factory in North America, and it was designed to minimize carbon emissions where practical through energy efficient design and plans for renewable energy generation onsite. We strive to reduce the environmental impact of manufacturing while maintaining our relentless drive to produce high-quality vehicles for our customers. We currently have up to a 1 mega-watt (“MW”) capacity solar power system in Arizona (with a total capacity of up to 2 MW including our headquarters in California) and we are actively working to increase renewable energy generation. Our operations pair with an environmental, health, and safety policy that encompasses training, measurement, and monitoring of data, and corrective actions for continuous improvement. Additionally, to emphasize our focus on quality, environment, and occupational health and safety, our Arizona factory has been ISO 9001, 45001, and 14001 certified, a globally recognized Quality Management System (“QMS”), Occupational Health and Safety Management System (“OH&amp;S MS”), and Environmental Management System (“EMS”)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that sound governance practices are critical to ethical business practices and our overall success as an organization and business.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 xml:space="preserve">Corporate Governance: </w:t>
      </w:r>
      <w:r>
        <w:rPr>
          <w:rFonts w:ascii="Times New Roman;sans-serif" w:hAnsi="Times New Roman;sans-serif"/>
          <w:b w:val="false"/>
          <w:color w:val="000000"/>
          <w:sz w:val="20"/>
        </w:rPr>
        <w:t>Our corporate governance best practices include: a majority independent Board under SEC and Nasdaq rules; a diverse Board with 3 female directors and 4 members of under-represented communities; an independent chairman of the Board; and no classified board structure (all directors must be elected every year).</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Business Ethics:</w:t>
      </w:r>
      <w:r>
        <w:rPr>
          <w:color w:val="000000"/>
        </w:rPr>
        <w:t xml:space="preserve"> </w:t>
      </w:r>
      <w:r>
        <w:rPr>
          <w:rFonts w:ascii="Times New Roman;sans-serif" w:hAnsi="Times New Roman;sans-serif"/>
          <w:b w:val="false"/>
          <w:color w:val="000000"/>
          <w:sz w:val="20"/>
        </w:rPr>
        <w:t>We have a publicly available Code of Business Conduct and Ethics and a framework to receive and investigate reports of policy violations. The Code of Business Conduct and Ethics is available on our Investor Relations website at https://ir.lucidmotors.com under the subheading “Governance.”</w:t>
      </w:r>
    </w:p>
    <w:p>
      <w:pPr>
        <w:pStyle w:val="TextBody"/>
        <w:bidi w:val="0"/>
        <w:spacing w:lineRule="auto" w:line="288" w:before="240" w:after="283"/>
        <w:ind w:left="0" w:right="0" w:hanging="360"/>
        <w:jc w:val="left"/>
        <w:rPr/>
      </w:pPr>
      <w:r>
        <w:rPr>
          <w:color w:val="231F20"/>
        </w:rPr>
        <w:t>•</w:t>
      </w:r>
      <w:r>
        <w:rPr>
          <w:rFonts w:ascii="Times New Roman;sans-serif" w:hAnsi="Times New Roman;sans-serif"/>
          <w:b/>
          <w:i/>
          <w:color w:val="231F20"/>
          <w:sz w:val="20"/>
        </w:rPr>
        <w:t xml:space="preserve">Compliance: </w:t>
      </w:r>
      <w:r>
        <w:rPr>
          <w:rFonts w:ascii="Times New Roman;sans-serif" w:hAnsi="Times New Roman;sans-serif"/>
          <w:b w:val="false"/>
          <w:color w:val="231F20"/>
          <w:sz w:val="20"/>
        </w:rPr>
        <w:t>We are implementing a robust compliance program centered around a clear statement of principles and an expectation for both legal compliance and high ethical standards. We intend to achieve these goals through ongoing training and discussions with our employees, clear policies and guidelines, internal controls over financial transactions, technological solutions to automate screenings for legal compliance and a reporting hotline which enables employees and service providers to share allegations of any legal or ethical matters on an anonymous basis.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jc w:val="left"/>
        <w:rPr/>
      </w:pPr>
      <w:r>
        <w:rPr>
          <w:rFonts w:ascii="Times New Roman;sans-serif" w:hAnsi="Times New Roman;sans-serif"/>
          <w:b w:val="false"/>
          <w:color w:val="231F20"/>
          <w:sz w:val="20"/>
        </w:rPr>
        <w:t xml:space="preserve">We are required to file annual, quarterly and current reports, proxy statements and other information with the SEC. We also maintain an Investor Relations website at </w:t>
      </w:r>
      <w:r>
        <w:rPr>
          <w:rFonts w:ascii="Times New Roman;sans-serif" w:hAnsi="Times New Roman;sans-serif"/>
          <w:b w:val="false"/>
          <w:color w:val="000000"/>
          <w:sz w:val="20"/>
        </w:rPr>
        <w:t>https://ir.lucidmotors.com</w:t>
      </w:r>
      <w:r>
        <w:rPr>
          <w:rFonts w:ascii="Times New Roman;sans-serif" w:hAnsi="Times New Roman;sans-serif"/>
          <w:b w:val="false"/>
          <w:color w:val="231F20"/>
          <w:sz w:val="20"/>
        </w:rPr>
        <w:t>. Through our website, we make available, free of charge, the following documents of Lucid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Our SEC filings are available on the SEC’s website at www.sec.gov.</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website, the SEC’s website and the information contained therein or linked thereto are not part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 description of the risks and uncertainties associated with our business is set forth below. You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Our limited operating history makes evaluating our business and future prospects difficult and may increase the risk of your investment.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incurred net losses each year since our inception and expect to incur increasing expenses and substantial losses for the foreseeable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be unable to adequately control the substantial costs associated with our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Reservations and orders for our vehicles are cancellable.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global economic recession, government closures of banks and liquidity concerns at other financial institutions, or other downturn may have a material adverse impact on our business, prospects, results of operation and financial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currently depend primarily on revenue generated from a single model and in the foreseeable future will be significantly dependent on a limited number of models.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business and prospects depend significantly on our brand.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not have a third-party retail product distribution and full-service network.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fail to manage our future growth effectively, we may not be able to develop, manufacture, distribute, market and sell our vehicles successfully.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face risks associated with international operations, including unfavorable regulatory, political, tax and labor conditions, which could harm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automotive industry has significant barriers to entry that we must overcome in order to manufacture and sell electric vehicles at scale.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automotive market is highly competitive, and we may not be successful in competing in this industry.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experienced and may in the future experience significant delays in the design, manufacture, launch and financing of our vehicles, including the Lucid Air and the Lucid Gravity, which could harm our business and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costs, changes of supply or shortage of materials, in particular for lithium-ion battery cells or semiconductors, could harm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limited experience in high volume manufacture of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our vehicles fail to perform as expected, our ability to develop, market and sell or lease our products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face challenges providing charging solutions for our vehicles, both domestically and internationally.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loss of key employees or an inability to attract, retain and motivate qualified personnel may impair our ability to expand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highly dependent on the services of Peter Rawlinson, our Chief Executive Officer and Chief Technology Officer.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face regulatory limitations on our ability to sell vehicles directly, which could materially and adversely affect its ability to sell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require additional capital to support business growth, and this capital might not be available on commercially reasonable terms,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may not be able to </w:t>
      </w:r>
      <w:r>
        <w:rPr>
          <w:rFonts w:ascii="Times New Roman;sans-serif" w:hAnsi="Times New Roman;sans-serif"/>
          <w:b w:val="false"/>
          <w:color w:val="000000"/>
          <w:sz w:val="20"/>
          <w:shd w:fill="FFFFFF" w:val="clear"/>
        </w:rPr>
        <w:t>realize the anticipated benefits of our agreement with Aston Martin.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PIF and Ayar beneficially own a significant equity interest in us and may take actions that conflict with your interests.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Business and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limited operating history makes evaluating our business and future prospects difficult and may increase the risk of your investment.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an early-stage company with a limited operating history, operating in a rapidly evolving and highly regulated market. Furthermore, we have only released one commercially available vehicle, and we have limited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pStyle w:val="TextBody"/>
        <w:bidi w:val="0"/>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We have encountered and expect to continue to encounter risks and uncertainties frequently experienced by early-stage companies in rapidly changing markets, including risks relating to our ability to,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hire, integrate and retain professional and technical talent, including key members of management;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to make significant investments in research, development, manufacturing, marketing and sales;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successfully obtain, maintain, protect, defend and enforce our intellectual property and defend against claims of intellectual property infringement, misappropriation or other violation;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build a well-recognized and respected brand;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implement, refine and scale our commercial manufacturing capabilities and distribution infrastructure;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maintain satisfactory arrangements with third-party suppliers;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expand a customer base;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navigate an evolving and complex regulatory environment;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anticipate and adapt to changing market conditions, including consumer demand for certain vehicle types, models or trim levels, technological developments and changes in competitive landscape;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successfully design, build, manufacture and market new variants and models of electric vehicles, such as the Lucid Gravity.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incurred net losses each year since our inception and expect to incur increasing expenses and substantial losses for the foreseeable future.</w:t>
      </w:r>
    </w:p>
    <w:p>
      <w:pPr>
        <w:pStyle w:val="TextBody"/>
        <w:bidi w:val="0"/>
        <w:spacing w:lineRule="auto" w:line="288" w:before="240" w:after="283"/>
        <w:jc w:val="left"/>
        <w:rPr/>
      </w:pPr>
      <w:r>
        <w:rPr>
          <w:rFonts w:ascii="Times New Roman;sans-serif" w:hAnsi="Times New Roman;sans-serif"/>
          <w:b w:val="false"/>
          <w:color w:val="231F20"/>
          <w:sz w:val="20"/>
        </w:rPr>
        <w:t xml:space="preserve">We have incurred net losses each year since our inception, including net loss of </w:t>
      </w:r>
      <w:r>
        <w:rPr>
          <w:rFonts w:ascii="Times New Roman;sans-serif" w:hAnsi="Times New Roman;sans-serif"/>
          <w:b w:val="false"/>
          <w:color w:val="000000"/>
          <w:sz w:val="20"/>
        </w:rPr>
        <w:t>$2.8 billion for the year ended December 31, 2023. As of December 31, 2023, our accumulated deficit was $10.2 billion. We e</w:t>
      </w:r>
      <w:r>
        <w:rPr>
          <w:rFonts w:ascii="Times New Roman;sans-serif" w:hAnsi="Times New Roman;sans-serif"/>
          <w:b w:val="false"/>
          <w:color w:val="242424"/>
          <w:sz w:val="20"/>
        </w:rPr>
        <w:t>xpect to continue to inc</w:t>
      </w:r>
      <w:r>
        <w:rPr>
          <w:rFonts w:ascii="Times New Roman;sans-serif" w:hAnsi="Times New Roman;sans-serif"/>
          <w:b w:val="false"/>
          <w:color w:val="000000"/>
          <w:sz w:val="20"/>
        </w:rPr>
        <w:t>ur substantial losses and increasing expenses in the foreseeable future as we: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to design, develop and manufacture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equip and expand our research, service, battery, powertrain, and manufacturing facilities to produce our vehicles in Arizona and in international locations such as Saudi Arabia;</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build up inventories of parts and components for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manufacture and store an available inventory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develop and deploy geographically dispersed vehicle charging partnerships;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 our design, research, development, maintenance and repair capabilities and facilities;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increase our sales, service and marketing activities and develop our distribution infrastructure;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 our general and administrative functions to support our growing operations and status as a public company.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unable to adequately control the substantial costs associated with our operations.</w:t>
      </w:r>
    </w:p>
    <w:p>
      <w:pPr>
        <w:pStyle w:val="TextBody"/>
        <w:bidi w:val="0"/>
        <w:spacing w:lineRule="auto" w:line="288" w:before="240" w:after="283"/>
        <w:jc w:val="left"/>
        <w:rPr/>
      </w:pPr>
      <w:r>
        <w:rPr>
          <w:rFonts w:ascii="Times New Roman;sans-serif" w:hAnsi="Times New Roman;sans-serif"/>
          <w:b w:val="false"/>
          <w:color w:val="231F20"/>
          <w:sz w:val="20"/>
        </w:rPr>
        <w:t>We will require significant capital to develop and grow our business. We have inc</w:t>
      </w:r>
      <w:r>
        <w:rPr>
          <w:rFonts w:ascii="Times New Roman;sans-serif" w:hAnsi="Times New Roman;sans-serif"/>
          <w:b w:val="false"/>
          <w:color w:val="000000"/>
          <w:sz w:val="20"/>
        </w:rPr>
        <w:t xml:space="preserve">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and other future products); raw material procurement costs; and general and administrative expenses as we scale our operations and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may result in an inability to fully utilize our purchase commitments with suppliers which could result in increased costs and excess inventory as well as potential inventory write-offs. </w:t>
      </w:r>
      <w:r>
        <w:rPr>
          <w:rFonts w:ascii="Times New Roman;sans-serif" w:hAnsi="Times New Roman;sans-serif"/>
          <w:b w:val="false"/>
          <w:color w:val="231F20"/>
          <w:sz w:val="20"/>
        </w:rPr>
        <w:t>In addition, we have incurred and expect to continue to incur significant costs servicing and maintaining customers’ vehicles, including establishing our service operations and facilities and undertaking product recalls. As a company,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Reservations and orders for our vehicles are cancellable.</w:t>
      </w:r>
    </w:p>
    <w:p>
      <w:pPr>
        <w:pStyle w:val="TextBody"/>
        <w:bidi w:val="0"/>
        <w:spacing w:lineRule="auto" w:line="288" w:before="240" w:after="283"/>
        <w:jc w:val="left"/>
        <w:rPr/>
      </w:pPr>
      <w:r>
        <w:rPr>
          <w:rFonts w:ascii="Times New Roman;sans-serif" w:hAnsi="Times New Roman;sans-serif"/>
          <w:b w:val="false"/>
          <w:color w:val="231F20"/>
          <w:sz w:val="20"/>
        </w:rPr>
        <w:t>Delays in customer deliveries, delays in the availability of options,</w:t>
      </w:r>
      <w:r>
        <w:rPr>
          <w:color w:val="000000"/>
        </w:rPr>
        <w:t xml:space="preserve"> </w:t>
      </w:r>
      <w:r>
        <w:rPr>
          <w:rFonts w:ascii="Times New Roman;sans-serif" w:hAnsi="Times New Roman;sans-serif"/>
          <w:b w:val="false"/>
          <w:color w:val="000000"/>
          <w:sz w:val="20"/>
        </w:rPr>
        <w:t xml:space="preserve">potential changes in customer preferences, competitive developments and other factors could result in significant customer cancellations or cause delays in conversions of reservations to orders. Increases in interest rates could make financing unaffordable for segments of our customer base, resulting in cancellations. </w:t>
      </w:r>
      <w:r>
        <w:rPr>
          <w:rFonts w:ascii="Times New Roman;sans-serif" w:hAnsi="Times New Roman;sans-serif"/>
          <w:b w:val="false"/>
          <w:color w:val="231F20"/>
          <w:sz w:val="20"/>
        </w:rPr>
        <w:t>Any event or incident which generates negative media coverage about us or the safety or quality of our vehicles could also result in significant customer cancellations. No assurance can be given that reservations or orders will not be cancelled and will ultimately result in the final purchase, delivery and sale or lease of vehicles. Accordingly, the number of reservations and orders have significant limitations as a measure of demand for our vehicles, including demand for particular body styles, models or trim levels, or for future vehicle sales. If we encounter delays in customer deliveries of the Lucid Air that further lengthen wait times or in the event of negative media coverage, a significant number of orders may be cancelled.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 global economic recession, government closures of banks and liquidity concerns at other financial institutions, or other downturn may have a material adverse impact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including the evolving conflict in Israel and Gaza, COVID-19 or other public health crises, interest rate increases or other policy actions by major central banks, government closures of banks and liquidity concerns at other financial institutions,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reservations and orders in response to higher interest rates, availability of consumer credit, decreased cash availability, </w:t>
      </w:r>
      <w:r>
        <w:rPr>
          <w:rFonts w:ascii="Times New Roman;sans-serif" w:hAnsi="Times New Roman;sans-serif"/>
          <w:b w:val="false"/>
          <w:color w:val="231F20"/>
          <w:sz w:val="20"/>
        </w:rPr>
        <w:t xml:space="preserve">fluctuations in foreign currency exchange rates, </w:t>
      </w:r>
      <w:r>
        <w:rPr>
          <w:rFonts w:ascii="Times New Roman;sans-serif" w:hAnsi="Times New Roman;sans-serif"/>
          <w:b w:val="false"/>
          <w:color w:val="000000"/>
          <w:sz w:val="20"/>
        </w:rPr>
        <w:t xml:space="preserve">and weakened consumer confidence. Reduced demand for our products may result in significant decreases in our product sales, which in turn would have a material adverse impact on our business, prospects, financial condition and results of operations. </w:t>
      </w:r>
      <w:r>
        <w:rPr>
          <w:rFonts w:ascii="Times New Roman;sans-serif" w:hAnsi="Times New Roman;sans-serif"/>
          <w:b w:val="false"/>
          <w:color w:val="231F20"/>
          <w:sz w:val="20"/>
        </w:rPr>
        <w:t>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Further, the prolonged effects of the COVID-19 pandemic could significantly affect government finances and, accordingly, the continued availability of incentives related to electric vehicle purchases and other governmental support programs.</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sans-serif" w:hAnsi="Times New Roman;sans-serif"/>
          <w:b w:val="false"/>
          <w:i/>
          <w:color w:val="000000"/>
          <w:sz w:val="20"/>
        </w:rPr>
        <w:t>We will require additional capital to support business growth, and this capital might not be available on commercially reasonable terms, or at all</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currently depend primarily on revenue generated from a single model and in the foreseeable future will be significantly dependent on a limited number of models.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depend primarily on revenue generated from a single vehicle model, the Lucid Air, and in the foreseeable future will be significantly dependent on a single or limited number of models. Although we have other vehicle models on our product roadmap, we are not scheduled to introduce another vehicle model for sale until late 2024. We expect to rely on sales from the Lucid Air, among other sources of financing, for the capital that will be required to develop and commercialize those subsequent models. To the extent that production of the Lucid Air or future models is delayed or reduced, or if the Lucid Air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we entered into an EV purchase agreement with the Government of Saudi Arabia as represented by the Ministry of Finance (the “EV Purchase Agreement”), which supersedes the letter of undertaking that we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absolute discretion to decide whether to exercise the option to purchase the additional 50,000 vehicles. See Item 2. Management’s Discussion and Analysis of Financial Condition and Results of Operations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set the appropriate purchase price for such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and prospects depend significantly on our brand.</w:t>
      </w:r>
    </w:p>
    <w:p>
      <w:pPr>
        <w:pStyle w:val="TextBody"/>
        <w:bidi w:val="0"/>
        <w:spacing w:lineRule="auto" w:line="288" w:before="240" w:after="283"/>
        <w:jc w:val="left"/>
        <w:rPr/>
      </w:pPr>
      <w:r>
        <w:rPr>
          <w:rFonts w:ascii="Times New Roman;sans-serif" w:hAnsi="Times New Roman;sans-serif"/>
          <w:b w:val="false"/>
          <w:color w:val="000000"/>
          <w:sz w:val="20"/>
        </w:rPr>
        <w:t>Our business and prospects will heavily depend on our ab</w:t>
      </w:r>
      <w:r>
        <w:rPr>
          <w:rFonts w:ascii="Times New Roman;sans-serif" w:hAnsi="Times New Roman;sans-serif"/>
          <w:b w:val="false"/>
          <w:color w:val="242424"/>
          <w:sz w:val="20"/>
        </w:rPr>
        <w:t>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change our customer development and branding practices, which could result in substantially increased expenses, including the need to use public relations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time-to-time,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Our sales will depend in part on our ability to establish and maintain confidence in our long-term business prospects among consumers, analysts and others within our industry.</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traditional automotive manufacturers now producing electric vehicles go out of business, discontinue production of electric vehicles,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will not have a third-party retail product distribution and full-service network.</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 xml:space="preserve">Third-party dealer networks are the traditional method of vehicle sales distribution and service. Because we sell directly to consumers,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 </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Our ability to generate meaningful product revenue will depend on consumer adoption of electric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pStyle w:val="TextBody"/>
        <w:bidi w:val="0"/>
        <w:spacing w:lineRule="auto" w:line="288" w:before="240" w:after="283"/>
        <w:jc w:val="left"/>
        <w:rPr/>
      </w:pPr>
      <w:r>
        <w:rPr>
          <w:rFonts w:ascii="Times New Roman;sans-serif" w:hAnsi="Times New Roman;sans-serif"/>
          <w:b w:val="false"/>
          <w:color w:val="242424"/>
          <w:sz w:val="20"/>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interest rates,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w:t>
      </w:r>
      <w:r>
        <w:rPr>
          <w:rFonts w:ascii="Times New Roman;sans-serif" w:hAnsi="Times New Roman;sans-serif"/>
          <w:b w:val="false"/>
          <w:color w:val="231F20"/>
          <w:sz w:val="20"/>
        </w:rPr>
        <w:t>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factors that may influence the adoption of electric vehicles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electric vehicle quality, safety, design, performance and cost;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limited range over which electric vehicles may be driven on a single battery charge;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concerns about electric grid capacity and reliability;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sustainability and environmental impact of electric vehicles, including with respect to both the sourcing and disposal of materials for electric vehicle batteries and the generation of electricity provided in the electric grid;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availability of other alternative fuel vehicles, including plug-in hybrid electric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improvements in the fuel economy of the internal combustion engine;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quality and availability of service for electric vehicles, especially in international markets;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volatility in the cost of oil and gasoline;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government regulations and economic incentives promoting fuel efficiency and alternate forms of energy;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access to charging stations and cost to charge an electric vehicle, especially in international markets, and related infrastructure costs and standardization;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availability of tax and other governmental incentives to purchase and operate electric vehicles or future regulation requiring increased use of nonpolluting vehicles;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macroeconomic factors.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manage our future growth effectively, we may not be able to develop, manufacture, distribute, market and sell our vehicles successfully.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failure to manage our growth effectively could materially and adversely affect our business, prospects, results of operations and financial condition. We are expanding our operations significantly and our current and future expansion plans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expanding our management team;</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hiring and training new personnel;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or expanding design, manufacturing, distribution, sales and service facilities;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implementing and enhancing administrative and business infrastructure, governance, systems and processes, including in connection with our maturation as a public company;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expanding into new markets and establishing sales, service, administrative, distribution, and/or manufacturing operations in many of those markets.</w:t>
      </w:r>
    </w:p>
    <w:p>
      <w:pPr>
        <w:pStyle w:val="TextBody"/>
        <w:bidi w:val="0"/>
        <w:spacing w:lineRule="auto" w:line="288" w:before="240" w:after="283"/>
        <w:jc w:val="left"/>
        <w:rPr/>
      </w:pPr>
      <w:r>
        <w:rPr>
          <w:rFonts w:ascii="Times New Roman;sans-serif" w:hAnsi="Times New Roman;sans-serif"/>
          <w:b w:val="false"/>
          <w:color w:val="231F20"/>
          <w:sz w:val="20"/>
        </w:rPr>
        <w:t>We require qualified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electric vehicles is intense, and we may not be able to identify, attract, integrate, train, motivate or retain sufficient highly qualified personnel in the future. Furthermore, any restructuring plan, which involves the reduction of our employee workforce, may adversely affect our internal programs and initiatives as well as our ability to recruit and retain skilled and motivated personnel.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The failure to identify, attract, integrate, train, motivate and retain these employees could seriously harm our business and pros</w:t>
      </w:r>
      <w:r>
        <w:rPr>
          <w:rFonts w:ascii="Times New Roman;sans-serif" w:hAnsi="Times New Roman;sans-serif"/>
          <w:b w:val="false"/>
          <w:color w:val="000000"/>
          <w:sz w:val="20"/>
        </w:rPr>
        <w:t xml:space="preserve">pects. In addition, our employee equity program is a key factor in our ability to attract and retain talent and continue to support the growth of the company. If </w:t>
      </w:r>
      <w:r>
        <w:rPr>
          <w:rFonts w:ascii="Times New Roman;sans-serif" w:hAnsi="Times New Roman;sans-serif"/>
          <w:b w:val="false"/>
          <w:color w:val="231F20"/>
          <w:sz w:val="20"/>
        </w:rPr>
        <w:t>we are unable to grant equity awards, or if we are forced to reduce the value of equity awards 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Any failure to develop and implement such manufacturing processes and capabilities within our projected costs and timelines could stunt our future growth and impair our ability to produce, market, service and sell or lease our vehicles successfully. In addition, our rapid growth, competitive real estate markets, and increasing rental rates, may impact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face risks associated with international operations, including unfavorable regulatory, political, tax and labor conditions, which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are also continuing the construction of AMP-2 in Saudi Arabia and may continue to further expand our manufacturing activities outside the United States. However, we have limited experience to date manufacturing our vehicles outside of the United States,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conforming our vehicles to various international regulatory and homologation requirements where our vehicles are sold;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localized supply chains and managing international supply chain and logistics costs, including the shipping and delivery of kits for the SKD facility;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sufficient charging points for our customers in those jurisdictions, via partnerships or, if necessary, via development of our own charging networks;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staffing and managing foreign operations, especially in jurisdictions where no EV ecosystem exists and qualified personnel must be hired and relocated;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attracting customers in new jurisdictions;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w:t>
      </w:r>
      <w:r>
        <w:rPr>
          <w:rFonts w:ascii="Times New Roman;sans-serif" w:hAnsi="Times New Roman;sans-serif"/>
          <w:b w:val="false"/>
          <w:color w:val="231F20"/>
          <w:sz w:val="20"/>
        </w:rPr>
        <w:t>ifficulties controlling costs and potential loss of funding, including as a result of delays in the construction or commencement of operations at AMP-2;</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inflation as well as fluctuations in foreign currency exchange rates and interest rates, including risks related to any forward currency contracts, interest rate swaps or other hedging activities we may undertake;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United States and foreign government trade restrictions, tariffs and price or exchange controls;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foreign laws, regulations and restrictions, including in the areas of supply chain, labor, sales, service, environment and health and safety, and related compliance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increasingly restrictive and complex foreign data privacy and cybersecurity laws, regulations and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diplomatic and trade relationships, including political risk and customer perceptions based on such changes and risks;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political instability, natural disasters, pandemics, wars, global conflicts or other geopolitical events (including the conflict in the Middle East, which is affecting shipping routes in that region), or events of terrorism;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strength of international economies.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fail to successfully address these risks, our business, prospects, results of operations and financial condition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automotive industry has significant barriers to entry that we must overcome in order to manufacture and sell electric vehicles at scale.</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AMP-1, we have not finished tooling all production lines at AMP-1. If we are not able to overcome these barriers, our business, prospects, results of operations and financial condition will be negatively impacted, and our ability to grow our business will be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automotive market is highly competitive, and we may not be successful in competing in this industry.</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global automotive market, particularly for electric and alternative fuel vehicles, is highly competitive, and we expect it will become even more so in the future. In recent years, the electric vehicle industry has grown, with the emergence of several companies that focus completely or partially on the electric vehicle market. In addition, traditional automotive manufacturers are also producing and selling electric and alternative fuel vehicles. We expect additional companies to enter this market within the next several years. Electric vehicle manufacturers with which we compete include Tesla, an increasing number of U.S.-based and international entrants and traditional automotive manufacturers, many of which have begun, or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recently announced vehicle price reductions, which may result in downward price pressure and reduced demand for our vehicles. However,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conditions.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increased demand for alternative fuel vehicles, continuing globalization, favorable governmental policies,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Developments in electric vehicle or alternative fuel technology or improvements in the internal combustion engine may adversely affect the demand for our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performance and software,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unavailability, reduction or elimination of certain government and economic programs could have a material adverse effect on our business, prospects, financial condition and results of operations.</w:t>
      </w:r>
    </w:p>
    <w:p>
      <w:pPr>
        <w:pStyle w:val="TextBody"/>
        <w:bidi w:val="0"/>
        <w:spacing w:lineRule="auto" w:line="288" w:before="240" w:after="283"/>
        <w:jc w:val="left"/>
        <w:rPr/>
      </w:pPr>
      <w:r>
        <w:rPr>
          <w:rFonts w:ascii="Times New Roman;sans-serif" w:hAnsi="Times New Roman;sans-serif"/>
          <w:b w:val="false"/>
          <w:color w:val="242424"/>
          <w:sz w:val="20"/>
        </w:rPr>
        <w:t xml:space="preserve">We expect to benefit from government and economic programs that encourage the development, manufacture or purchase of electric vehicles, such as zero emission vehicle credits, production tax credits, greenhouse gas credits and similar regulatory credits, the loss of which could harm our ability to generate revenue from the sale of such credits to other manufacturers; tax credits and other incentives to consumers, without which the net cost to consumers of our vehicles could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 For example, beginning in 2023, the Inflation Reduction Act of 2022 eliminated the $7,500 federal sales tax credit for sedans that have a manufacturer’s suggested retail price over $55,000, although a tax credit remains available for vehicles that are leased rather than purchased. See “— </w:t>
      </w:r>
      <w:r>
        <w:rPr>
          <w:rFonts w:ascii="Times New Roman;sans-serif" w:hAnsi="Times New Roman;sans-serif"/>
          <w:b w:val="false"/>
          <w:i/>
          <w:color w:val="242424"/>
          <w:sz w:val="20"/>
        </w:rPr>
        <w:t>Reservations and orders for our vehicles are cancellable</w:t>
      </w:r>
      <w:r>
        <w:rPr>
          <w:rFonts w:ascii="Times New Roman;sans-serif" w:hAnsi="Times New Roman;sans-serif"/>
          <w:b w:val="false"/>
          <w:color w:val="242424"/>
          <w:sz w:val="20"/>
        </w:rPr>
        <w:t xml:space="preserve">.” </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may not be able to obtain or agree on acceptable terms and conditions for all or a significant portion of the government grants, loans and other incentives for which we may apply. As a result, our business and prospects may be adversely affected.</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and residual value risk.</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Furthermore, because we have only sold a limited number of vehicles and only a limited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conflicts or other geopolitical events, COVID-19, or other public crises. If we are unable to provide leasing and financing arrangements that appeal to potential customers in a timely manner, or if the provision of such arrangements exposes us to excessive consumer credit risk or regulatory risk, our business, competitive position, results of operations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addition, we provide a residual value guarantee to our commercial banking partner in connection with our vehicle leasing program, under which we are contractually obligated to share a portion of the shortfall between the resale value realized by the commercial banking partner and a predetermined resale value. However, actual resale values are subject to fluctuations from various factors such as the condition of the leased vehicle, market price of new vehicles, and general economic conditions. If the resale values of leased vehicles pursuant to the vehicle leasing program are materially lower than our estimates, we may be required to cover some or all of such difference and our results of operations could be negatively impacted.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Our vehicles are designed with advanced driver assistance system (“ADAS”) hardware and software. We have released a Lucid Air software update, and expect to launch the Lucid Gravity, with Level 2 (partial automation) ADAS functionality, which we plan to upgrade with additional capabilities over time.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the National Highway Traffic Safety Administration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or trigger cancellations of reservations and could have a material adverse effect on our business, results of operations, prospects and financial condition.</w:t>
      </w:r>
    </w:p>
    <w:p>
      <w:pPr>
        <w:pStyle w:val="TextBody"/>
        <w:bidi w:val="0"/>
        <w:spacing w:lineRule="auto" w:line="288" w:before="240" w:after="283"/>
        <w:jc w:val="left"/>
        <w:rPr/>
      </w:pPr>
      <w:r>
        <w:rPr>
          <w:rFonts w:ascii="Times New Roman;sans-serif" w:hAnsi="Times New Roman;sans-serif"/>
          <w:b w:val="false"/>
          <w:color w:val="242424"/>
          <w:sz w:val="20"/>
        </w:rPr>
        <w:t xml:space="preserve">ADAS technology is also subject to regulatory uncertainty, which exposes us to additional risks. See “— Risks Related to Litigation and Regulation </w:t>
      </w:r>
      <w:r>
        <w:rPr>
          <w:color w:val="242424"/>
        </w:rPr>
        <w:t xml:space="preserve">— </w:t>
      </w:r>
      <w:r>
        <w:rPr>
          <w:rFonts w:ascii="Times New Roman;sans-serif" w:hAnsi="Times New Roman;sans-serif"/>
          <w:b w:val="false"/>
          <w:i/>
          <w:color w:val="242424"/>
          <w:sz w:val="20"/>
        </w:rPr>
        <w:t>ADAS technology is subject to uncertain and evolving regulations.</w:t>
      </w:r>
      <w:r>
        <w:rPr>
          <w:color w:val="242424"/>
        </w:rPr>
        <w:t>”</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Uninsured or underinsured losses could result in payment of substantial damages, which would decrease our cash reserves and could harm our cash flow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a company of our size and operations, we may not maintain as much insurance coverage as other original equipment manufacturers, and in some cases, we may not maintain any at all. Additionally, the policies that we have may include significant deductibles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or a change in our risk profile. This may require a change in our insurance purchasing philosophy and strategy which can result in the assumption of greater risks to offset insurance market fluctuations.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Extended periods of low gasoline or other petroleum-based fuel prices could adversely affect demand for our vehicles, which would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Increasing scrutiny and changing expectations from global regulations, our investors, customers and employees with respect to our ESG practices may impose additional costs on us or expose us to new or additional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increased focus, including from governmental organizations and our investors, customers and employees, on ESG issues such as environmental stewardship, climate change, diversity and inclusion, racial justice, workplace conduct, recyclability, sourcing and ESG disclosure.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our stakeholders may not be satisfied with our ESG disclosures, practices, or the speed of their adoption, and our systems may not be adequate to comply with increasing global regulations on ESG topics, such as human rights and sustainability reporting. Actual or perceived shortcomings with respect to our ESG initiatives and reporting may subject us to litigation and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or downgraded ratings of our company or our industries, as well as non-inclusion or removal of our stock on ESG-oriented investment funds or indexes, may lead to negative investor sentiment and the diversion of investment to other companies or industries, which could have a negative impact on our stock price.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Manufacturing and Supply Chain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experienced and may in the future experience significant delays in the design, manufacture, launch and financing of our vehicles, including the Lucid Air and the Lucid Gravity, which could harm our business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including as a result of design changes to components. Any future delays in the financing, design, manufacture and launch of the Lucid Air, including planned future variants, and any future electric vehicles could materially damage our business, prospects, financial condition and results of operations.</w:t>
      </w:r>
    </w:p>
    <w:p>
      <w:pPr>
        <w:pStyle w:val="TextBody"/>
        <w:bidi w:val="0"/>
        <w:spacing w:lineRule="auto" w:line="288" w:before="240" w:after="283"/>
        <w:jc w:val="left"/>
        <w:rPr/>
      </w:pPr>
      <w:r>
        <w:rPr>
          <w:rFonts w:ascii="Times New Roman;sans-serif" w:hAnsi="Times New Roman;sans-serif"/>
          <w:b w:val="false"/>
          <w:color w:val="231F20"/>
          <w:sz w:val="20"/>
        </w:rPr>
        <w:t>Many of our v</w:t>
      </w:r>
      <w:r>
        <w:rPr>
          <w:rFonts w:ascii="Times New Roman;sans-serif" w:hAnsi="Times New Roman;sans-serif"/>
          <w:b w:val="false"/>
          <w:color w:val="000000"/>
          <w:sz w:val="20"/>
        </w:rPr>
        <w:t>ehicles are still in the development and/or testing phase and production of the Lucid Gravity is not scheduled to begin until late 2024, and ma</w:t>
      </w:r>
      <w:r>
        <w:rPr>
          <w:rFonts w:ascii="Times New Roman;sans-serif" w:hAnsi="Times New Roman;sans-serif"/>
          <w:b w:val="false"/>
          <w:color w:val="231F20"/>
          <w:sz w:val="20"/>
        </w:rPr>
        <w:t>y occur later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our Arizona and Saudi Arabia manufacturing facilities, or other future manufacturing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supplier lead times and ongoing constraints of semiconductor supply. These challenges have affected our ability, and the ability of our suppliers, to obtain parts, components and manufacturing equipment on a timely basis, and in some instances have resulted in increased costs and delays to the construction and expansion of our facilities. We expect that the risk of unexpected disruptions will continue for the foreseeable future. To the extent our suppliers experience any delays in providing us with or developing necessary components, we could experience delays in delivering on our timelines.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continued development of and the ability to manufacture our vehicles, including the Lucid Air and the Lucid Gravity, are and will be subject to risks, including with respect to: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ensure ongoing readiness of firmware features and functions to be integrated into the Lucid Air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finalize release candidate specifications for the Lucid Gravity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delays by us in delivering final component designs to our suppliers or any changes to such component designs;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or our suppliers’ ability to successfully tool their manufacturing facilities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ensure a working supply chain and desired supplier part quality and quantity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accurately manufacture vehicles within specified design tolerances;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establish, implement,</w:t>
      </w:r>
      <w:r>
        <w:rPr>
          <w:color w:val="000000"/>
        </w:rPr>
        <w:t xml:space="preserve"> </w:t>
      </w:r>
      <w:r>
        <w:rPr>
          <w:rFonts w:ascii="Times New Roman;sans-serif" w:hAnsi="Times New Roman;sans-serif"/>
          <w:b w:val="false"/>
          <w:color w:val="000000"/>
          <w:sz w:val="20"/>
        </w:rPr>
        <w:t>refine and scale, as well as make significant investments in manufacturing, supply chain management and logistics functions, including the related information technology systems and software applications;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adequately reduce and control the costs of key parts and materials;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our ability to significantly reduce freight costs, including in-bound freight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any transitions or changes in our production process, planned or unplanned;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occurrence of product defects that cannot be remedied without adversely affecting the production;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secure neces</w:t>
      </w:r>
      <w:r>
        <w:rPr>
          <w:rFonts w:ascii="Times New Roman;sans-serif" w:hAnsi="Times New Roman;sans-serif"/>
          <w:b w:val="false"/>
          <w:color w:val="231F20"/>
          <w:sz w:val="20"/>
        </w:rPr>
        <w:t>sary funding;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negotiate and execute definitive agreements with various suppliers for hardware, software, or services necessary to engineer or manufacture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obtain required regulatory approvals and certifications;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comply with environmental, safety, and similar regulations and in a timely manner;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secure necessary components, services, or licenses on acceptable terms and in a timely manner;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attract, recruit, hire, retain and train skilled employees including supply chain management, supplier quality, manufacturing and logistics personnel;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design and implement effective and efficient quality control and inventory management processes;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delays or disruptions in our supply chain including raw material supplies and international shipping;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maintain arrangements on commercially reasonable terms with our suppliers, delivery and other partners, after sales service providers, and other operationally significant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other delays, backlog in manufacturing and research and development of new mo</w:t>
      </w:r>
      <w:r>
        <w:rPr>
          <w:rFonts w:ascii="Times New Roman;sans-serif" w:hAnsi="Times New Roman;sans-serif"/>
          <w:b w:val="false"/>
          <w:color w:val="000000"/>
          <w:sz w:val="20"/>
        </w:rPr>
        <w:t>dels, and cost overruns;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other risks identified herein.</w:t>
      </w:r>
    </w:p>
    <w:p>
      <w:pPr>
        <w:pStyle w:val="TextBody"/>
        <w:bidi w:val="0"/>
        <w:spacing w:lineRule="auto" w:line="288" w:before="240" w:after="283"/>
        <w:jc w:val="left"/>
        <w:rPr/>
      </w:pPr>
      <w:r>
        <w:rPr>
          <w:rFonts w:ascii="Times New Roman;sans-serif" w:hAnsi="Times New Roman;sans-serif"/>
          <w:b w:val="false"/>
          <w:color w:val="000000"/>
          <w:sz w:val="20"/>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color w:val="000000"/>
        </w:rPr>
        <w:t>—</w:t>
      </w:r>
      <w:r>
        <w:rPr>
          <w:rFonts w:ascii="Times New Roman;sans-serif" w:hAnsi="Times New Roman;sans-serif"/>
          <w:b w:val="false"/>
          <w:color w:val="000000"/>
          <w:sz w:val="20"/>
        </w:rPr>
        <w:t xml:space="preserve">Risks Related to Financing and Strategic Transactions </w:t>
      </w:r>
      <w:r>
        <w:rPr>
          <w:color w:val="000000"/>
        </w:rPr>
        <w:t xml:space="preserve">— </w:t>
      </w:r>
      <w:r>
        <w:rPr>
          <w:rFonts w:ascii="Times New Roman;sans-serif" w:hAnsi="Times New Roman;sans-serif"/>
          <w:b w:val="false"/>
          <w:i/>
          <w:color w:val="000000"/>
          <w:sz w:val="20"/>
        </w:rPr>
        <w:t>We will require additional capital to support business growth, and this capital might not be available on commercially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 xml:space="preserve">Our ability to continue production and our future growth depends upon our ability to </w:t>
      </w:r>
      <w:r>
        <w:rPr>
          <w:rFonts w:ascii="Times New Roman;sans-serif" w:hAnsi="Times New Roman;sans-serif"/>
          <w:b/>
          <w:i/>
          <w:color w:val="231F20"/>
          <w:sz w:val="20"/>
        </w:rPr>
        <w:t>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our supply agreements do not guarantee sufficient quantities of components for our vehicle production ramp curve. We plan to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prices for such components, materials and equipment, whether due to supply chain or logistics issues or due to inflation, or increased energy or natural gas costs,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third-party manufacturers, there is the possibility that supply agreements for the parts and components for our vehicles could be at costs that make it difficult for us to operate profitably.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rely on hundreds of third-party suppliers for the provision and development of many of the key components and materials used in our vehicles. While we plan to obtain components from multiple sources whenever possible, many of the components used in our vehicles will be custom and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t>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have been affected by ongoing, industry-wide challenges in logistics and supply chains, such as increased supplier lead times and ongoing constraints of semiconductor supply. We expect that these industry-wide trends may continue to affect the ability of us and our suppliers to obtain parts, components and manufacturing equipment, including electrical and mechanical equipment for AMP-2 and the phase 2 expansion of AMP-1, on a timely basis for the foreseeable future, and may result in increased costs. Changes in our supply chain or production needs in order to meet our quality targets and development timelines as well as due to design changes have resulted in cost increases from our suppliers. </w:t>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significant increases in our production may in the future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have experienced, and in the future could continue to experience, delays if our suppliers do not meet agreed upon timelines, experience capacity constraints, or deliver components that do not meet our quality standards or other requirements. Any disruption in the supply of components, including battery cells and semiconductors,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may incur loss due to inventory write-downs or assets impairment. In addition, we have not yet begun servicing vehicles at significant volumes. Accordingly, we have not thoroughly tested our ability to scale production and vehicle servicing and mitigate risks associated with these activities.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unexpected changes in business conditions, materials pricing, labor issues, wars, global conflicts or other geopolitical events, governmental changes, tariffs, natural disasters, health epidemics such as the COVID-19 pandemic, and other factors beyond our and our suppliers’ control could also affect these suppliers’ ability to deliver components to us on a timely basis. For example, some of the shipping routes in the Red Sea have been affected by the ongoing conflict in the Middle East resulting in delays in delivery of components and an increase in shipping costs. Such disruptions or increase in costs could have a material adverse impact on our business, including our ability to timely manufacture and distribute our products in a cost-effective manner and adversely affect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have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Changes in costs, changes of supply or shortage of materials, in particular for lithium-ion battery cells or semiconductors,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material and infrastructure equipment prices and cost of construction labor. In addition, we use various materials in our business, including aluminum, steel, lithium, nickel, copper, cobalt, neodymium, terbium, praseodymium and manganese, as well as lithium-ion battery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battery cells. These risks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 change in the cost, or changes in the available supply, of materials, such as cobalt, used in lithium-ion battery cells;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disruption in the supply of lithium-ion battery cells due to quality issues or recalls by manufacturers;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manage our supply and inventory of lithium-ion battery cells;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fluctuations in the value of any foreign currencies, in which lithium-ion battery cells and related raw material purchases are or may be denominated against the U.S. dollar.</w:t>
      </w:r>
    </w:p>
    <w:p>
      <w:pPr>
        <w:pStyle w:val="TextBody"/>
        <w:bidi w:val="0"/>
        <w:spacing w:lineRule="auto" w:line="288" w:before="240" w:after="283"/>
        <w:jc w:val="left"/>
        <w:rPr/>
      </w:pPr>
      <w:r>
        <w:rPr>
          <w:rFonts w:ascii="Times New Roman;sans-serif" w:hAnsi="Times New Roman;sans-serif"/>
          <w:b w:val="false"/>
          <w:color w:val="231F20"/>
          <w:sz w:val="20"/>
        </w:rPr>
        <w:t xml:space="preserve">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In addition, </w:t>
      </w:r>
      <w:r>
        <w:rPr>
          <w:rFonts w:ascii="Times New Roman;sans-serif" w:hAnsi="Times New Roman;sans-serif"/>
          <w:b w:val="false"/>
          <w:color w:val="000000"/>
          <w:sz w:val="20"/>
        </w:rPr>
        <w:t xml:space="preserve">we have entered into agreements with Panasonic Energy Co., Ltd. and certain of its affiliates for the supply of lithium-ion battery cells, pursuant to which we have made certain </w:t>
      </w:r>
      <w:r>
        <w:rPr>
          <w:rFonts w:ascii="Times New Roman;sans-serif" w:hAnsi="Times New Roman;sans-serif"/>
          <w:b w:val="false"/>
          <w:color w:val="231F20"/>
          <w:sz w:val="20"/>
        </w:rPr>
        <w:t>non-can</w:t>
      </w:r>
      <w:r>
        <w:rPr>
          <w:rFonts w:ascii="Times New Roman;sans-serif" w:hAnsi="Times New Roman;sans-serif"/>
          <w:b w:val="false"/>
          <w:color w:val="000000"/>
          <w:sz w:val="20"/>
        </w:rPr>
        <w:t xml:space="preserve">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excess inventory or inventory write-offs, and there could be a </w:t>
      </w:r>
      <w:r>
        <w:rPr>
          <w:rFonts w:ascii="Times New Roman;sans-serif" w:hAnsi="Times New Roman;sans-serif"/>
          <w:b w:val="false"/>
          <w:color w:val="231F20"/>
          <w:sz w:val="20"/>
        </w:rPr>
        <w:t>material adverse effect on our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any of which could have a material adverse effect on our business, prospects and results of operations. In addition, prices and transportation expenses for these materials fluctuate depending on many factors beyond our control, including fluctuations in supply and demand, foreign currency fluctuations, tariffs and taxes, fluctuations in energy prices and shortages in petroleum or natural gas supply, freight charges and other economic and political factors. These risks could be further magnified by geographical developments, global conflicts or other geopolitical events, including the conflict in the Middle East, which is affecting shipping routes in that region.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foreign currency fluctuations, tariffs or shortages in petroleum or natural gas and other economic or political conditions have contributed to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must develop complex software and technology systems, including in coordination with vendors and suppliers, in order to produce our electric vehicles, and there can be no assurance such systems will be successfully developed.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delayed production and delivery of our vehicles, including the Lucid Air;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delayed market acceptance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loss of customers or inability to attract new customers;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diversion of engineering or other resources for remedying the defect or error;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damage to our brand or reputation;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increased service and warranty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legal action by customers or third parties, including product liability claims;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penalties imposed by regulatory authorities.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240" w:after="283"/>
        <w:jc w:val="left"/>
        <w:rPr/>
      </w:pPr>
      <w:r>
        <w:rPr>
          <w:rFonts w:ascii="Times New Roman;sans-serif" w:hAnsi="Times New Roman;sans-serif"/>
          <w:b w:val="false"/>
          <w:color w:val="231F20"/>
          <w:sz w:val="20"/>
        </w:rPr>
        <w:t>While we have completed the initial phase and portions of the second phase of construction at AMP-1, and the SKD portion of AMP-2, tooling our facilities for production of our vehicles and our future expansion plans are complicated and present significant challe</w:t>
      </w:r>
      <w:r>
        <w:rPr>
          <w:rFonts w:ascii="Times New Roman;sans-serif" w:hAnsi="Times New Roman;sans-serif"/>
          <w:b w:val="false"/>
          <w:color w:val="000000"/>
          <w:sz w:val="20"/>
        </w:rPr>
        <w:t>nges and may require us to take vehicle production offline. In addition, certain o</w:t>
      </w:r>
      <w:r>
        <w:rPr>
          <w:rFonts w:ascii="Times New Roman;sans-serif" w:hAnsi="Times New Roman;sans-serif"/>
          <w:b w:val="false"/>
          <w:color w:val="231F20"/>
          <w:sz w:val="20"/>
        </w:rPr>
        <w:t>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increased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Lucid Gravity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require repair or remediation to support future production volumes. We have begun to repair or remediate these issues where possible without impacting manufacturing, and we plan to address the bulk of such repairs or remediation as part of the phased build-out of our Casa Grande facility. Although we do not currently expect that we will be required to take vehicle production offline or reduce our planned manufacturing volumes, the repairs or remediation are expected to entail significant costs, and we may be unable to recover some or all of such costs from the applicable contractor(s).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construction of our facilities and our operations are also subject to review and inspection by officials in the jurisdictions where our facilities are located, including without limitation, fire officials and building construction officials. We have, in the past received, and could in the future receive, results from inspections by local officials at our facilities, both existing and currently under construction, in Casa Grande, Arizona, citing failing marks. We have actively engaged with the local authorities to address all of the specific issues identified by those officials as well as to devise means and methods that ensure an ongoing safe and compliant work environment. Any future results will be addressed in a similar manner. Failure to address issues raised by local authorities may result in government-ordered temporary cessation of our construction and/or production operations, which could require us to take vehicle production offline or reduce our planned manufacturing volumes,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complex machinery for our operations, and production involves a significant degree of risk and uncertainty in terms of operational performance, safety, security and costs.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time-to-time and will depend on repairs and spare parts that may not be available when needed. Furthermore, AMP-1 and the equipment we use to manufacture our vehicles will be costly to repair or replace and could require substantial lead-time to repair or replace and qualify for use.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or health epidemics, such as the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in high volume manufacture of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global conflicts or other geopolitical events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For example, as result of the ongoing conflict in the Middle East, we have experienced an impact on our shipping routes in the Red Sea, which has resulted in shipping delays and increased shipping costs. Any failure to develop, implement and maintain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ramp production of the Lucid Air and begin production of the Lucid Gravity,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our vehicles fail to perform as expected, our ability to develop, market and sell or lease our products could be harmed.</w:t>
      </w:r>
    </w:p>
    <w:p>
      <w:pPr>
        <w:pStyle w:val="TextBody"/>
        <w:bidi w:val="0"/>
        <w:spacing w:lineRule="auto" w:line="288" w:before="240" w:after="283"/>
        <w:jc w:val="left"/>
        <w:rPr/>
      </w:pPr>
      <w:r>
        <w:rPr>
          <w:rFonts w:ascii="Times New Roman;sans-serif" w:hAnsi="Times New Roman;sans-serif"/>
          <w:b w:val="false"/>
          <w:color w:val="231F20"/>
          <w:sz w:val="20"/>
        </w:rPr>
        <w:t xml:space="preserve">Our vehicles or the components installed therein have in the past and may in the future contain defects in design or manufacture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w:t>
      </w:r>
      <w:r>
        <w:rPr>
          <w:rFonts w:ascii="Times New Roman;sans-serif" w:hAnsi="Times New Roman;sans-serif"/>
          <w:b w:val="false"/>
          <w:color w:val="000000"/>
          <w:sz w:val="20"/>
        </w:rPr>
        <w:t xml:space="preserve">when first introduced </w:t>
      </w:r>
      <w:r>
        <w:rPr>
          <w:rFonts w:ascii="Times New Roman;sans-serif" w:hAnsi="Times New Roman;sans-serif"/>
          <w:b w:val="false"/>
          <w:color w:val="231F20"/>
          <w:sz w:val="20"/>
        </w:rPr>
        <w:t>contain defects and</w:t>
      </w:r>
      <w:r>
        <w:rPr>
          <w:color w:val="000000"/>
        </w:rPr>
        <w:t xml:space="preserve"> </w:t>
      </w:r>
      <w:r>
        <w:rPr>
          <w:rFonts w:ascii="Times New Roman;sans-serif" w:hAnsi="Times New Roman;sans-serif"/>
          <w:b w:val="false"/>
          <w:color w:val="000000"/>
          <w:sz w:val="20"/>
        </w:rPr>
        <w:t>errors. If our vehicles contain defects in design or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In addition, our over-the-air software updates may fail to achieve its intended repair and performance goals, expose our customers’ vehicles to vulnerabilities, or have unintended consequences, and may require our customers to bring their vehicles to our service centers.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w:t>
      </w:r>
      <w:r>
        <w:rPr>
          <w:rFonts w:ascii="Times New Roman;sans-serif" w:hAnsi="Times New Roman;sans-serif"/>
          <w:b w:val="false"/>
          <w:color w:val="231F20"/>
          <w:sz w:val="20"/>
        </w:rPr>
        <w:t>racteristics of our battery packs, powertrains and vehicles. There can be no assurance that we will be able to detect and fix any defects in our products prior to their sale or lease to customers.</w:t>
      </w:r>
    </w:p>
    <w:p>
      <w:pPr>
        <w:pStyle w:val="TextBody"/>
        <w:bidi w:val="0"/>
        <w:spacing w:lineRule="auto" w:line="288" w:before="240" w:after="283"/>
        <w:jc w:val="left"/>
        <w:rPr/>
      </w:pPr>
      <w:r>
        <w:rPr>
          <w:rFonts w:ascii="Times New Roman;sans-serif" w:hAnsi="Times New Roman;sans-serif"/>
          <w:b w:val="false"/>
          <w:color w:val="231F20"/>
          <w:sz w:val="20"/>
        </w:rPr>
        <w:t xml:space="preserve">Any defects, delays or legal restrictions on vehicle features, failed over-the-air software updates, or other failure of our vehicles to perform as expected, could harm our brand and reputation and result in delivery delays, product recalls, product liability claims, breach of warranty claims or significant warranty and other expenses, and could have a material adverse impact on our business, results of operations, prospects and financial condition. </w:t>
      </w:r>
      <w:r>
        <w:rPr>
          <w:rFonts w:ascii="Times New Roman;sans-serif" w:hAnsi="Times New Roman;sans-serif"/>
          <w:b w:val="false"/>
          <w:color w:val="000000"/>
          <w:sz w:val="20"/>
        </w:rPr>
        <w:t xml:space="preserve">Any such defects or noncompliance with legal requirements could also result in safety recalls. See “— Risks Related to Litigation and Regulation — </w:t>
      </w:r>
      <w:r>
        <w:rPr>
          <w:rFonts w:ascii="Times New Roman;sans-serif" w:hAnsi="Times New Roman;sans-serif"/>
          <w:b w:val="false"/>
          <w:i/>
          <w:color w:val="000000"/>
          <w:sz w:val="20"/>
        </w:rPr>
        <w:t xml:space="preserve">We have in the past and may choose in the future, or we may be compelled, to undertake product recalls or take other actions, which could adversely affect our business, prospects, results of operations, reputation and financial condition.” </w:t>
      </w:r>
      <w:r>
        <w:rPr>
          <w:rFonts w:ascii="Times New Roman;sans-serif" w:hAnsi="Times New Roman;sans-serif"/>
          <w:b w:val="false"/>
          <w:color w:val="231F20"/>
          <w:sz w:val="20"/>
        </w:rPr>
        <w:t>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face challenges providing charging solutions for our vehicles, both domestically and internationally.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Demand for our vehicles will depend in part on the availability of charging infrastructure both domestically and internationally. While the prevalence of charging stations has been increasing, charging station locations are significantly less widespread than gas stations. Although we have partnered with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In addition, although we have agreed to join Tesla’s Supercharger network, there may be delays in making changes to our vehicles or the network necessary for Lucid vehicles to charge at Tesla Superchargers. In addition, although the current U.S. presidential administration has proposed a plan to deploy 500,000 additional public charging stations across the United States by 2030, the deployment may not occur at planned levels, which could serve to limit the development of public charging infrastructure and increase the relative attractiveness to potential customers of a proprietary charging solution.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servicing or repairing our vehicles and their integrated software.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provide a new vehicle limited warranty on all new vehicles and a genuine spare parts and accessories limited warranty on Lucid genuine spare parts and accessories we sell. We maintain warranty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has in the past and may continue to indirectly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Our facilities or operations could be adversely affected by events outside of our control, such as natural disasters, wars, global conflicts or other geopolitical events, health epidemics or pandemics, or security incidents.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We and our suppliers may be impacted by weather events, natural disasters, wars, global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In addition, the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sans-serif" w:hAnsi="Times New Roman;sans-serif"/>
          <w:b w:val="false"/>
          <w:i/>
          <w:color w:val="231F20"/>
          <w:sz w:val="20"/>
        </w:rPr>
        <w:t>A failure to properly comply with foreign trade zone laws and regulations could increase the cost of our duties and tariffs.</w:t>
      </w:r>
      <w:r>
        <w:rPr>
          <w:color w:val="231F20"/>
        </w:rPr>
        <w:t xml:space="preserve">” </w:t>
      </w:r>
      <w:r>
        <w:rPr>
          <w:rFonts w:ascii="Times New Roman;sans-serif" w:hAnsi="Times New Roman;sans-serif"/>
          <w:b w:val="false"/>
          <w:color w:val="000000"/>
          <w:sz w:val="20"/>
        </w:rPr>
        <w:t xml:space="preserve">In addition, global conflicts or other geopolitical events may increase the likelihood of supply chain interruptions and may impair our ability to compete in current or future markets, or otherwise subject us to potential liability. See “—Risks Related to Manufacturing and Supply Chain — </w:t>
      </w:r>
      <w:r>
        <w:rPr>
          <w:rFonts w:ascii="Times New Roman;sans-serif" w:hAnsi="Times New Roman;sans-serif"/>
          <w:b w:val="false"/>
          <w:i/>
          <w:color w:val="000000"/>
          <w:sz w:val="20"/>
        </w:rPr>
        <w:t xml:space="preserve">if we fail to successfully tool our manufacturing facilities or if our manufacturing facilities become inoperable, we will be unable to produce our vehicles and our business will be harmed.” </w:t>
      </w:r>
      <w:r>
        <w:rPr>
          <w:rFonts w:ascii="Times New Roman;sans-serif" w:hAnsi="Times New Roman;sans-serif"/>
          <w:b w:val="false"/>
          <w:color w:val="000000"/>
          <w:sz w:val="20"/>
        </w:rPr>
        <w:t xml:space="preserve">and “— Risks Related to Litigation and Regulation — </w:t>
      </w:r>
      <w:r>
        <w:rPr>
          <w:rFonts w:ascii="Times New Roman;sans-serif" w:hAnsi="Times New Roman;sans-serif"/>
          <w:b w:val="false"/>
          <w:i/>
          <w:color w:val="000000"/>
          <w:sz w:val="20"/>
        </w:rPr>
        <w:t>Changes in U.S. trade policy, including the imposition of tariffs or revocation of normal trade relations and the resulting consequences, could adversely affect our business, prospects, results of operations and financial condition</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We may incur significant expenses or delays relating to such events outside of our control, which could have a material adverse impact on our business,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vehicles make use of lithium-ion battery cells, which have been observed to catch fire or vent smoke and flame.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battery packs within our vehicles make use of, and any future energy storage systems may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as we expand our service network, increase our recycling practices and scale the manufacturing of our vehicles and any future energy storage products, we will need to store lithium-ion battery cells at our facilities and we have,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Cybersecurity and Data Privacy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products contain complex information technology systems. For example, our vehicles are designed with built-in data connectivity to accept and install periodic remote updates to improve their functionality.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collect, store, transmit and otherwise process data from vehicles, customers, employees and other third parties as part of our business operations, some of which includes personal, or confidential or proprietary information. We also work with third-party service providers and vendors that collect, store and process such data and information on our behalf. We have taken certain measures designed to prevent unauthorized access to our information technology systems, networks and information (including personal data) and plan to continue to deploy additional measures as we grow. Our third-party service providers and vendors also take steps designed to protect the security and integrity of our and their information technology systems and networks and our and their customers’ information (including personal data). However, there can be no assurance that such systems, networks and measures will not be compromised, including as a result of intentional misconduct by employees, contractors, vendors, or other third parties as well as a result of software bugs, human error, or technical malfunctions.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cyber threat actors may in the future attempt to gain unauthorized access to, modify, alter and/or use our vehicles, products, systems and networks to (i) gain control of, (ii) change the functionality, user interface or performance characteristics of and/or (iii) gain access to data stored in or generated by, our vehicles, products, systems and networks. Advances in technology, such as artificial intelligence,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We and our third-party service providers’ systems have in the past and may in the future be affected by security incidents. Our systems and networks are also vulnerable to damage or interruption from, among other things, software bugs, server malfunctions, software or hardware failure,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misuse, mistake, fraud, misconduct or other events that may harm our vehicles, products, systems and networks. Our data center and our third-party service providers’ or vendors’ data centers could be subject to break-ins, sabotage and intentional acts of vandalism causing potential disruptions. We may also be subject to certain laws and regulations, such as “right to repair” laws,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have been heightened in connection with ongoing global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personal, confidential or proprietary information (including our proprietary software code), products, systems and networks, resulting in a data breach, or disruption, modification or destruction to our systems and networks. As a result, we may suffer monetary losses, business interruption, and long-lasting operational issues, damage to our reputation and brand or loss of our intellectual property (including trade secrets).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If we are unable to protect our personal, confidential or proprietary information (including our proprietary software code), products, systems and networks from unauthorized access, use, disclosure, disruption, modification, destruction or other breach, such threats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products, systems and networks, as well as other factors that may result in the perception that our vehicles, products, systems and networks are vulnerable to being “hacked,” could negatively affect our brand.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and networks in the United States and abroad, such as systems and networks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and financial, tax and regulatory compliance. Our ability to operate our business will depend on the availability and effectiveness of these systems and networks. The implementation, maintenance, segregation, and improvement of these systems and networks require significant management time, support and cost. Moreover, there are inherent risks associated with developing, improving and expanding our core systems and networks as well as implementing new systems and networks, including the disruption of our data management, procurement, manufacturing execution, finance, supply chain, inventory management, and sales and service processes. We cannot be certain that these systems and networks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and networks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our vehicles depend on the ability of software and hardware to store, retrieve, process and manage immense amounts of data. Our software and hardware, including any over-the-air or other updates, may contain, errors, bugs, design defects or other vulnerabilities, and our systems may be subject to technical limitations that may compromise our ability to meet our objectives. Some errors, bugs, design defects or other vulnerabilities may reside in third-party intellectual property or open-source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personal, confidential or proprietary information (including our proprietary software code), products, systems or networks or inability to prevent or effectively remedy errors, bugs, design defects or other vulnerabilities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have adequate insurance coverage, if any, to cover losses associated with any of the foregoing. The costs of investing and remediating a large data breach, or the successful assertion of one or more large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sure that our existing insurance coverage will continue to be available on acceptable terms or at all or that our insurers will not deny coverage as to any future claim.</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Accordingly, we are subject to or affected by a number of federal, state, local and international laws and regulations, as well as contractual obligations and industry standards, that impose certain obligations and restrictions with respect to data privacy and cybersecurity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 example, at the international level, the EU adopted the General Data Protection Regulation (“GDPR”)</w:t>
      </w:r>
      <w:r>
        <w:rPr>
          <w:rFonts w:ascii="Times New Roman;sans-serif" w:hAnsi="Times New Roman;sans-serif"/>
          <w:b w:val="false"/>
          <w:i/>
          <w:color w:val="231F20"/>
          <w:sz w:val="24"/>
        </w:rPr>
        <w:t xml:space="preserve">, </w:t>
      </w:r>
      <w:r>
        <w:rPr>
          <w:rFonts w:ascii="Times New Roman;sans-serif" w:hAnsi="Times New Roman;sans-serif"/>
          <w:b w:val="false"/>
          <w:color w:val="231F20"/>
          <w:sz w:val="20"/>
        </w:rPr>
        <w:t>which became effective in May 2018, Canada adopted and continued to amend the Personal Information Protection and Electronic Documents Act (“PIPEDA”) in addition to applicable provincial laws, the United Arab Emirates adopted the Data Protection Law (“DPL”), which became effective in January 2022, and Saudi Arabia enacted the Personal Data Protection Law (“PDPL”) which recently received finalized implementing regulations and came into effect in September 2023, followed by a 12 month compliance grace period. Similarly, China’s Data Security Law (“DSL”) and Personal Information Protection Law (“PIPL”) have been effective since 2021. Additionally, following the withdrawal of the United Kingdom (“UK”) from the EU, we are also subject to the UK General Data Protection Regulation (“UK GDPR”) (i.e., a version of the GDPR as implemented into UK law). Each of the GDPR, the UK GDPR, the DSL, the PIPL, the PIPEDA, the DPL and the PDPL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applicable laws and regulations) can be costly, and any failure to comply with these regulatory standards could subject us to legal and reputational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failure to comply with the GDPR and the UK GDPR can result in significant fines and other liability, including fines of up to EUR 20 million (or GBP 17.5 million under the UK GDPR) or four percent (4%) of global revenue, whichever is greater. European data protection authorities have already imposed fines for GDPR violations up to, in some cases, hundreds of millions of Euros. The cost of compliance, and the potential for fines and penalties for non-compliance, with the GDPR and the UK GDPR may have a significant adverse effect on our business and operations. While the UK GDPR currently imposes substantially the same obligations as the GDPR, the UK GDPR will not automatically incorporate changes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 Legal developments in the European Economic Area (“EEA”), including rulings from the Court of Justice of the European Union and from various EU member state data protection authorities, have also created complexity and uncertainty regarding transfers of personal data from the EEA to the United States and other so-called third countries outside the EEA. Similar complexities and uncertainties also apply to transfers from the UK to third countries. While we have taken steps to mitigate the impact on us, the efficacy and longevity of these mechanisms remains uncertain.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with respect to data privacy and cybersecurity) (“FTC”) and the Gramm Leach Bliley Act (which regulates the confidentiality and security of customer information obtained by financial institutions, including non-banking financial institutions such as mortgage brokers, motor vehicle dealers, and payday lenders). Lucid Financial Services, for example, will be subject to, among other applicable laws and regulations, the Safeguards Rule, as recently amended by the FTC (the “FTC Safeguards Rule”), which, among other things, requires non-banking financial institutions to design and implement safeguards to protect customer information, and the financial data collected as part of the Lucid Financial Services program consequently requires additional security and administrative controls. Additionally, there has been increasing regulatory scrutiny from the SEC with respect to adequately disclosing risks concerning cybersecurity and data privacy, which increases the risk of investigations in to the cybersecurity practices, and related disclosures, of companies within its jurisdiction, which at a minimum can result in distraction of management and diversion of resources for targeted businesses. On July 26, 2023, the SEC adopted new cybersecurity disclosure rules (the “SEC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 See Item 1C “Cybersecurity” included elsewhere in this Annual Report for further information.</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At the U.S. state level, we are subject to laws and regulations such as the California Consumer Privacy Act of 2018 (as amended by the California Privacy Rights Act of 2020, collectively, the “CCPA”). The CCPA establishes a privacy framework for covered businesses, including an expansive definition of personal information and data privacy rights for California residents, including expanded rights with respect to certain sensitive personal information.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The California Privacy Rights Act also established a state agency, the California Privacy Protection Agency, vested with the authority to implement and enforce the CCPA. Some observers have noted that the CCPA marked the beginning of a trend toward more stringent privacy legislation in the United States, and a number of other states have enacted or are in the process of enacting, or considering similar laws. Complian</w:t>
      </w:r>
      <w:r>
        <w:rPr>
          <w:rFonts w:ascii="Times New Roman;sans-serif" w:hAnsi="Times New Roman;sans-serif"/>
          <w:b w:val="false"/>
          <w:color w:val="000000"/>
          <w:sz w:val="20"/>
        </w:rPr>
        <w:t>ce with these state statutes, other similar state or federal laws that may be enacted in the future, and other applicable data privacy and cybersecurity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applicable privacy notices or applicable data privacy laws, regulations, standards, policies or contractual obligations could, even if we are not found liable, be expensive and time-consuming to defend and could result in adverse publicity that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Furthermore, the SEC Cybersecurity Disclosure Rules require the disclosure of material cybersecurity incidents in a Form 8-K, generally within four days of determining an incident is material. Additionally, upon discovery of an incident in which the unencrypted customer information of at least 500 consumers is acquired without authorization by the consumers to whom the information pertains, the FTC Safeguards Rule requires notifying the FTC as soon as possible, and no later than 30 days after discovery of such incident.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impacted by regulations obligating us to share vehicle repair-related information, including location information, with third parties, including repair shops and repair tool hardware developers, under what are commonly called “right-to-repair” laws. Recent action by the Massachusetts Attorney General, for example, has expedited our timeline to respond to right-to-repair support requests and share such vehicle repair-related information in that state for telematics-enabled vehicles. Other state, federal, and foreign jurisdictions are exploring expanding right-to-repair obligations in this area as well. Furthermore, some entities within the U.S. federal government, including certain members of Congress and the NHTSA, have recently focused attention on automotive cybersecurity issues and may in the future propose or implement regulations specific to automotive cybersecurity. In addition, the United Nations Economic Commission for Europe (“UNECE”) has introduced regulations governing connected vehicle cybersecurity in the European Union (“EU”) which are mandatory for all new vehicle types from July 2022 and all new vehicles produced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products, services and business lines may face scrutiny from regulators as well. Certain emerging data privacy and cybersecurity laws and regulations are still subject to a high degree of uncertainty as to their interpretation and application. If such laws and regulations are implemented, interpreted or applied in a manner inconsistent with our current or future practices or policies, or if we fail to comply with applicable laws or regulations, as well as contractual obligations, policies and industry standards, or to secure personal information, we could be subject to investigations, enforcement actions and other proceedings, which could result in substantial fines, damages, injunctions, orders to change our business practices, and other liability as well as damage to our reputation and credibility, which could have a negative impact on revenues and profits. Any of the foregoing could materially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Employees and Human Resources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loss of key employees or an inability to attract, retain and motivate qualified personnel may impair our ability to expand our business.</w:t>
      </w:r>
    </w:p>
    <w:p>
      <w:pPr>
        <w:pStyle w:val="TextBody"/>
        <w:bidi w:val="0"/>
        <w:spacing w:lineRule="auto" w:line="288" w:before="240" w:after="283"/>
        <w:jc w:val="left"/>
        <w:rPr/>
      </w:pPr>
      <w:r>
        <w:rPr>
          <w:rFonts w:ascii="Times New Roman;sans-serif" w:hAnsi="Times New Roman;sans-serif"/>
          <w:b w:val="false"/>
          <w:color w:val="231F20"/>
          <w:sz w:val="20"/>
        </w:rPr>
        <w:t xml:space="preserve">Our success is substantially dependent upon the continued service and performance of our senior management team. Our employees, including our senior management team, are generally at-will employees, and therefore may terminate employment with us at any time with no advance notice. It is always possible that we could lose some key employees, especially if we are unable to grant sufficient or competitive compensation, including equity awards and bonuses, or if the volatility of our stock price increases. </w:t>
      </w:r>
      <w:r>
        <w:rPr>
          <w:rFonts w:ascii="Times New Roman;sans-serif" w:hAnsi="Times New Roman;sans-serif"/>
          <w:b w:val="false"/>
          <w:color w:val="000000"/>
          <w:sz w:val="20"/>
        </w:rPr>
        <w:t xml:space="preserve">In addition, any restructuring plan, which involves the reduction of our employee workforce, may adversely affect our internal programs and initiatives as well as our ability to recruit and retain skilled and motivated personnel.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w:t>
      </w:r>
      <w:r>
        <w:rPr>
          <w:rFonts w:ascii="Times New Roman;sans-serif" w:hAnsi="Times New Roman;sans-serif"/>
          <w:b w:val="false"/>
          <w:color w:val="231F20"/>
          <w:sz w:val="20"/>
        </w:rPr>
        <w:t>The replacement of any members of our senior management team or other key employees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but not limited to, in particular, engineers, and Arizona, where we have a substantial presence and a need for, among others, a large skilled repair, logistics, supply chain, and manufacturing workforce. As with any company with finite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and global conflicts or other geopolitical events. Our inability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highly dependent on the services of Peter Rawlinson, our Chief Executive Officer and Chief Technology Officer.</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will need to hire, retain, and train a significant number of employees for our business operations, and our business could be adversely affected by labor and union activities.</w:t>
      </w:r>
    </w:p>
    <w:p>
      <w:pPr>
        <w:pStyle w:val="TextBody"/>
        <w:bidi w:val="0"/>
        <w:spacing w:lineRule="auto" w:line="288" w:before="240" w:after="283"/>
        <w:jc w:val="left"/>
        <w:rPr/>
      </w:pPr>
      <w:r>
        <w:rPr>
          <w:rFonts w:ascii="Times New Roman;sans-serif" w:hAnsi="Times New Roman;sans-serif"/>
          <w:b w:val="false"/>
          <w:color w:val="231F20"/>
          <w:sz w:val="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sans-serif" w:hAnsi="Times New Roman;sans-serif"/>
          <w:b w:val="false"/>
          <w:color w:val="000000"/>
          <w:sz w:val="20"/>
        </w:rPr>
        <w:t>ective company culture. Although the area surrounding our AMP-1 facility in Casa Grande, Arizona and the area surrounding our AMP-2 facility in King Abdullah Economic City (“KAEC”) are home to highly trained workforces with experience in engineering and manufacturing, these workforces do not have significant experience with electric vehicle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We cannot assure you that we will be able to operate in compliance with local labor laws and regulations as well as with differing local customs, in order to operate the manufacturing facility. If we are unsuccessful in hiring</w:t>
      </w:r>
      <w:r>
        <w:rPr>
          <w:rFonts w:ascii="Times New Roman;sans-serif" w:hAnsi="Times New Roman;sans-serif"/>
          <w:b w:val="false"/>
          <w:color w:val="231F20"/>
          <w:sz w:val="20"/>
        </w:rPr>
        <w:t>, retaining and training a workforce in a timely and cost-effective manner,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although none of our United States based employees are currently represented by a labor union and none of our international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Some unions may attempt and have announced to attempt to organize non-union automakers in the U.S., including us.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and/or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Misconduct by our employees and independent contractors during and before their employment with us could expose us to potentially significant legal liabilities, reputational harm and/or other damages to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information, proprietary information, know-how or trade secrets, we and such employees could be subject to legal claims and liabilities and our reputation and business could be adversely affected as a result.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Litigation and Regulation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facilities, which could hinder our ability to continue our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Lucid Gravity and any future vehicles will be subject to such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time-to-time, and we could become subject to additional regulations in the future, which could increase the effort and expense of compliance. Federal, state and local laws and industrial standards for electric vehicles are still developing, and we face risks associated with changes to these regulations, which could have an impact on the adoption of electric vehicles. In addition, increased sensitivity by regulators to the needs of established automobile manufacturers with large employment bases, high fixed costs and business models based on the internal combustion engine could lead them to adopt regulations that could reduce the compliance costs of such established manufacturers or mitigate the effects of government efforts to promote electric vehicles. If compliance results in delays or substantial expenses, our business could be adversely affected.</w:t>
      </w:r>
    </w:p>
    <w:p>
      <w:pPr>
        <w:pStyle w:val="TextBody"/>
        <w:bidi w:val="0"/>
        <w:spacing w:lineRule="auto" w:line="288" w:before="240" w:after="283"/>
        <w:jc w:val="left"/>
        <w:rPr/>
      </w:pPr>
      <w:r>
        <w:rPr>
          <w:rFonts w:ascii="Times New Roman;sans-serif" w:hAnsi="Times New Roman;sans-serif"/>
          <w:b w:val="false"/>
          <w:color w:val="231F20"/>
          <w:sz w:val="20"/>
        </w:rPr>
        <w:t>We currently are, and expect to become, subject to laws and regulations applicable to the supply, manufacture, import, sale and service of automobiles in an increasing number of international jurisdictions. Applicable regulations in countries outside of the U.S., such as standards relating to vehicle safety, transportation of dangerous goods, fuel economy and emissions, battery recycling, among other things, are often materially different from requirements in the United States and also e</w:t>
      </w:r>
      <w:r>
        <w:rPr>
          <w:rFonts w:ascii="Times New Roman;sans-serif" w:hAnsi="Times New Roman;sans-serif"/>
          <w:b w:val="false"/>
          <w:color w:val="000000"/>
          <w:sz w:val="20"/>
        </w:rPr>
        <w:t xml:space="preserve">volving. </w:t>
      </w:r>
      <w:r>
        <w:rPr>
          <w:rFonts w:ascii="Times New Roman;sans-serif" w:hAnsi="Times New Roman;sans-serif"/>
          <w:b w:val="false"/>
          <w:color w:val="000000"/>
          <w:sz w:val="20"/>
          <w:shd w:fill="FFFFFF" w:val="clear"/>
        </w:rPr>
        <w:t>For example, the European Union has enacted a Battery Regulation that substantively goes into effect for Lucid vehicles and batteries delivered in Europe beginning August 2024, with increasing requirements for the durability, marking and recycled content of the high-voltage batteries in our vehicles in subsequent years. Therefore, c</w:t>
      </w:r>
      <w:r>
        <w:rPr>
          <w:rFonts w:ascii="Times New Roman;sans-serif" w:hAnsi="Times New Roman;sans-serif"/>
          <w:b w:val="false"/>
          <w:color w:val="000000"/>
          <w:sz w:val="20"/>
        </w:rPr>
        <w:t>ompliance with such regulations will require additional time and resources to en</w:t>
      </w:r>
      <w:r>
        <w:rPr>
          <w:rFonts w:ascii="Times New Roman;sans-serif" w:hAnsi="Times New Roman;sans-serif"/>
          <w:b w:val="false"/>
          <w:color w:val="231F20"/>
          <w:sz w:val="20"/>
        </w:rPr>
        <w:t>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face regulatory limitations on our ability to sell vehicles directly, which could materially and adversely affect our ability to sell our vehicles.</w:t>
      </w:r>
    </w:p>
    <w:p>
      <w:pPr>
        <w:pStyle w:val="TextBody"/>
        <w:bidi w:val="0"/>
        <w:spacing w:lineRule="auto" w:line="288" w:before="240" w:after="283"/>
        <w:jc w:val="left"/>
        <w:rPr/>
      </w:pPr>
      <w:r>
        <w:rPr>
          <w:rFonts w:ascii="Times New Roman;sans-serif" w:hAnsi="Times New Roman;sans-serif"/>
          <w:b w:val="false"/>
          <w:color w:val="231F20"/>
          <w:sz w:val="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Currently, we are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those Lucid studios will not actually transact in the sale of vehicles.</w:t>
      </w:r>
      <w:r>
        <w:rPr>
          <w:color w:val="000000"/>
        </w:rPr>
        <w:t xml:space="preserve"> </w:t>
      </w:r>
      <w:r>
        <w:rPr>
          <w:rFonts w:ascii="Times New Roman;sans-serif" w:hAnsi="Times New Roman;sans-serif"/>
          <w:b w:val="false"/>
          <w:color w:val="231F20"/>
          <w:sz w:val="20"/>
        </w:rPr>
        <w:t>The application of these state laws to our operations continues to be difficult to predict. Laws in some states have limited our ability to obtain dealer licenses from state motor vehicle regulators and may continue to do so.</w:t>
      </w:r>
    </w:p>
    <w:p>
      <w:pPr>
        <w:pStyle w:val="TextBody"/>
        <w:bidi w:val="0"/>
        <w:spacing w:lineRule="auto" w:line="288" w:before="240" w:after="283"/>
        <w:jc w:val="left"/>
        <w:rPr/>
      </w:pPr>
      <w:r>
        <w:rPr>
          <w:rFonts w:ascii="Times New Roman;sans-serif" w:hAnsi="Times New Roman;sans-serif"/>
          <w:b w:val="false"/>
          <w:color w:val="231F20"/>
          <w:sz w:val="20"/>
        </w:rPr>
        <w:t xml:space="preserve">We may face legal challenges to this distribution model. For example,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See “— Risks Related to Litigation and Regulation — </w:t>
      </w:r>
      <w:r>
        <w:rPr>
          <w:rFonts w:ascii="Times New Roman;sans-serif" w:hAnsi="Times New Roman;sans-serif"/>
          <w:b w:val="false"/>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r>
        <w:rPr>
          <w:rFonts w:ascii="Times New Roman;sans-serif" w:hAnsi="Times New Roman;sans-serif"/>
          <w:b w:val="false"/>
          <w:color w:val="231F20"/>
          <w:sz w:val="20"/>
        </w:rPr>
        <w: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state-to-state, our distribution model must</w:t>
      </w:r>
      <w:r>
        <w:rPr>
          <w:color w:val="000000"/>
        </w:rPr>
        <w:t xml:space="preserve"> </w:t>
      </w:r>
      <w:r>
        <w:rPr>
          <w:rFonts w:ascii="Times New Roman;sans-serif" w:hAnsi="Times New Roman;sans-serif"/>
          <w:b w:val="false"/>
          <w:color w:val="231F20"/>
          <w:sz w:val="20"/>
        </w:rPr>
        <w:t>be carefully established, and our sales and service processes must be continually monitored for compliance with the various state requirements, which change from time-to-time. Regulatory compliance and likely challenges to the distribution model may add to the cost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 the past and may choose in the future, or we may be compelled, to undertake product recalls or take other actions, which could adversely affect our business, prospects, results of operations, reputation and financial condition.</w:t>
      </w:r>
    </w:p>
    <w:p>
      <w:pPr>
        <w:pStyle w:val="TextBody"/>
        <w:bidi w:val="0"/>
        <w:spacing w:lineRule="auto" w:line="288" w:before="240" w:after="283"/>
        <w:jc w:val="left"/>
        <w:rPr/>
      </w:pPr>
      <w:r>
        <w:rPr>
          <w:rFonts w:ascii="Times New Roman;sans-serif" w:hAnsi="Times New Roman;sans-serif"/>
          <w:b w:val="false"/>
          <w:color w:val="231F20"/>
          <w:sz w:val="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electric vehicles or components (including our batteries) prove to be defective or noncompliant with applicable federal motor vehicle safety standards. If a large number</w:t>
      </w:r>
      <w:r>
        <w:rPr>
          <w:color w:val="000000"/>
        </w:rPr>
        <w:t xml:space="preserve"> </w:t>
      </w:r>
      <w:r>
        <w:rPr>
          <w:rFonts w:ascii="Times New Roman;sans-serif" w:hAnsi="Times New Roman;sans-serif"/>
          <w:b w:val="false"/>
          <w:color w:val="231F20"/>
          <w:sz w:val="20"/>
        </w:rPr>
        <w:t>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From time-to-time, we may be subject to claims, lawsuits, government investigations and other proceedings involving product liability, consumer protection, competition and antitrust, intellectual property, data privacy, cybersecurity, securities, tax, labor and employment, health and safety, our direct distribution model, motor vehicle dealership licenses and state licensing laws, environmental claims, commercial disputes and other matters that could adversely affect our business, results of operations, cash flows and financial condition. In the ordinary course of business, we have been the subject of complaints or litigation, including claims related to shareholders, business disputes, and employment matters.</w:t>
      </w:r>
    </w:p>
    <w:p>
      <w:pPr>
        <w:pStyle w:val="TextBody"/>
        <w:bidi w:val="0"/>
        <w:spacing w:lineRule="auto" w:line="288" w:before="240" w:after="283"/>
        <w:jc w:val="left"/>
        <w:rPr/>
      </w:pPr>
      <w:r>
        <w:rPr>
          <w:rFonts w:ascii="Times New Roman;sans-serif" w:hAnsi="Times New Roman;sans-serif"/>
          <w:b w:val="false"/>
          <w:color w:val="231F20"/>
          <w:sz w:val="20"/>
        </w:rPr>
        <w:t xml:space="preserve">For example, beginning on April 18, 2021, two individual actions and two putative class actions were filed in federal courts in Alabama, California, New Jersey and Indiana, asserting claims under the federal securities laws against the Company (f/k/a Churchill Capital Corp IV), its wholly-owned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w:t>
      </w:r>
      <w:r>
        <w:rPr>
          <w:rFonts w:ascii="Times New Roman;sans-serif" w:hAnsi="Times New Roman;sans-serif"/>
          <w:b w:val="false"/>
          <w:color w:val="000000"/>
          <w:sz w:val="20"/>
        </w:rPr>
        <w:t>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District Court granted defendants’ motion to dismiss on January 11, 2023, with plaintiffs being provided the ability to seek leave to amend. On June 29, 2023, the District Court denied plaintiffs’ motion for leave to amend, dismissed the lawsuit and terminated the case. On July 28, 2023, plaintiffs appealed the District Court’s decisions to the Ninth Circuit Court of Appeals. Currently, the parties are litigating the case on appeal.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Times New Roman;sans-serif" w:hAnsi="Times New Roman;sans-serif"/>
          <w:b w:val="false"/>
          <w:i/>
          <w:color w:val="000000"/>
          <w:sz w:val="20"/>
        </w:rPr>
        <w:t>Victor W. Mangino v. Lucid Group, Inc., et al.</w:t>
      </w:r>
      <w:r>
        <w:rPr>
          <w:rFonts w:ascii="Times New Roman;sans-serif" w:hAnsi="Times New Roman;sans-serif"/>
          <w:b w:val="false"/>
          <w:color w:val="000000"/>
          <w:sz w:val="20"/>
        </w:rPr>
        <w:t xml:space="preserve">, Case No. 3:22-cv-02094-JD, and </w:t>
      </w:r>
      <w:r>
        <w:rPr>
          <w:rFonts w:ascii="Times New Roman;sans-serif" w:hAnsi="Times New Roman;sans-serif"/>
          <w:b w:val="false"/>
          <w:i/>
          <w:color w:val="000000"/>
          <w:sz w:val="20"/>
        </w:rPr>
        <w:t>Anant Goel v. Lucid Group, Inc., et al.</w:t>
      </w:r>
      <w:r>
        <w:rPr>
          <w:rFonts w:ascii="Times New Roman;sans-serif" w:hAnsi="Times New Roman;sans-serif"/>
          <w:b w:val="false"/>
          <w:color w:val="000000"/>
          <w:sz w:val="20"/>
        </w:rPr>
        <w:t xml:space="preserve">, Case No. 3:22-cv-03176-JD. The two matters were consolidated into one action, entitled </w:t>
      </w:r>
      <w:r>
        <w:rPr>
          <w:rFonts w:ascii="Times New Roman;sans-serif" w:hAnsi="Times New Roman;sans-serif"/>
          <w:b w:val="false"/>
          <w:i/>
          <w:color w:val="000000"/>
          <w:sz w:val="20"/>
        </w:rPr>
        <w:t>In re Lucid Group, Inc. Securities Litigation</w:t>
      </w:r>
      <w:r>
        <w:rPr>
          <w:rFonts w:ascii="Times New Roman;sans-serif" w:hAnsi="Times New Roman;sans-serif"/>
          <w:b w:val="false"/>
          <w:color w:val="000000"/>
          <w:sz w:val="20"/>
        </w:rPr>
        <w:t>, Case No. 22-cv-02094-JD. The consolidated complaint names as defendants Lucid Group, Inc. and the Company’s chief executive officer and chief financial officer, and generally allege that defendants purportedly made false or misleading statements regarding delivery and revenue projections and related matters between November 15, 2021 and August 3, 2022. The consolidated complaint seeks certification of the action as a class action, as well as compensatory damages, interest thereon, and attorneys’ fees and expenses. Defendants filed a Motion to Dismiss on February 23, 2023, which is pending before the court. Defendants believe that the plaintiffs’ claims are without merit and intends to defend themselves vigorously, but they cannot ensure that their efforts to dismiss the consolidated complaint will be successful or that they will avoid liability in this matter.</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Times New Roman;sans-serif" w:hAnsi="Times New Roman;sans-serif"/>
          <w:b w:val="false"/>
          <w:i/>
          <w:color w:val="000000"/>
          <w:sz w:val="20"/>
        </w:rPr>
        <w:t>Floyd Taylor v. Glenn August, et al.</w:t>
      </w:r>
      <w:r>
        <w:rPr>
          <w:rFonts w:ascii="Times New Roman;sans-serif" w:hAnsi="Times New Roman;sans-serif"/>
          <w:b w:val="false"/>
          <w:color w:val="000000"/>
          <w:sz w:val="20"/>
        </w:rPr>
        <w:t xml:space="preserve">, Superior Court, Alameda County, Case No. 22CV014130. The complaint also names the Company as a nominal defendant. Based on allegations that are similar to those in the </w:t>
      </w:r>
      <w:r>
        <w:rPr>
          <w:rFonts w:ascii="Times New Roman;sans-serif" w:hAnsi="Times New Roman;sans-serif"/>
          <w:b w:val="false"/>
          <w:i/>
          <w:color w:val="000000"/>
          <w:sz w:val="20"/>
        </w:rPr>
        <w:t xml:space="preserve">In re Lucid Group, Inc. Securities Litigation </w:t>
      </w:r>
      <w:r>
        <w:rPr>
          <w:rFonts w:ascii="Times New Roman;sans-serif" w:hAnsi="Times New Roman;sans-serif"/>
          <w:b w:val="false"/>
          <w:color w:val="000000"/>
          <w:sz w:val="20"/>
        </w:rPr>
        <w:t xml:space="preserve">action, the </w:t>
      </w:r>
      <w:r>
        <w:rPr>
          <w:rFonts w:ascii="Times New Roman;sans-serif" w:hAnsi="Times New Roman;sans-serif"/>
          <w:b w:val="false"/>
          <w:i/>
          <w:color w:val="000000"/>
          <w:sz w:val="20"/>
        </w:rPr>
        <w:t xml:space="preserve">Taylor </w:t>
      </w:r>
      <w:r>
        <w:rPr>
          <w:rFonts w:ascii="Times New Roman;sans-serif" w:hAnsi="Times New Roman;sans-serif"/>
          <w:b w:val="false"/>
          <w:color w:val="000000"/>
          <w:sz w:val="20"/>
        </w:rPr>
        <w:t>complaint asserts claims for breach of fiduciary duty, unjust enrichment, waste of corporate assets and aiding and abetting breach of fiduciary duty. The complaint seeks compensatory damages, punitive damages, interest, and attorneys’ fees and expenses. The Company is advancing defendants’ fees and expenses incurred in their defense of the action.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Moreover, on March 25, 2021, the Illinois Automobile Dealers Association, Chicago Automobile Trade Association, Peoria Metro New Car Dealers Association, Illinois Motorcycle Dealers Association, and 241 individual motor vehicle dealers filed an action against the Office of the Illinois Secretary of State (“SOS”), Jesse White, in his official capacity as the Illinois Secretary of State; Lucid USA, Inc. (“Lucid USA”); and other defendants, in the Circuit Court of Cook County, Illinois, County Department, Chancery Division, Case No. 2021CH01438. The suit generally alleges that Illinois law does not permit manufacturers to obtain licenses as motor vehicle dealers. Plaintiffs seek to prevent Lucid from engaging in the sale of motor vehicles directly to consumers. The SOS granted Lucid USA a dealer’s license on June 3, 2021. In December 2022, the Court granted Defendants’ Motion to Dismiss. Plaintiffs subsequently appealed to the Illinois First District Appellate Court. and the parties are currently litigating the case on appeal.</w:t>
      </w:r>
    </w:p>
    <w:p>
      <w:pPr>
        <w:pStyle w:val="TextBody"/>
        <w:bidi w:val="0"/>
        <w:spacing w:lineRule="auto" w:line="288" w:before="240" w:after="283"/>
        <w:jc w:val="left"/>
        <w:rPr/>
      </w:pPr>
      <w:r>
        <w:rPr>
          <w:rFonts w:ascii="Times New Roman;sans-serif" w:hAnsi="Times New Roman;sans-serif"/>
          <w:b w:val="false"/>
          <w:color w:val="000000"/>
          <w:sz w:val="20"/>
        </w:rPr>
        <w:t>Furthermore, while we have registered and applied for trademarks in an effort to protect our brand and goodwill with customers, competitors or other third parties are,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w:t>
      </w:r>
      <w:r>
        <w:rPr>
          <w:color w:val="000000"/>
        </w:rPr>
        <w:t xml:space="preserve"> </w:t>
      </w:r>
      <w:r>
        <w:rPr>
          <w:rFonts w:ascii="Times New Roman;sans-serif" w:hAnsi="Times New Roman;sans-serif"/>
          <w:b w:val="false"/>
          <w:color w:val="000000"/>
          <w:sz w:val="20"/>
        </w:rPr>
        <w:t>In addition, we may lose our trademark or may be</w:t>
      </w:r>
      <w:r>
        <w:rPr>
          <w:color w:val="000000"/>
        </w:rPr>
        <w:t xml:space="preserve"> </w:t>
      </w:r>
      <w:r>
        <w:rPr>
          <w:rFonts w:ascii="Times New Roman;sans-serif" w:hAnsi="Times New Roman;sans-serif"/>
          <w:b w:val="false"/>
          <w:color w:val="000000"/>
          <w:sz w:val="20"/>
        </w:rPr>
        <w:t>unable to submit specimens of use by the applicable deadline to perfect such trademark rights. For instance, we are evaluating and responding to a claim in a United States Patent and Trademark Office (“USPTO”) administrative hearing opposing and requesting cancellation of our trademark application and registration for the use of “Gravity”.</w:t>
      </w:r>
      <w:r>
        <w:rPr>
          <w:color w:val="000000"/>
        </w:rPr>
        <w:t xml:space="preserve"> </w:t>
      </w:r>
      <w:r>
        <w:rPr>
          <w:rFonts w:ascii="Times New Roman;sans-serif" w:hAnsi="Times New Roman;sans-serif"/>
          <w:b w:val="false"/>
          <w:color w:val="000000"/>
          <w:sz w:val="20"/>
        </w:rPr>
        <w:t>If we do not prevail in that action, we could ultimately be required to change the name of our SUV, which would force us to incur significant marketing expense in establishing an alternative brand or name.</w:t>
      </w:r>
    </w:p>
    <w:p>
      <w:pPr>
        <w:pStyle w:val="TextBody"/>
        <w:bidi w:val="0"/>
        <w:spacing w:lineRule="auto" w:line="288" w:before="240" w:after="283"/>
        <w:jc w:val="left"/>
        <w:rPr/>
      </w:pPr>
      <w:r>
        <w:rPr>
          <w:rFonts w:ascii="Times New Roman;sans-serif" w:hAnsi="Times New Roman;sans-serif"/>
          <w:b w:val="false"/>
          <w:color w:val="000000"/>
          <w:sz w:val="20"/>
        </w:rPr>
        <w:t>Litigation and regulatory proceedings may be protracted an</w:t>
      </w:r>
      <w:r>
        <w:rPr>
          <w:rFonts w:ascii="Times New Roman;sans-serif" w:hAnsi="Times New Roman;sans-serif"/>
          <w:b w:val="false"/>
          <w:color w:val="231F20"/>
          <w:sz w:val="20"/>
        </w:rPr>
        <w:t>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pStyle w:val="TextBody"/>
        <w:bidi w:val="0"/>
        <w:spacing w:lineRule="auto" w:line="288" w:before="240" w:after="283"/>
        <w:jc w:val="left"/>
        <w:rPr/>
      </w:pPr>
      <w:r>
        <w:rPr>
          <w:rFonts w:ascii="Times New Roman;sans-serif" w:hAnsi="Times New Roman;sans-serif"/>
          <w:b w:val="false"/>
          <w:color w:val="231F20"/>
          <w:sz w:val="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w:t>
      </w:r>
      <w:r>
        <w:rPr>
          <w:rFonts w:ascii="Times New Roman;sans-serif" w:hAnsi="Times New Roman;sans-serif"/>
          <w:b w:val="false"/>
          <w:color w:val="000000"/>
          <w:sz w:val="20"/>
        </w:rPr>
        <w:t>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become subject to product liability and warranty-related claims, which could harm our financial condition and liquidity if we are not able to successfully defend or insure against such claims.</w:t>
      </w:r>
    </w:p>
    <w:p>
      <w:pPr>
        <w:pStyle w:val="TextBody"/>
        <w:bidi w:val="0"/>
        <w:spacing w:lineRule="auto" w:line="288" w:before="240" w:after="283"/>
        <w:jc w:val="left"/>
        <w:rPr/>
      </w:pPr>
      <w:r>
        <w:rPr>
          <w:rFonts w:ascii="Times New Roman;sans-serif" w:hAnsi="Times New Roman;sans-serif"/>
          <w:b w:val="false"/>
          <w:color w:val="231F20"/>
          <w:sz w:val="20"/>
        </w:rPr>
        <w:t>We may become subject to product liability and warranty-related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w:t>
      </w:r>
      <w:r>
        <w:rPr>
          <w:color w:val="000000"/>
        </w:rPr>
        <w:t xml:space="preserve"> </w:t>
      </w:r>
      <w:r>
        <w:rPr>
          <w:rFonts w:ascii="Times New Roman;sans-serif" w:hAnsi="Times New Roman;sans-serif"/>
          <w:b w:val="false"/>
          <w:color w:val="231F20"/>
          <w:sz w:val="20"/>
        </w:rPr>
        <w:t>from or related to failures, claimed failures or misuse of new technologies that we expect to offer, including</w:t>
      </w:r>
      <w:r>
        <w:rPr>
          <w:color w:val="000000"/>
        </w:rPr>
        <w:t xml:space="preserve"> </w:t>
      </w:r>
      <w:r>
        <w:rPr>
          <w:rFonts w:ascii="Times New Roman;sans-serif" w:hAnsi="Times New Roman;sans-serif"/>
          <w:b w:val="false"/>
          <w:i/>
          <w:color w:val="231F20"/>
          <w:sz w:val="20"/>
        </w:rPr>
        <w:t xml:space="preserve">ADAS </w:t>
      </w:r>
      <w:r>
        <w:rPr>
          <w:rFonts w:ascii="Times New Roman;sans-serif" w:hAnsi="Times New Roman;sans-serif"/>
          <w:b w:val="false"/>
          <w:color w:val="231F20"/>
          <w:sz w:val="20"/>
        </w:rPr>
        <w:t xml:space="preserve">features in our vehicles. See “— Risks Related to Litigation and Regulation — </w:t>
      </w:r>
      <w:r>
        <w:rPr>
          <w:rFonts w:ascii="Times New Roman;sans-serif" w:hAnsi="Times New Roman;sans-serif"/>
          <w:b w:val="false"/>
          <w:i/>
          <w:color w:val="231F20"/>
          <w:sz w:val="20"/>
        </w:rPr>
        <w:t>ADAS technology is subject to uncertain and evolving regulations</w:t>
      </w:r>
      <w:r>
        <w:rPr>
          <w:rFonts w:ascii="Times New Roman;sans-serif" w:hAnsi="Times New Roman;sans-serif"/>
          <w:b w:val="false"/>
          <w:color w:val="231F20"/>
          <w:sz w:val="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 Furthermore, if our products contain design defects, manufacturing defects, or other defects in materials or workmanship that cause them to not conform to applicable express or implied warranties, and/or we are unable to service or repair nonconforming vehicles within a reasonable period of time or number of repair attempts, we may be subject to breach of warranty, lemon law, and other consumer protection claims.</w:t>
      </w:r>
    </w:p>
    <w:p>
      <w:pPr>
        <w:pStyle w:val="TextBody"/>
        <w:bidi w:val="0"/>
        <w:spacing w:lineRule="auto" w:line="288" w:before="240" w:after="283"/>
        <w:jc w:val="left"/>
        <w:rPr/>
      </w:pPr>
      <w:r>
        <w:rPr>
          <w:rFonts w:ascii="Times New Roman;sans-serif" w:hAnsi="Times New Roman;sans-serif"/>
          <w:b w:val="false"/>
          <w:color w:val="231F20"/>
          <w:sz w:val="20"/>
        </w:rPr>
        <w:t>A successful product liability or warranty-related claim against us could result in a substantial monetary loss.</w:t>
      </w:r>
      <w:r>
        <w:rPr>
          <w:color w:val="000000"/>
        </w:rPr>
        <w:t xml:space="preserve"> </w:t>
      </w:r>
      <w:r>
        <w:rPr>
          <w:rFonts w:ascii="Times New Roman;sans-serif" w:hAnsi="Times New Roman;sans-serif"/>
          <w:b w:val="false"/>
          <w:color w:val="231F20"/>
          <w:sz w:val="20"/>
        </w:rPr>
        <w:t>Our risks in this area are particularly pronounced in light of the limited field experience of our vehicles. Moreover, a product liability or warranty-related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and warranty-related claims, and insurance coverage may not continue to be available to us or, if available, may be at a significantly higher cost. Any lawsuit seeking significant monetary damages or other product liability or warranty-related claims may have a material adverse effect on our reputation, business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exposed to delays, limitations and risks related to the environmental permits and other operating permits required to operate our manufacturing facilities.</w:t>
      </w:r>
    </w:p>
    <w:p>
      <w:pPr>
        <w:pStyle w:val="TextBody"/>
        <w:bidi w:val="0"/>
        <w:spacing w:lineRule="auto" w:line="288" w:before="240" w:after="283"/>
        <w:jc w:val="left"/>
        <w:rPr/>
      </w:pPr>
      <w:r>
        <w:rPr>
          <w:rFonts w:ascii="Times New Roman;sans-serif" w:hAnsi="Times New Roman;sans-serif"/>
          <w:b w:val="false"/>
          <w:color w:val="231F20"/>
          <w:sz w:val="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and Saudi Arabia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sans-serif" w:hAnsi="Times New Roman;sans-serif"/>
          <w:b w:val="false"/>
          <w:i/>
          <w:color w:val="231F20"/>
          <w:sz w:val="20"/>
        </w:rPr>
        <w:t>We have experienced and may in the future experience significant delays in the design, manufacture, launch and financing of our vehicles, including the Lucid Air and the Lucid Gravity, which could harm our business and prospects.</w:t>
      </w:r>
      <w:r>
        <w:rPr>
          <w:color w:val="231F20"/>
        </w:rPr>
        <w:t>”</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various environmental, health and safety laws and regulations that could impose substantial costs on us and cause delays in expanding our production facilities.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industry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contamination is discovered at properties we own or operate, properties we formerly owned or operated or properties to which we sent hazardous substances, we may be subject to liability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operations are also subject to federal, state, and local workplace safety laws and regulations, including, but not limited to, the Occupational Safety and Health Act and the rules promulgated by the Occupational Safety and Health Administration,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ADAS technology is subject to uncertain and evolving regulations.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expect to introduce certain ADAS technologies into our vehicles over time. ADAS technology is subject to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Currently, there are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U.S. and foreign anti-corruption, anti-money laundering and anti-boycott laws and regulations. We can face criminal liability and other serious consequences for violations, which can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governmental export and import controls and laws that could subject us to liability if we are not in compliance with such laws.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Changes in U.S. trade policy, including the imposition of tariffs or revocation of normal trade relations and the resulting consequences,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U.S. government has adopted an evolving approach to trade policy and in some cases has attempted to renegotiate or terminate certain existing bilateral or multi-lateral trade agreements. It has also imposed tariffs on certain foreign goods, including steel and certain vehicle parts, which have resulted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000000"/>
          <w:sz w:val="20"/>
        </w:rPr>
        <w:t>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w:t>
      </w:r>
      <w:r>
        <w:rPr>
          <w:color w:val="231F20"/>
        </w:rPr>
        <w:t xml:space="preserve"> </w:t>
      </w:r>
      <w:r>
        <w:rPr>
          <w:rFonts w:ascii="Times New Roman;sans-serif" w:hAnsi="Times New Roman;sans-serif"/>
          <w:b w:val="false"/>
          <w:color w:val="231F20"/>
          <w:sz w:val="20"/>
        </w:rPr>
        <w:t>and could have an adverse effect on our business and results of operations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in response to actions taken by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United States enacted federal legislation that revokes normal trade relations between Russia and Belarus. As a result of this and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 failure to properly comply with foreign trade zone laws and regulations could increase the cost of our duties and tariffs.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Intellectual Property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ability to compete effectively is dependent in part upon our ability to obtain, maintain, enforce, defend and protect our intellectual property and proprietary technology.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infringement, misappropriation and other violations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defend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measures we take to obtain, maintain, protect, defend and enforce our intellectual property, including preventing unauthorized use by third parties, may not be effective for various reasons, including the following: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trademark or patent applications we file may not result in the issuance of trademarks or patents;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we may not be the first inventor of the subject matter to which we have filed a particular patent application, and we may not be the first party to file such a patent application;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issued patents may be challenged or invalidated by our competitors or other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patents have a finite term, and competitors and other third parties may offer identical or similar products after the expiration of our patents that cover such products;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employees, contractors or business partners may breach their confidentiality, non-disclosure and non-use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competitors and other third parties may independently develop technologies that are the same or similar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the intellectual property rights of others could also bar us from licensing and exploiting any patents that issue from our pending applications;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costs associated with enforcing patents or other intellectual property rights, or confidentiality and invention assignment agreements may make enforcement impracticable;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competitors and other third parties may circumvent or otherwise design around our patents or other intellectual property.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 For example, we are evaluating and responding to a claim in a USPTO administrative hearing opposing and requesting cancellation of our trademark application and registration for the use of “Gravity”.</w:t>
      </w:r>
    </w:p>
    <w:p>
      <w:pPr>
        <w:pStyle w:val="TextBody"/>
        <w:bidi w:val="0"/>
        <w:spacing w:lineRule="auto" w:line="288" w:before="240" w:after="283"/>
        <w:jc w:val="left"/>
        <w:rPr/>
      </w:pPr>
      <w:r>
        <w:rPr>
          <w:rFonts w:ascii="Times New Roman;sans-serif" w:hAnsi="Times New Roman;sans-serif"/>
          <w:b w:val="false"/>
          <w:color w:val="231F20"/>
          <w:sz w:val="20"/>
        </w:rPr>
        <w:t>It is our policy to enter into confidentiality and invention assignment agreements with our employees and contractors that have developed material intellectual property for us, but these agreements may not be</w:t>
      </w:r>
      <w:r>
        <w:rPr>
          <w:color w:val="000000"/>
        </w:rPr>
        <w:t xml:space="preserve"> </w:t>
      </w:r>
      <w:r>
        <w:rPr>
          <w:rFonts w:ascii="Times New Roman;sans-serif" w:hAnsi="Times New Roman;sans-serif"/>
          <w:b w:val="false"/>
          <w:color w:val="231F20"/>
          <w:sz w:val="20"/>
        </w:rPr>
        <w:t>self-executing and may not otherwise adequately protect our intellectual property, particularly with respect to conflicts of ownership relating to work product generated by the employees and contractors. Furthermore, we cannot be certain that we have entered into these agreements with every such employee and contractor, that these agreements will not be breached or that third parties will not gain access to our trade secrets, know-how or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licensed and plan to further license patents and other intellectual property from third parties, including, but not limited to, suppliers and service providers, and we may face claims that our use of this in-licensed intellectual property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 The resolution of such disputes could narrow what we believe to be the scope of our rights to the relevant intellectual property or increase what we believe to be our financial or other obligations under the relevant agreement. If we are unable to renew our key license or other intellectual property-related agreements on acceptable terms, or our current and future licensors conclude that we have materially breached our obligations under our license agreements and terminate such license agreements, we may lose the legal right to use some of the intellectual property we employ to manufacture certain products or only be able to maintain such right at a substantially higher cost. In some circumstances, we may not have the right to control the maintenance, prosecution, preparation, filing, enforcement, defense or litigation of patents and patent applications that we license from third parties and are reliant on our licensors to do so. We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 prevent unauthorized use of our intellectual property, it may be necessary to prosecute actions for infringement, misappropriation or other violation of our intellectual property against third parties. Any such action may be time-consuming and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sued by third parties for alleged infringement, misappropriation or other violation of their intellectual property, which could be time-consuming and costly and result in significant legal liability.</w:t>
      </w:r>
    </w:p>
    <w:p>
      <w:pPr>
        <w:pStyle w:val="TextBody"/>
        <w:bidi w:val="0"/>
        <w:spacing w:lineRule="auto" w:line="288" w:before="240" w:after="283"/>
        <w:jc w:val="left"/>
        <w:rPr/>
      </w:pPr>
      <w:r>
        <w:rPr>
          <w:rFonts w:ascii="Times New Roman;sans-serif" w:hAnsi="Times New Roman;sans-serif"/>
          <w:b w:val="false"/>
          <w:color w:val="231F20"/>
          <w:sz w:val="20"/>
        </w:rPr>
        <w:t>There are considerable issued patents, pending patent applications, and other intellectual property development, ownership, and activity in our industry.</w:t>
      </w:r>
      <w:r>
        <w:rPr>
          <w:color w:val="000000"/>
        </w:rPr>
        <w:t xml:space="preserve"> </w:t>
      </w:r>
      <w:r>
        <w:rPr>
          <w:rFonts w:ascii="Times New Roman;sans-serif" w:hAnsi="Times New Roman;sans-serif"/>
          <w:b w:val="false"/>
          <w:color w:val="231F20"/>
          <w:sz w:val="20"/>
        </w:rPr>
        <w:t>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time-to-time,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Patent and other types of intellectual property litigation can involve complex factual and legal questions, and their outcome is uncertain. Even if we believe such claims are without merit, a court of competent jurisdiction could hold that such third-party intellectual property is valid, enforceable and infringed, which could adversely affect our ability to commercialize our products or technologies. Accordingly, we may consider entering into license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pay substantial damages, including treble damages for willful infringement, or ongoing royalty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cease developing, selling, leasing, using or incorporating certain components into vehicles or offering goods or services that incorporate or use the asserted intellectual property;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seek a license from the owner of the asserted intellectual property, which license may not be available on reasonable terms, or at all;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comply with other unfavorable terms;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maintain alternative branding for our products and services.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employees.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Some of our products contain open-source software, which may pose particular risks to our proprietary software, products and services in a manner that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as well as our third-party software suppliers’ use of open-source software and compliance with open-source licenses and try to ensure that none is used in a manner that would require us to disclose our proprietary source code or that would otherwise breach the terms of an open-source license, such use could inadvertently occur or be claimed to have occurred. Additionally, we could face claims from third parties claiming ownership of, or demanding release of, the open-source software or derivative works that we developed using such software, which could include our proprietary source code, or otherwise seeking to enforce, or alleging non-compliance with the terms of the applicable open-source license. These claims could result in litigation and could require us to make our proprietary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Financing and Strategic Transactions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pPr>
      <w:r>
        <w:rPr>
          <w:rFonts w:ascii="Times New Roman;sans-serif" w:hAnsi="Times New Roman;sans-serif"/>
          <w:b w:val="false"/>
          <w:color w:val="231F20"/>
          <w:sz w:val="20"/>
        </w:rPr>
        <w:t xml:space="preserve">We have funded our operations since inception primarily through equity and debt financings. For example, we issued $2.0 billion of 1.25% convertible senior notes due 2026 in December 2021 (the “2026 Notes”), entered into a credit agreement that provides for a $1.0 billion senior secured asset-based revolving credit facility in June 2022 (the “ABL Credit Facility”), </w:t>
      </w:r>
      <w:r>
        <w:rPr>
          <w:rFonts w:ascii="Times New Roman;sans-serif" w:hAnsi="Times New Roman;sans-serif"/>
          <w:b w:val="false"/>
          <w:color w:val="000000"/>
          <w:sz w:val="20"/>
        </w:rPr>
        <w:t>completed an “at-the-market” equity offering program for net proceeds of $594.3 million after deducting commissions and other issuance costs and consummated a private placement of common stock to Ayar for aggregate proceeds of $915.0 million in December 2022</w:t>
      </w:r>
      <w:r>
        <w:rPr>
          <w:rFonts w:ascii="Times New Roman;sans-serif" w:hAnsi="Times New Roman;sans-serif"/>
          <w:b w:val="false"/>
          <w:color w:val="231F20"/>
          <w:sz w:val="20"/>
        </w:rPr>
        <w:t xml:space="preserve">. In addition, we have, through our subsidiary, entered into a loan agreement with the Saudi Industrial Development Fund for an aggregate principal amount of up to SAR 5.19 billion in February 2022 (the “SIDF Loan </w:t>
      </w:r>
      <w:r>
        <w:rPr>
          <w:rFonts w:ascii="Times New Roman;sans-serif" w:hAnsi="Times New Roman;sans-serif"/>
          <w:b w:val="false"/>
          <w:color w:val="000000"/>
          <w:sz w:val="20"/>
        </w:rPr>
        <w:t>Agreement”) and also entered into a revolving credit facility agreement with Gulf International Bank for an aggregate principal amount of SAR 1 billion in April 2022, which was amended in March 2023 (as amended, the “Amended GIB Facility Agreement”). In June 2023, we completed an underwritten public offering of common stock for aggregate net proceeds of $1.2 billion and consummated the private placement to Ayar for aggregate net proceeds of $1.8 billion, after deducting issuance costs. We anticipate that we will continue to need to raise additional funds through equity, equity-linked or debt financings. Our business is capital-intensive, and we expect the costs and expenses associated with our planned operations will continue to increase in the near term. We do not expect to achieve positive cash flo</w:t>
      </w:r>
      <w:r>
        <w:rPr>
          <w:rFonts w:ascii="Times New Roman;sans-serif" w:hAnsi="Times New Roman;sans-serif"/>
          <w:b w:val="false"/>
          <w:color w:val="231F20"/>
          <w:sz w:val="20"/>
        </w:rPr>
        <w:t xml:space="preserve">w from operations for several years, if at all. In addition, we have and we expect to settle tax withholding obligations in connection with vesting of the restricted stock units granted to certain employees through “net settlement,” i.e., by remitting the Company’s cash to satisfy the tax withholding obligation and simultaneously withholding a number of the vested shares on each vesting date with a value equal to that remitted cash.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w:t>
      </w:r>
    </w:p>
    <w:p>
      <w:pPr>
        <w:pStyle w:val="TextBody"/>
        <w:bidi w:val="0"/>
        <w:spacing w:lineRule="auto" w:line="288" w:before="240" w:after="283"/>
        <w:jc w:val="left"/>
        <w:rPr/>
      </w:pPr>
      <w:r>
        <w:rPr>
          <w:rFonts w:ascii="Times New Roman;sans-serif" w:hAnsi="Times New Roman;sans-serif"/>
          <w:b w:val="false"/>
          <w:color w:val="231F20"/>
          <w:sz w:val="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Times New Roman;sans-serif" w:hAnsi="Times New Roman;sans-serif"/>
          <w:b w:val="false"/>
          <w:color w:val="000000"/>
          <w:sz w:val="20"/>
        </w:rPr>
        <w:t xml:space="preserve">For example, we have entered into agreements with Panasonic Energy Co., Ltd. and certain of its affiliates to purchase an aggregate of approximately $5 billion of lithium-ion battery cells, subject to certain conditions and adjustments, beginning in 2023 through 2031. </w:t>
      </w:r>
      <w:r>
        <w:rPr>
          <w:rFonts w:ascii="Times New Roman;sans-serif" w:hAnsi="Times New Roman;sans-serif"/>
          <w:b w:val="false"/>
          <w:color w:val="231F20"/>
          <w:sz w:val="20"/>
        </w:rPr>
        <w:t>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raise additional funds through further issuances of equity or equity-linked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lineRule="auto" w:line="288" w:before="240" w:after="283"/>
        <w:jc w:val="left"/>
        <w:rPr/>
      </w:pPr>
      <w:r>
        <w:rPr>
          <w:rFonts w:ascii="Times New Roman;sans-serif" w:hAnsi="Times New Roman;sans-serif"/>
          <w:b w:val="false"/>
          <w:color w:val="231F20"/>
          <w:sz w:val="20"/>
        </w:rPr>
        <w:t xml:space="preserve">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government closures of banks and liquidity concerns at other financial institutions, interest rate changes, global conflicts or other geopolitical events and the COVID-19 pandemic, or investor acceptance of our business model. These factors may </w:t>
      </w:r>
      <w:r>
        <w:rPr>
          <w:rFonts w:ascii="Times New Roman;sans-serif" w:hAnsi="Times New Roman;sans-serif"/>
          <w:b w:val="false"/>
          <w:color w:val="000000"/>
          <w:sz w:val="20"/>
        </w:rPr>
        <w:t>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realize the anticipated benefits of our agreement with Aston Martin.</w:t>
      </w:r>
    </w:p>
    <w:p>
      <w:pPr>
        <w:pStyle w:val="TextBody"/>
        <w:bidi w:val="0"/>
        <w:spacing w:lineRule="auto" w:line="288" w:before="240" w:after="283"/>
        <w:jc w:val="left"/>
        <w:rPr/>
      </w:pPr>
      <w:r>
        <w:rPr>
          <w:rFonts w:ascii="Times New Roman;sans-serif" w:hAnsi="Times New Roman;sans-serif"/>
          <w:b w:val="false"/>
          <w:color w:val="000000"/>
          <w:sz w:val="20"/>
        </w:rPr>
        <w:t>In June 2023, we entered into an agreement (the “Implementation Agreement”) with Aston Martin Lagonda Global Holdings plc (together with its subsidiaries,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w:t>
      </w:r>
      <w:r>
        <w:rPr>
          <w:color w:val="000000"/>
        </w:rPr>
        <w:t xml:space="preserve"> </w:t>
      </w:r>
      <w:r>
        <w:rPr>
          <w:rFonts w:ascii="Times New Roman;sans-serif" w:hAnsi="Times New Roman;sans-serif"/>
          <w:b w:val="false"/>
          <w:color w:val="000000"/>
          <w:sz w:val="20"/>
        </w:rPr>
        <w:t>See Item 2. Management’s Discussion and Analysis of Financial Condition and Results of Operations for more information.</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realize the anticipated benefits of the Strategic Technology Arrangement if we experience delays, fail to successfully integrate our powertrain and battery components with Aston Martin’s vehicles, or fail to enter into a long form supply agreement on terms acceptable to us, or if we experience delays or fail to deliver the components ordered by Aston Martin. Any such delay or failure for any reason, including for reasons beyond our control, may have an adverse effect on our brand and reputation, and our business, prospects,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ASU 2020-06, we accounted for the issuance of the 2026 Notes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pStyle w:val="TextBody"/>
        <w:bidi w:val="0"/>
        <w:spacing w:lineRule="auto" w:line="288" w:before="240" w:after="283"/>
        <w:jc w:val="left"/>
        <w:rPr/>
      </w:pPr>
      <w:r>
        <w:rPr>
          <w:rFonts w:ascii="Times New Roman;sans-serif" w:hAnsi="Times New Roman;sans-serif"/>
          <w:b w:val="false"/>
          <w:color w:val="000000"/>
          <w:sz w:val="20"/>
        </w:rPr>
        <w:t>In December 2021, we issued $2.0 billion principal amount of 2026 Notes and have entered into several credit facilities in 2022. See Note 7 “Debt” to the</w:t>
      </w:r>
      <w:r>
        <w:rPr>
          <w:color w:val="000000"/>
        </w:rPr>
        <w:t xml:space="preserve"> </w:t>
      </w:r>
      <w:r>
        <w:rPr>
          <w:rFonts w:ascii="Times New Roman;sans-serif" w:hAnsi="Times New Roman;sans-serif"/>
          <w:b w:val="false"/>
          <w:color w:val="000000"/>
          <w:sz w:val="20"/>
        </w:rPr>
        <w:t>consolidated financial statements included elsewhere in this Annual Report for further information on our outstanding debt obligations. Our ability to make scheduled payments of the principal of, to pay interest on or to refinance our indebtedness from time-to-time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indebtedness, combined with our other existing and future financial obligations and contractual commitments, could have other important consequences. For example, it could:</w:t>
      </w:r>
    </w:p>
    <w:p>
      <w:pPr>
        <w:pStyle w:val="TextBody"/>
        <w:bidi w:val="0"/>
        <w:spacing w:lineRule="auto" w:line="288" w:before="120" w:after="283"/>
        <w:ind w:left="0" w:right="0" w:hanging="360"/>
        <w:jc w:val="left"/>
        <w:rPr>
          <w:color w:val="231F20"/>
        </w:rPr>
      </w:pPr>
      <w:r>
        <w:rPr>
          <w:color w:val="231F20"/>
        </w:rPr>
        <w:t>•    </w:t>
      </w:r>
      <w:r>
        <w:rPr>
          <w:rFonts w:ascii="Times New Roman;sans-serif" w:hAnsi="Times New Roman;sans-serif"/>
          <w:b w:val="false"/>
          <w:color w:val="231F20"/>
          <w:sz w:val="20"/>
        </w:rPr>
        <w:t>make us more vulnerable to adverse changes in general U.S. and worldwide economic, industry and competitive conditions and adverse changes in government regulation;</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limit our flexibility in planning for, or reacting to, changes in our business and our industry;</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place us at a disadvantage compared to our competitors who have less debt;</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limit our ability to borrow additional amounts to fund acquisitions, for working capital and for other general corporate purposes; and</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make an acquisition of our company less attractive or more difficult.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SIDF Loan Agreement, the Amended GIB Facility Agreement, and the ABL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shares of our common stock are subordinate in right of payment to all of our current and future debt. We cannot assure that there would be any remaining funds after the payment of all of our debt for any distribution to our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harm our business, results of operations and financial condition. In addition, if we incur additional indebtedness, the risks related to our business and our ability to service or repay our indebtedness would increase.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and may still incur substantially more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have incurred and may be able to incur substantial additional debt in the future, subject to the restrictions contained in our debt instruments, some of which may be secured debt. The ABL Credit Facility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if triggered, may adversely affect our financial condition and operating results.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From and after September 15, 2026, noteholders may convert their 2026 Notes at any time at their election until the close of business on the second scheduled trading day immediately before the maturity date.</w:t>
      </w:r>
      <w:r>
        <w:rPr>
          <w:color w:val="000000"/>
        </w:rPr>
        <w:t xml:space="preserve"> </w:t>
      </w:r>
      <w:r>
        <w:rPr>
          <w:rFonts w:ascii="Times New Roman;sans-serif" w:hAnsi="Times New Roman;sans-serif"/>
          <w:b w:val="false"/>
          <w:color w:val="000000"/>
          <w:sz w:val="20"/>
        </w:rPr>
        <w:t xml:space="preserve">In the event the conditional conversion feature of the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is triggered, holders of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will be entitled under the indenture governing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to convert their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at any time during specified periods at their option. If one or more holders of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elect to convert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Noteholders may, subject to a limited exception, require us to repurchase their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draw down the full amounts available under the ABL Credit Facility, the SIDF Loan Agreement and the Amended GIB Facility Agreement.</w:t>
      </w:r>
    </w:p>
    <w:p>
      <w:pPr>
        <w:pStyle w:val="TextBody"/>
        <w:bidi w:val="0"/>
        <w:spacing w:lineRule="auto" w:line="288" w:before="240" w:after="283"/>
        <w:jc w:val="left"/>
        <w:rPr/>
      </w:pPr>
      <w:r>
        <w:rPr>
          <w:rFonts w:ascii="Times New Roman;sans-serif" w:hAnsi="Times New Roman;sans-serif"/>
          <w:b w:val="false"/>
          <w:color w:val="000000"/>
          <w:sz w:val="20"/>
        </w:rPr>
        <w:t>The ABL Credit Facility has an initial aggregate principal commitment amount of up to $1.0 billion. However, availability of the committed amounts under the ABL Credit Facility is subject to the value of the eligible borrowing base and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Amended GIB Facility Agreement are only available for certain specific purposes and subject to conditions on drawdowns. Any inability to draw down the full amounts committed under these facilities, should the need arise, may have an</w:t>
      </w:r>
      <w:r>
        <w:rPr>
          <w:color w:val="231F20"/>
        </w:rPr>
        <w:t xml:space="preserve"> </w:t>
      </w:r>
      <w:r>
        <w:rPr>
          <w:rFonts w:ascii="Times New Roman;sans-serif" w:hAnsi="Times New Roman;sans-serif"/>
          <w:b w:val="false"/>
          <w:color w:val="231F20"/>
          <w:sz w:val="20"/>
        </w:rPr>
        <w:t>adverse effect on our cash flows and liquidity.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identify adequate strategic relationship opportunities or form strategic relationships, in the future.</w:t>
      </w:r>
    </w:p>
    <w:p>
      <w:pPr>
        <w:pStyle w:val="TextBody"/>
        <w:bidi w:val="0"/>
        <w:spacing w:lineRule="auto" w:line="288" w:before="240" w:after="283"/>
        <w:jc w:val="left"/>
        <w:rPr/>
      </w:pPr>
      <w:r>
        <w:rPr>
          <w:rFonts w:ascii="Times New Roman;sans-serif" w:hAnsi="Times New Roman;sans-serif"/>
          <w:b w:val="false"/>
          <w:color w:val="231F20"/>
          <w:sz w:val="20"/>
        </w:rPr>
        <w:t xml:space="preserve">Strategic business relationships are and will continue to be an important factor in the growth and success of our business. From time-to-time, we explore opportunities to enter into strategic relationships, including partnerships with original equipment manufacturers. However, there are no assurances that we will be able to identify or secure suitable business relationship opportunities in the future or that </w:t>
      </w:r>
      <w:r>
        <w:rPr>
          <w:rFonts w:ascii="Times New Roman;sans-serif" w:hAnsi="Times New Roman;sans-serif"/>
          <w:b w:val="false"/>
          <w:color w:val="000000"/>
          <w:sz w:val="20"/>
        </w:rPr>
        <w:t xml:space="preserve">we will be able to maintain such relationships. In addition, </w:t>
      </w:r>
      <w:r>
        <w:rPr>
          <w:rFonts w:ascii="Times New Roman;sans-serif" w:hAnsi="Times New Roman;sans-serif"/>
          <w:b w:val="false"/>
          <w:color w:val="231F20"/>
          <w:sz w:val="20"/>
        </w:rPr>
        <w:t>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third-party electric vehicle charging providers to provide our customers with access to charging infrastructure, and we will rely on ongoing access to such infrastructure to provide our customers with charging solutions. If third-party electric vehicle charging providers terminate their partnerships or otherwise fail to deliver the anticipated benefits of their partnerships, our ability to provide a satisfactory customer experience will be harmed. In addition, although we have agreed to join Tesla’s Supercharger network, there may be delays in making changes to our vehicles or the network necessary for Lucid vehicles to charge at Tesla Superchargers.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acquire other businesses, which could require significant management attention, disrupt our business, dilute stockholder value and adversely affect our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financial results may vary significantly from period-to-period due to fluctuations in our production levels, operating costs, product demand and other factors.</w:t>
      </w:r>
    </w:p>
    <w:p>
      <w:pPr>
        <w:pStyle w:val="TextBody"/>
        <w:bidi w:val="0"/>
        <w:spacing w:lineRule="auto" w:line="288" w:before="240" w:after="283"/>
        <w:jc w:val="left"/>
        <w:rPr/>
      </w:pPr>
      <w:r>
        <w:rPr>
          <w:rFonts w:ascii="Times New Roman;sans-serif" w:hAnsi="Times New Roman;sans-serif"/>
          <w:b w:val="false"/>
          <w:color w:val="231F20"/>
          <w:sz w:val="20"/>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period-to-period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w:t>
      </w:r>
      <w:r>
        <w:rPr>
          <w:rFonts w:ascii="Times New Roman;sans-serif" w:hAnsi="Times New Roman;sans-serif"/>
          <w:b w:val="false"/>
          <w:color w:val="000000"/>
          <w:sz w:val="20"/>
        </w:rPr>
        <w:t>y deliver finished vehicles to customers. Lower production and sales volumes and an inability to fully utilize our purchase commitments with suppliers may result in increased costs and excess inventory as well as potential inventory write-offs. In addition, automotive manufacturer</w:t>
      </w:r>
      <w:r>
        <w:rPr>
          <w:rFonts w:ascii="Times New Roman;sans-serif" w:hAnsi="Times New Roman;sans-serif"/>
          <w:b w:val="false"/>
          <w:color w:val="231F20"/>
          <w:sz w:val="20"/>
        </w:rPr>
        <w:t>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Tax</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ability to use net operating loss carryforwards and certain other tax attributes may be limited.</w:t>
      </w:r>
    </w:p>
    <w:p>
      <w:pPr>
        <w:pStyle w:val="TextBody"/>
        <w:bidi w:val="0"/>
        <w:spacing w:lineRule="auto" w:line="288" w:before="240" w:after="283"/>
        <w:jc w:val="left"/>
        <w:rPr/>
      </w:pPr>
      <w:r>
        <w:rPr>
          <w:rFonts w:ascii="Times New Roman;sans-serif" w:hAnsi="Times New Roman;sans-serif"/>
          <w:b w:val="false"/>
          <w:color w:val="231F20"/>
          <w:sz w:val="20"/>
        </w:rPr>
        <w:t>We have accumulated U.S. federal and state net operating loss (“NOL”) carryforwards and research and deve</w:t>
      </w:r>
      <w:r>
        <w:rPr>
          <w:rFonts w:ascii="Times New Roman;sans-serif" w:hAnsi="Times New Roman;sans-serif"/>
          <w:b w:val="false"/>
          <w:color w:val="000000"/>
          <w:sz w:val="20"/>
        </w:rPr>
        <w:t>lopment credits which may be available to 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December 31, 2023, we also had U.S. federal research and development credit carryforwards which will begin to expire in 2036 and state research and development credit carryforwards with no expiration. As of December 31, 2023, we maintain a full valuation allowance for our net deferred tax assets.</w:t>
      </w:r>
    </w:p>
    <w:p>
      <w:pPr>
        <w:pStyle w:val="TextBody"/>
        <w:bidi w:val="0"/>
        <w:spacing w:lineRule="auto" w:line="288" w:before="240" w:after="283"/>
        <w:jc w:val="left"/>
        <w:rPr/>
      </w:pPr>
      <w:r>
        <w:rPr>
          <w:rFonts w:ascii="Times New Roman;sans-serif" w:hAnsi="Times New Roman;sans-serif"/>
          <w:b w:val="false"/>
          <w:color w:val="000000"/>
          <w:sz w:val="20"/>
        </w:rPr>
        <w:t xml:space="preserve">Our U.S. federal and state NOL carryforwards and certain tax credits </w:t>
      </w:r>
      <w:r>
        <w:rPr>
          <w:rFonts w:ascii="Times New Roman;sans-serif" w:hAnsi="Times New Roman;sans-serif"/>
          <w:b w:val="false"/>
          <w:color w:val="231F20"/>
          <w:sz w:val="20"/>
        </w:rPr>
        <w:t>may be subject to significant limitations under Section 382 and Section 383 of the 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pStyle w:val="TextBody"/>
        <w:bidi w:val="0"/>
        <w:spacing w:lineRule="auto" w:line="288" w:before="240" w:after="283"/>
        <w:jc w:val="left"/>
        <w:rPr/>
      </w:pPr>
      <w:r>
        <w:rPr>
          <w:rFonts w:ascii="Times New Roman;sans-serif" w:hAnsi="Times New Roman;sans-serif"/>
          <w:b w:val="false"/>
          <w:color w:val="231F20"/>
          <w:sz w:val="20"/>
        </w:rPr>
        <w:t>In general, an “ownership change” will occur if there is a cumulative change in our ownership by “5-percent shareholders” that exceeds 50 percentage poin</w:t>
      </w:r>
      <w:r>
        <w:rPr>
          <w:rFonts w:ascii="Times New Roman;sans-serif" w:hAnsi="Times New Roman;sans-serif"/>
          <w:b w:val="false"/>
          <w:color w:val="000000"/>
          <w:sz w:val="20"/>
        </w:rPr>
        <w:t>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$12 million of our U.S. federal NOL and $3 million of U.S. federal research and development tax credit carryforwards. Similar provisions of state law may also apply to limit our use of accumulated state tax attributes from the same period.</w:t>
      </w:r>
    </w:p>
    <w:p>
      <w:pPr>
        <w:pStyle w:val="TextBody"/>
        <w:bidi w:val="0"/>
        <w:spacing w:lineRule="auto" w:line="288" w:before="240" w:after="283"/>
        <w:jc w:val="left"/>
        <w:rPr/>
      </w:pPr>
      <w:r>
        <w:rPr>
          <w:rFonts w:ascii="Times New Roman;sans-serif" w:hAnsi="Times New Roman;sans-serif"/>
          <w:b w:val="false"/>
          <w:color w:val="000000"/>
          <w:sz w:val="20"/>
        </w:rPr>
        <w:t>We have not yet completed an analysis of whether the busin</w:t>
      </w:r>
      <w:r>
        <w:rPr>
          <w:rFonts w:ascii="Times New Roman;sans-serif" w:hAnsi="Times New Roman;sans-serif"/>
          <w:b w:val="false"/>
          <w:color w:val="231F20"/>
          <w:sz w:val="20"/>
        </w:rPr>
        <w:t>ess combination between the Company and Legacy Lucid also caused an “ownership change.” 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It is possible that we will not generate taxable income in time to use any of our NOL carryforwards and research and development credits before their expiration.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Unanticipated tax laws or any change in the application of existing tax laws to us or our customers or any change to our corporate structure may adversely impact our profitability and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For example,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While these rules do not impact our results of operations in the current year, these could impact our financial results in future periods. In addition, the Organization for Economic Cooperation and Development has issued model rules in connection with the Base Erosion and Profit Shifting integrated framework that determine multi-jurisdictional taxing rights and the rate of tax applicable to certain types of income.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change our corporate structure, our business operations or certain agreements that we have entered into relating to taxes in a particular jurisdiction. These changes may materially and adversely impact our consolidated financial statements.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warrants are accounted for as liabilities and the changes in value of our warrants could have a material effect on our financial results.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Public Company Requirements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requirements of being a public company may strain our resources and distract our management, which could make it difficult to manage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time-to-time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sans-serif" w:hAnsi="Times New Roman;sans-serif"/>
          <w:b w:val="false"/>
          <w:color w:val="000000"/>
          <w:sz w:val="20"/>
          <w:shd w:fill="FFFFFF" w:val="clear"/>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pPr>
      <w:r>
        <w:rPr>
          <w:rFonts w:ascii="Times New Roman;sans-serif" w:hAnsi="Times New Roman;sans-serif"/>
          <w:b w:val="false"/>
          <w:color w:val="231F20"/>
          <w:sz w:val="20"/>
        </w:rPr>
        <w:t xml:space="preserve">To implement, maintain and improve the effectiveness of our disclosure controls and procedures, we will need to commit significant resources, hire additional staff and provide additional management oversight. </w:t>
      </w:r>
      <w:r>
        <w:rPr>
          <w:rFonts w:ascii="Times New Roman;sans-serif" w:hAnsi="Times New Roman;sans-serif"/>
          <w:b w:val="false"/>
          <w:color w:val="000000"/>
          <w:sz w:val="20"/>
        </w:rPr>
        <w:t xml:space="preserve">To comply with the requirements of being a public company, we have undertaken, and expect to continue to further undertake in the future, various actions, such as hiring additional accounting staff and implementing new internal controls and procedures </w:t>
      </w:r>
      <w:r>
        <w:rPr>
          <w:rFonts w:ascii="Times New Roman;sans-serif" w:hAnsi="Times New Roman;sans-serif"/>
          <w:b w:val="false"/>
          <w:color w:val="231F20"/>
          <w:sz w:val="20"/>
        </w:rPr>
        <w:t>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SEC’s internal control over financial reporting requirements. Internal control over financial reporting is complex and may be revised over time to adapt to changes in our business, or changes in applicable accounting rules.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report any control deficiencies that constitute a “material weakness” in our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be required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Common Stock</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price of our common stock is volatile, and this volatility may negatively impact the market price of our common stock and the trading price of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Factors affecting the trading price of our securities may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market conditions in the broader stock market in general, or in our industry in particular;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actual or anticipated fluctuations in our quarterly financial or operating results or the quarterly financial or operating results of companies perceived to be similar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the market’s expectations about our operating results;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public’s reaction to our press releases, other public announcements and filings with the SEC;</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public’s reaction to the number of unit reservations, financial projections and any other guidance or metrics that we may publicly disclose from time-to-time;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speculation in the press or investment community;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actual or anticipated developments in our business, competitors’ businesses or the competitive landscape generally;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operating results failing to meet the expectation of securities analysts or investors in a particular period;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timing of the achievement of objectives under our business plan and the timing and amount of costs we incur in connection therewith;</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financial estimates and recommendations by securities analysts concerning us or the market in general;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operating and stock price performance of other companies that investors deem comparable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laws and regulations affecting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commencement of, or involvement in, litigation or investigations involving us;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our capital structure, such as future issuances of securities or the incurrence of additional debt;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volume of our common stock available for public sale;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any major change in our Board </w:t>
      </w:r>
      <w:r>
        <w:rPr>
          <w:rFonts w:ascii="Times New Roman;sans-serif" w:hAnsi="Times New Roman;sans-serif"/>
          <w:b w:val="false"/>
          <w:color w:val="000000"/>
          <w:sz w:val="20"/>
        </w:rPr>
        <w:t>or management;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substantial amounts of our common stock by our directors, officers or significant stockholders or the perception that such sales could occur;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and political conditions, such as recessions, interest rates, pandemics (such as COVID-19), inflation, government closures of banks and liquidity concerns at other financial institutions, changes in diplomatic and trade relationships, fluctuations in foreign currency exchange rates, acts of war or terrorism, and natural disasters;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risk factors listed in this section “Risk Factors.”</w:t>
      </w:r>
    </w:p>
    <w:p>
      <w:pPr>
        <w:pStyle w:val="TextBody"/>
        <w:bidi w:val="0"/>
        <w:spacing w:lineRule="auto" w:line="288" w:before="240" w:after="283"/>
        <w:jc w:val="left"/>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global conflicts and other geopolitical events, natural disasters, the COVID-19 pandemic, and any other global pa</w:t>
      </w:r>
      <w:r>
        <w:rPr>
          <w:rFonts w:ascii="Times New Roman;sans-serif" w:hAnsi="Times New Roman;sans-serif"/>
          <w:b w:val="false"/>
          <w:color w:val="231F20"/>
          <w:sz w:val="20"/>
        </w:rPr>
        <w:t xml:space="preserve">ndemics, as well as general economic, political and market conditions such as recessions, inflation, </w:t>
      </w:r>
      <w:r>
        <w:rPr>
          <w:rFonts w:ascii="Times New Roman;sans-serif" w:hAnsi="Times New Roman;sans-serif"/>
          <w:b w:val="false"/>
          <w:color w:val="000000"/>
          <w:sz w:val="20"/>
        </w:rPr>
        <w:t xml:space="preserve">government closures of banks and liquidity concerns at other financial institutions, </w:t>
      </w:r>
      <w:r>
        <w:rPr>
          <w:rFonts w:ascii="Times New Roman;sans-serif" w:hAnsi="Times New Roman;sans-serif"/>
          <w:b w:val="false"/>
          <w:color w:val="231F20"/>
          <w:sz w:val="20"/>
        </w:rPr>
        <w:t>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the stock markets in general, and the markets for technology and electric vehicle stocks in particular, have experienced extreme volatility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issuance of additional shares of our common stock or other equity or equity-linked securities, or sales of a significant portion of our common stock, could depress the market price of our common stock.</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pursuant to the Investor Rights Agreement, Ayar,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 </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pStyle w:val="TextBody"/>
        <w:bidi w:val="0"/>
        <w:spacing w:lineRule="auto" w:line="288" w:before="240" w:after="283"/>
        <w:jc w:val="left"/>
        <w:rPr/>
      </w:pPr>
      <w:r>
        <w:rPr>
          <w:rFonts w:ascii="Times New Roman;sans-serif" w:hAnsi="Times New Roman;sans-serif"/>
          <w:b w:val="false"/>
          <w:color w:val="231F20"/>
          <w:sz w:val="20"/>
        </w:rPr>
        <w:t xml:space="preserve">As of December 31, 2023, PIF, both directly and indirectly through Ayar, held </w:t>
      </w:r>
      <w:r>
        <w:rPr>
          <w:rFonts w:ascii="Times New Roman;sans-serif" w:hAnsi="Times New Roman;sans-serif"/>
          <w:b w:val="false"/>
          <w:color w:val="000000"/>
          <w:sz w:val="20"/>
        </w:rPr>
        <w:t>59.8% of our common stock. As a result, we are a “controlled company” within the meaning of the Nasdaq rules, and as a result, we qualify for exemptions from ce</w:t>
      </w:r>
      <w:r>
        <w:rPr>
          <w:rFonts w:ascii="Times New Roman;sans-serif" w:hAnsi="Times New Roman;sans-serif"/>
          <w:b w:val="false"/>
          <w:color w:val="231F20"/>
          <w:sz w:val="20"/>
        </w:rPr>
        <w:t>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PIF and Ayar beneficially own a significant equity interest in us and may take actions that conflict with your interests.</w:t>
      </w:r>
    </w:p>
    <w:p>
      <w:pPr>
        <w:pStyle w:val="TextBody"/>
        <w:bidi w:val="0"/>
        <w:spacing w:lineRule="auto" w:line="288" w:before="240" w:after="283"/>
        <w:jc w:val="left"/>
        <w:rPr/>
      </w:pPr>
      <w:r>
        <w:rPr>
          <w:rFonts w:ascii="Times New Roman;sans-serif" w:hAnsi="Times New Roman;sans-serif"/>
          <w:b w:val="false"/>
          <w:color w:val="231F20"/>
          <w:sz w:val="20"/>
        </w:rPr>
        <w:t>The interests of PIF and Ayar may not align with our interests and the interests of our other stockholders or securityholders. PIF and Ayar are each in the business of making investments in companies and may acquire and hold interests in businesses that compete directly or indirectly with us. PIF and Ayar and their respective affiliates, may also pursue acquisition opportunities that may be c</w:t>
      </w:r>
      <w:r>
        <w:rPr>
          <w:rFonts w:ascii="Times New Roman;sans-serif" w:hAnsi="Times New Roman;sans-serif"/>
          <w:b w:val="false"/>
          <w:color w:val="000000"/>
          <w:sz w:val="20"/>
        </w:rPr>
        <w:t>omplementary to our business and, as a result, those acquisition opportunities may not be available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anticipate paying any cash dividends for the foreseeable future.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pStyle w:val="TextBody"/>
        <w:bidi w:val="0"/>
        <w:spacing w:lineRule="auto" w:line="288" w:before="240" w:after="283"/>
        <w:jc w:val="left"/>
        <w:rPr/>
      </w:pPr>
      <w:r>
        <w:rPr>
          <w:rFonts w:ascii="Times New Roman;sans-serif" w:hAnsi="Times New Roman;sans-serif"/>
          <w:b w:val="false"/>
          <w:color w:val="231F20"/>
          <w:sz w:val="20"/>
        </w:rPr>
        <w:t>Se</w:t>
      </w:r>
      <w:r>
        <w:rPr>
          <w:rFonts w:ascii="Times New Roman;sans-serif" w:hAnsi="Times New Roman;sans-serif"/>
          <w:b w:val="false"/>
          <w:color w:val="000000"/>
          <w:sz w:val="20"/>
        </w:rPr>
        <w:t>e the section titled “Management’s Discussion and Analysis of Financial Condition and Results of Operations — Liquidity and Capital Resources” in this Annual Report.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There is no guarantee that an active and liquid public market for our securities will be sustained.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liquid trading market for our common stock is not sustained: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holders of our common stock may not be able to liquidate their investment in shares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holders of our common stock may not be able to resell their shares of our common stock at favorable prices,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market price of shares of our common stock may experience significant price volatility;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there may be less efficiency in carrying out purchase and sale orders with respect to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lineRule="auto" w:line="288" w:before="240" w:after="283"/>
        <w:jc w:val="left"/>
        <w:rPr/>
      </w:pPr>
      <w:r>
        <w:rPr>
          <w:rFonts w:ascii="Times New Roman;sans-serif" w:hAnsi="Times New Roman;sans-serif"/>
          <w:b/>
          <w:i/>
          <w:color w:val="000000"/>
          <w:sz w:val="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sans-serif" w:hAnsi="Times New Roman;sans-serif"/>
          <w:b/>
          <w:i/>
          <w:color w:val="231F20"/>
          <w:sz w:val="20"/>
        </w:rPr>
        <w:t>or disputes with us or with our directors, officers or employees and may discourage stockholders from bringing such claims.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derivative action or proceeding brought on our behalf;</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of breach of a fiduciary duty owed by any of our directors, officers or employees to us or our stockholders;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against us or any of our directors or officers or other employees arising pursuant to any provision of the DGCL or our certificate of incorporation or bylaws (as either may be amended, restated, modified, supplemented or waived from time-to-time);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against us or any of our directors or officers or other employees governed by the internal affairs doctrine.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w:t>
      </w:r>
      <w:r>
        <w:rPr>
          <w:color w:val="000000"/>
        </w:rPr>
        <w:t xml:space="preserve"> </w:t>
      </w:r>
      <w:r>
        <w:rPr>
          <w:rFonts w:ascii="Times New Roman;sans-serif" w:hAnsi="Times New Roman;sans-serif"/>
          <w:b w:val="false"/>
          <w:color w:val="231F20"/>
          <w:sz w:val="20"/>
        </w:rPr>
        <w:t>be no assurance that such provisions will be enforced by a court in those other jurisdictions.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Some provisions of Delaware law and our current certificate of incorporation and our current bylaws may deter third parties from acquiring us and diminish the value of our common stock and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current certificate of incorporation and our current bylaws provide for,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ability of our Board to issue one or more series of preferred stock with voting or other rights or preferences that could have the effect of impeding the success of an attempt to acquire us or otherwise effect a change in control;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subject to the Investor Rights Agreement, advance notice for nominations of directors by stockholders and for stockholders to include matters to be considered at stockholder meetings;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certain limitations on convening special stockholder meetings.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prior to such time, the Board approved either the business combination or the transaction that resulted in the stockholder becoming an interested stockholder;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at or subsequent to that time, the business combination is approved by our Board and by the affirmative vote of holders of at least two-thirds of the votes of our outstanding voting stock that is not owned by the interested stockholder.</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Lucid, cybersecurity risk management is an integral part of our overall enterprise risk management program. We have made significant investments in people, processes, and technology to protect Lucid’s connected vehicles, services, confidential business information, and employee and consumer personal data. We have implemented multiple and varied processes and technologies for the avoidance, identification, assessment, mitigation, and remediation of risks from cybersecurity threats and incidents designated to protect against the cybersecurity risk landscape. We are continuously assessing and enhancing our protection, detection, response, and recovery capabilities and regularly engage with the cybersecurity communities including Auto-ISAC, third-party cybersecurity and compliance partners, internal stakeholders, and organizations leading best practices, to support our goals and objectives. At its core, our cybersecurity risk management program integrates multiple teams across the organization, including our IT, digital and physical product, infrastructure, and legal teams, with leadership and oversight by executive management, the Audit Committee of the Board of Directors (“Audit Committee”), and the Board of Directors (“Board”).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Board and Committee Oversight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has oversight responsibility for our overall enterprise risk management and delegates cybersecurity risk management oversight to the Audit Committee. The Audit Committee oversees Lucid’s policies and practices with respect to risk assessment and risk management, including discussing with management (i) Lucid’s major financial, cybersecurity, privacy and other information technology risk exposures; (ii) the steps that have been taken to monitor and control such exposures; and (iii) any material cybersecurity threats or incidents. The Audit Committee and the Board receive regular reporting from Lucid’s management, including our Senior Director of Security and Compliance and Senior Director of Cybersecurity, Data, and Connectivity, on the status of our cybersecurity program and ad hoc reporting on material cybersecurity threats and incidents.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Management’s Role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management level, our information security steering committee, with oversight by our VP of IT and General Counsel, is responsible for leading our cybersecurity risk management program and enterprise cybersecurity matters. Under the information security steering committee, we have a cybersecurity risk and compliance committee, led by our Senior Director of Security and Compliance and Senior Director of Cybersecurity, Data, and Connectivity, which is primarily responsible for operational review of cybersecurity threats and incidents as part of our incident response process. The cybersecurity risk and compliance committee receives reports from our cybersecurity team and monitors the prevention, detection, mitigation, and remediation of cybersecurity threats and incidents. For potentially material cybersecurity threats and incidents, we escalate these to the information security steering committee, which, with additional oversight and support from our CEO, would raise such threats and incidents to our Audit Committee Chair and, as appropriate, to our Board as they arise.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Senior Director of Security and Compliance and Senior Director of Cybersecurity, Data, and Connectivity, and the dedicated personnel on their teams have industry-recognized certifications such as Certified Information Security Manager, Certified information systems security professional, and Boardroom qualified Technology Expert, and experienced information systems security professionals and information security managers with many years of technical cybersecurity management experience.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Management of Cybersecurity Risk</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Cybersecurity Risk Management Processes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provides a framework for handling cybersecurity threats and incidents by escalating risks, issues, and key decisions to management, the Audit Committee, and our Board. Our program is designated to protect our products and services, confidential business information (including intellectual property), and employee and consumer data and includes steps for detecting and monitoring cybersecurity threats and incidents, assessing the severity of such threats or incidents, identifying the source of such threats or incidents, including whether such threats or incidents are associated with a third-party vendor or service provider, implementing cybersecurity countermeasures and mitigation strategies and informing management, the Audit Committee, and our Board of potentially material cybersecurity threats and incidents. In addition, our cybersecurity team provides cybersecurity training to employees during the onboarding process and periodic basis thereafter, with specialized training and tabletop exercises for our core incident response teams and executive management on at least an annual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oversight of the information security steering committee, our cybersecurity risk management program is implemented day-to-day by our cybersecurity team, who engage in identifying, considering and assessing risks from cybersecurity threats and incidents on an ongoing basis; establishing processes to monitor such cybersecurity risks; putting in place mitigation and remediation measures; policy review and development; product support and deployment; and maintaining our cybersecurity measures. Our cybersecurity team also implements ongoing data loss prevention tools and capabilities, customer security measures, incident response measures, and processes for management of third-party vendors and service providers. Cybersecurity incident response is driven by our Lucid Data and Security Incident Response Plan. Based upon the severity assessment and ranking, incidents are handled by the relevant teams for technical, operational, and legal risk management.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has also implemented processes to integrate our cybersecurity risk management processes into our overall enterprise risk management system including within our greater product management, personnel management, and third-party vendor and service provider management processes.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Third-Party Auditors and Consultants in Cybersecurity Risk Management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team also periodically engages third-party cybersecurity experts for risk assessment and system enhancements. We utilize third-party auditors and assessors in connection with our cybersecurity risk management program to identify gaps and develop policies, procedures, and strategies designed to improve the program posture. We also use third-party consultants to obtain and will use them to maintain relevant organizational cybersecurity certifications, including UN Regulation 155 Vehicle Cybersecurity Approval. As a general matter, we have from time-to-time utilized third-party cybersecurity consultants on an ad hoc basis in specific instances, including (i) to address potential cybersecurity threats and incidents, (ii) to conduct cybersecurity assessments and penetration testing on high value systems and applications; and (iii) to develop internal capabilities to improve our cybersecurity defense.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Risk Management of Third-Party Vendors and Service Providers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implemented risk management practices designed to minimize the material cybersecurity risks that arise from utilizing third-party vendors and service providers that receive or have access to Lucid confidential information or personal data. In order to oversee and identify such risks, we have implemented the following processes: (i) a third-party security risk management program designed to assess security risk of new third-party vendors or service providers and develop countermeasures to manage unacceptable risks; (ii) provisions in our third-party vendors and service provider contracts with added security requirements; (iii) training procurement teams on management of third-party vendor and service providers; (iv) role-based access controls for third-party personnel; and (v) data transfer mechanisms for the sharing of data with third parties. While we are in the process of increasing the resiliency of these capabilities across the board, our control over and ability to monitor the security posture of third-party vendors and service providers remains limited and there can be no assurance that we can prevent, mitigate or remediate the risk of any compromise or failure in the security infrastructure owned or controlled by such third parties. Additionally, any contractual protections with such third parties, including our right to indemnification, if any at all, may be limited or insufficient to prevent a negative impact on our business from such compromise or failure.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headquartered in Newark, California. Our principal facilities include properties in North America, Europe and the Middle East, which are primarily for manufacturing, assembly, warehousing, engineering, retail and service, and administrative activities. We have opened forty-five studios and service centers (excluding temporary and satellite service centers) under leases: thirty-eight in North America, five in Europe and two in the Middle East. Our current manufacturing facilities are in Casa Grande, Arizona and Saudi Arabia. We currently lease or own the land on which our material properties are situated, and the leased properties are subject to various lease arrangements with third-party entities. </w:t>
      </w:r>
    </w:p>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Excluding our growing portfolio of retail locations, a list of certain of our principal facilities are outlined below:</w:t>
      </w:r>
    </w:p>
    <w:tbl>
      <w:tblPr>
        <w:tblW w:w="8752" w:type="dxa"/>
        <w:jc w:val="left"/>
        <w:tblInd w:w="0" w:type="dxa"/>
        <w:tblLayout w:type="fixed"/>
        <w:tblCellMar>
          <w:top w:w="28" w:type="dxa"/>
          <w:left w:w="28" w:type="dxa"/>
          <w:bottom w:w="28" w:type="dxa"/>
          <w:right w:w="28" w:type="dxa"/>
        </w:tblCellMar>
      </w:tblPr>
      <w:tblGrid>
        <w:gridCol w:w="1003"/>
        <w:gridCol w:w="881"/>
        <w:gridCol w:w="861"/>
        <w:gridCol w:w="109"/>
        <w:gridCol w:w="109"/>
        <w:gridCol w:w="109"/>
        <w:gridCol w:w="1242"/>
        <w:gridCol w:w="1242"/>
        <w:gridCol w:w="1250"/>
        <w:gridCol w:w="109"/>
        <w:gridCol w:w="109"/>
        <w:gridCol w:w="109"/>
        <w:gridCol w:w="474"/>
        <w:gridCol w:w="474"/>
        <w:gridCol w:w="671"/>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Primary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Owned or Leased</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Newark,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(AMP-1, LPM-1)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Casa Grande,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Owned/Leased</w:t>
            </w:r>
            <w:r>
              <w:rPr>
                <w:rFonts w:ascii="Times New Roman;sans-serif" w:hAnsi="Times New Roman;sans-serif"/>
                <w:b w:val="false"/>
                <w:color w:val="000000"/>
                <w:sz w:val="13"/>
              </w:rPr>
              <w:t>(1)</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(AMP-2)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King Abdullah Economic City, Saudi Arabia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r>
    </w:tbl>
    <w:p>
      <w:pPr>
        <w:pStyle w:val="TextBody"/>
        <w:bidi w:val="0"/>
        <w:spacing w:lineRule="auto" w:line="288" w:before="240" w:after="24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We own a substantial portion of the AMP-1 property and have an option to purchase the land for the portion of the AMP-1 property that is under lease. The property relating to LPM-1 is under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legal proceedings, please see the description set forth in the “Legal Matters” section in Note 16 “Commitments and Contingencies” in the notes to the consolidated financial statements in Item 8 of Part II of this Annual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Stock Market LLC under the ticker symbol “LCID.” Prior to July 23, 2021 and before the completion of the Transactions, Churchill’s Class A common stock traded on the New York Stock Exchange under the ticker symbol “CCIV”.</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there were 227 holders of record of our common stock. The number of beneficial owners is substantially greater than the number of record holders because a large portion of our common stock is held through banks, brokers and other financial institutions.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securities authorized under our equity compensation plans, see Note 14 “Stock-based awards” to the consolidated financial statements included elsewhere in this Annual Report for more information.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 Use of Proceeds from Registered Offerings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2026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14, 2021, we issued and sold $1,750,000,000 principal amount of our 1.25% 2026 Notes in a private offering to qualified institutional buyers pursuant to Rule 144A under the Securities Act. Pursuant to the purchase agreement between us and the initial purchasers of the Convertible Notes, we granted the initial purchasers an option, for settlement within a period of 13 days from, and including, December 14, 2021 to purchase up to an additional $262,500,000 principal amount of our 2026 Notes. On December 20, 2021, we issued and sold an additional $262,500,000 principal amount of 2026 Notes pursuant to this option.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and Underwritten Public Offering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8, 2022, we entered into an equity distribution agreement (the “Equity Distribution Agreement”) with BofA Securities, Inc., Barclays Capital Inc. and Citigroup Global Markets Inc., under which we could offer and sell shares of our common stock having an aggregate offering price up to $600.0 million (the “At-the-Market Offering”). During the year ended December 31, 2022, we issued 56,203,334 shares at a weighted average price per share of $10.68, and received net proceeds of $594.3 million after deducting commissions and other issuance costs of $5.7 million. No shares remain available for sale under the Equity Distribution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2023, we entered into an underwriting agreement (the “Underwriting Agreement”) with BofA Securities, Inc. (the “Underwriter”), under which the Underwriter agreed to purchase 173,544,948 shares of our common stock at a price per share of $6.83, for aggregate net proceeds of $1.2 billion. In June 2023, we issued the shares to the Underwriter pursuant to the Underwriting Agreement and received aggregate net proceeds of $1.2 billion after deducting issuance costs of $1.1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issued under the Equity Distribution Agreement and Underwriting Agreement were sold pursuant to a shelf registration statement registered under the Securities Act on a registration statement on Form S-3 (File No. 333-267147) and became effective on September 2, 2022, and prospectus supplements filed with the Securities and Exchange Commission on November 8, 2022 and June 2, 2023. We intend to use the net proceeds from the offering for general corporate purposes, which may include capital expenditures and working capital.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Subscription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8, 2022, we entered into a subscription agreement (the “2022 Subscription Agreement”) with Ayar Third Investment Company, the controlling stockholder of the Company (“Ayar”), pursuant to which Ayar agreed to purchase from us, up to $915.0 million of shares of our common stock in one or more private placements through March 31, 2023. During the year ended December 31, 2022, we issued 85,712,679 shares to Ayar pursuant to the 2022 Subscription Agreement at a weighted average price per share of $10.68, and received aggregate proceeds of $915.0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we entered into a subscription agreement (the “2023 Subscription Agreement”) with Ayar, pursuant to which Ayar agreed to purchase from the Company 265,693,703 shares of our common stock at a price per share of $6.83 in a private placement for aggregate net proceeds of $1.8 billion. In June 2023, we issued the shares to Ayar pursuant to the 2023 Subscription Agreement and received aggregate net proceeds of $1.8 billion after deducting issuance costs of $2.0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acquired by Ayar under the 2022 Subscription Agreement and the 2023 Subscription Agreement is subject to the Investor Rights Agreement, dated February 22, 2021 (as amended from time-to-time, the “Investor Rights Agreement”), which governs the registration for resale of such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shares issued under the 2022 Subscription Agreement and the 2023 Subscription Agreement were sold in reliance on the exemption from registration provided in Section 4(a)(2) of the Securities Act. We intend to use the net proceeds from the private placements for general corporate purposes, which may include capital expenditures and working capital.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“filed” for purposes of Section 18 of the Securities Exchange Act of 1934, as amended (the“Exchange Act”), or incorporated by reference into any of our other filings under the Securities Act of 1933, as amended (the “Securities Act”), or the Exchange Act, except as shall be expressly set forth by specific reference in such filing.</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following graph shows a comparison, from September 18, 2020 through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of the cumulative total return on our common stock, The NASDAQ Composite Index and the 20 largest public companies sharing the same SIC code as us, which is SIC code 3711, “Motor Vehicles and Passenger Car Bodies” (Motor Vehicles and Passenger Car Bodies Public Company Group). Such returns are based on historical results and are not intended to suggest future performance. Data for The NASDAQ Composite Index and the Motor Vehicles and Passenger Car Bodies Public Company Group assumes an investment of $100 on September 18, 2020 and reinvestment of dividends. We have never declared or paid cash dividends on our common stock nor do we anticipate paying any such cash dividends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7315200" cy="3981450"/>
            <wp:effectExtent l="0" t="0" r="0" b="0"/>
            <wp:docPr id="7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 descr=""/>
                    <pic:cNvPicPr>
                      <a:picLocks noChangeAspect="1" noChangeArrowheads="1"/>
                    </pic:cNvPicPr>
                  </pic:nvPicPr>
                  <pic:blipFill>
                    <a:blip r:embed="rId2"/>
                    <a:stretch>
                      <a:fillRect/>
                    </a:stretch>
                  </pic:blipFill>
                  <pic:spPr bwMode="auto">
                    <a:xfrm>
                      <a:off x="0" y="0"/>
                      <a:ext cx="7315200" cy="39814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Financial Condition and Results of Operations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that Lucid management believes is relevant to an assessment and understanding of Lucid’s consolidated results of operations and financial condition as of December 31, 2023 and for the fiscal year ended December 31, 2023. The discussion should be read together with our consolidated financial statements and related notes that are included elsewhere in this Annual Report on Form 10-K (this “Annual Report”). For discussion related to our financial condition as of December 31, 2022, results of operations for the fiscal year ended December 31, 2022 and year to year comparison between the years ended December 31, 2022 and 2021, refer to the Annual Report on Form 10-K for the fiscal year ended December 31, 2022 filed on February 28, 2023 with the U.S. Securities and Exchange Commission (the “SEC”). This discussion may contain forward-looking statements based upon Lucid’s current expectations, estimates and projections that involve risks and uncertainties. Our actual results could differ materially from those anticipated in these forward-looking statements as a result of various factors, including those set forth under “Risk Factors” in Part I, Item 1A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technology company with a mission to inspire the adoption of sustainable energy by creating advanced technologies and the most captivating luxury electric vehicles, centered around the human experience. Our focus on in-house hardware and software innovation, vertical integration, and a “clean sheet” approach to engineering and design led to the development of the award-winning Lucid Air.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 </w:t>
      </w:r>
    </w:p>
    <w:p>
      <w:pPr>
        <w:pStyle w:val="TextBody"/>
        <w:bidi w:val="0"/>
        <w:spacing w:before="240" w:after="283"/>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began delivering the Lucid Air to customers in October 2021 and we expect to launch additional vehicles over the coming decade. We have leveraged and expanded the technological advancements from the Lucid Air to the Lucid Gravity, a luxury sport utility vehicle (“SUV”), which is scheduled for start of production in late 2024. After the Lucid Air and the Lucid Gravity, start of production of our Midsize platform is scheduled for late 2026.</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Implementation Agreement with Aston Martin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we entered into an agreement (the “Implementation Agreement”) with Aston Martin Lagonda Global Holdings plc (together with its subsidiaries, “Aston Martin”), a related party of PIF, which is an affiliate of Ayar, under which we and Aston Martin have established a long-term strategic technology and supply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 In connection with the commencement of the Strategic Technology Arrangement, we received technology access fees in 28,352,273 ordinary shares of Aston Martin (subject to a lock-up provision of 365 days from its issuance) and the first cash installment of $33 million. These shares were initially measured at a fair value of $73.2 million and subsequently remeasured to fair value of $81.5 million as of December 31, 2023. We will receive the remaining cash payments of $99 million phased over a period of three years. In connection with the Strategic Technology Arrangement, we will also receive an aggregate of $10 million for integration service fees phased over a period of three years, of which we received $1.6 million during the year ended December 31, 2023. Aston Martin has also committed to an effective minimum spend with us on powertrain components of $225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Lucid LLC entered into an EV purchase agreement with the Government of Saudi Arabia, a related party of PIF, which is an affiliate of Ayar, as represented by the Ministry of Finance (the “EV Purchase Agreement”), which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Lucid LLC fails to deliver within six months from the date of the applicable purchase order. The Purchaser also has absolute discretion to decide whether to exercise the option to purchase the additional 50,000 vehicles.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Potential Impact of an Economic Downturn on our Business</w:t>
      </w:r>
    </w:p>
    <w:p>
      <w:pPr>
        <w:pStyle w:val="TextBody"/>
        <w:bidi w:val="0"/>
        <w:spacing w:lineRule="auto" w:line="288" w:before="240" w:after="283"/>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COVID-19 or other public health crises, interest rate increases or other policy actions by major central banks, </w:t>
      </w:r>
      <w:r>
        <w:rPr>
          <w:rFonts w:ascii="Times New Roman;sans-serif" w:hAnsi="Times New Roman;sans-serif"/>
          <w:b w:val="false"/>
          <w:color w:val="231F20"/>
          <w:sz w:val="20"/>
        </w:rPr>
        <w:t xml:space="preserve">government closures of banks and liquidity concerns at other financial institutions, </w:t>
      </w:r>
      <w:r>
        <w:rPr>
          <w:rFonts w:ascii="Times New Roman;sans-serif" w:hAnsi="Times New Roman;sans-serif"/>
          <w:b w:val="false"/>
          <w:color w:val="000000"/>
          <w:sz w:val="20"/>
        </w:rPr>
        <w:t xml:space="preserve">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reservations and orders in response to higher interest rates,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In addition, the deterioration of conditions in global credit markets may limit our ability to obtain external financing to fund our operations and capital expenditures on terms favorable to us, if at all. See “Risk Factors” in Item 1A of Part I of this Annual Report for more information regarding risks associated with a global economic recession, including under the caption </w:t>
      </w:r>
      <w:r>
        <w:rPr>
          <w:color w:val="000000"/>
        </w:rPr>
        <w:t>“</w:t>
      </w:r>
      <w:r>
        <w:rPr>
          <w:rFonts w:ascii="Times New Roman;sans-serif" w:hAnsi="Times New Roman;sans-serif"/>
          <w:b w:val="false"/>
          <w:i/>
          <w:color w:val="000000"/>
          <w:sz w:val="20"/>
        </w:rPr>
        <w:t xml:space="preserve">A global economic recession, government closures of banks and liquidity concerns at other financial institutions, or other downturn may have a material adverse impact on our business, prospects, results of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Key Factors Affecting Our Performance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and financial performance depend on a number of factors that present significant opportunities for our business, but also pose risks and challenges, including those discussed below and in the section entitled “Risk Factors” in Item 1A of Part I of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Design and Technology Leadership</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positioned to be a leader in the electric vehicle market by unlocking the potential for advanced, high-performance, and long-range electric vehicles to co-exist. The Lucid Air is designed with race-proven battery and powertrain technologies and robust performance together with a sleek exterior design and expansive interior space given our miniaturized key drivetrain components. We anticipated continued consumer demand for the Lucid Air based on its luxurious design, high-performance technology and sustainability leadership, and the growing acceptance of and demand for electric vehicles as a substitute for gasoline-fueled vehicles. We continue to receive significant interest in the Lucid Air from potential customers.</w:t>
      </w:r>
    </w:p>
    <w:p>
      <w:pPr>
        <w:pStyle w:val="TextBody"/>
        <w:bidi w:val="0"/>
        <w:spacing w:lineRule="auto" w:line="288" w:before="240" w:after="283"/>
        <w:jc w:val="left"/>
        <w:rPr/>
      </w:pPr>
      <w:r>
        <w:rPr>
          <w:rFonts w:ascii="Times New Roman;sans-serif" w:hAnsi="Times New Roman;sans-serif"/>
          <w:b/>
          <w:i/>
          <w:color w:val="000000"/>
          <w:sz w:val="20"/>
        </w:rPr>
        <w:t>Direct-to-Consumer Model</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 direct-to-consumer sales and service model, which we believe allows us to offer a personalized experience for our customers based on their purchase and ownership preferences. We expect to continue to incur significant expenses in our sales, service and marketing operations for sale of the Lucid Air, including to open studios, hire a sales force, invest in marketing and brand awareness, and establish a robust service center operation. As of December 31, 2023, we have opened forty-five studios and service centers (excluding temporary and satellite service centers): thirty-three in the United States (ten in California, four in each of Florida and New York, two in each of Arizona, Illinois, Massachusetts, Texas, Virginia and Washington, and one in each of Colorado, Michigan and New Jersey), five in Canada, two in Germany, one in Netherlands, one in Norway, one in Switzerland, and two in Saudi Arabia. We also expect to hire additional sales, customer service, and service center personnel. We believe that investing in our direct-to-consumer sales and service model will be critical to deliver and service the Lucid electric vehicles we manufacture and sell. </w:t>
      </w:r>
    </w:p>
    <w:p>
      <w:pPr>
        <w:pStyle w:val="TextBody"/>
        <w:bidi w:val="0"/>
        <w:spacing w:lineRule="auto" w:line="288" w:before="240" w:after="283"/>
        <w:jc w:val="left"/>
        <w:rPr/>
      </w:pPr>
      <w:r>
        <w:rPr>
          <w:rFonts w:ascii="Times New Roman;sans-serif" w:hAnsi="Times New Roman;sans-serif"/>
          <w:b/>
          <w:i/>
          <w:color w:val="000000"/>
          <w:sz w:val="20"/>
        </w:rPr>
        <w:t>Establishing Manufacturing Capacity</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expansion of AMP-1 and construction of the completely-built-up (“CBU”) portion of AMP-2.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Technology Innovation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the Lucid Gravity, and future generations of our electric vehicles and other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and Saudi Arabia economies have experienced increased inflation,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and AMP-2 facilities, any further increases in material and infrastructure equipment prices and cost of construction labor could lead to higher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Revenue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for the periods presented (in thousands):</w:t>
      </w:r>
    </w:p>
    <w:tbl>
      <w:tblPr>
        <w:tblW w:w="5741" w:type="dxa"/>
        <w:jc w:val="left"/>
        <w:tblInd w:w="0" w:type="dxa"/>
        <w:tblLayout w:type="fixed"/>
        <w:tblCellMar>
          <w:top w:w="28" w:type="dxa"/>
          <w:left w:w="28" w:type="dxa"/>
          <w:bottom w:w="28" w:type="dxa"/>
          <w:right w:w="28" w:type="dxa"/>
        </w:tblCellMar>
      </w:tblPr>
      <w:tblGrid>
        <w:gridCol w:w="266"/>
        <w:gridCol w:w="234"/>
        <w:gridCol w:w="236"/>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192"/>
        <w:gridCol w:w="192"/>
        <w:gridCol w:w="53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vehicle sales when the customer obtains control of the vehicle, which is upon delivery. We also generate revenue from non-warranty after-sales vehicle services and parts, powertrain kits, retail merchandise, and regulatory 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decreased by $12.9 million, or 2% for the year ended December 31, 2023, as compared to the year ended December 31, 2022. The decrease was primarily driven by change in product mix, pricing and incentives offered, partially offset by increases in deliveries of the Lucid Air vehicles during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cost of revenue for the periods presented (in thousands):</w:t>
      </w:r>
    </w:p>
    <w:tbl>
      <w:tblPr>
        <w:tblW w:w="6535" w:type="dxa"/>
        <w:jc w:val="left"/>
        <w:tblInd w:w="0" w:type="dxa"/>
        <w:tblLayout w:type="fixed"/>
        <w:tblCellMar>
          <w:top w:w="28" w:type="dxa"/>
          <w:left w:w="28" w:type="dxa"/>
          <w:bottom w:w="28" w:type="dxa"/>
          <w:right w:w="28" w:type="dxa"/>
        </w:tblCellMar>
      </w:tblPr>
      <w:tblGrid>
        <w:gridCol w:w="451"/>
        <w:gridCol w:w="396"/>
        <w:gridCol w:w="398"/>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2"/>
        <w:gridCol w:w="192"/>
        <w:gridCol w:w="532"/>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increased by $290.0 million, or 18% for the year ended December 31, 2023, as compared to the year ended December 31, 2022, primarily due to the increases in the manufacture and sale of the Lucid Air vehicles in 2023 and inventory and firm purchase commitments write-downs. We incurred significant personnel and overhead costs to operate our large-scale manufacturing facilities while ramping up production. In the near term, we expect our production volume of vehicles to continue to be significantly less than our manufacturing capacity.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write-downs of $926.9 million and $569.5 million in the years ended December 31, 2023 and 2022, respectively, to reduce our inventories to their net realizable values, for any excess or obsolete inventories, and losses from firm purchase commitments. We expect inventory write-downs could negatively affect our costs of vehicle sales in upcoming periods in the near term as we ramp production volumes up toward our manufacturing capacity.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(the “IRA”) was enacted with clean energy incentives. For the year ended December 31, 2023, the impact of the IRA on our results of operations was not material. We will continue to evaluate the expected future impact of the IRA on our business and financial statements as additional regulatory guidance is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expenses for the periods presented (in thousands):</w:t>
      </w:r>
    </w:p>
    <w:tbl>
      <w:tblPr>
        <w:tblW w:w="7839" w:type="dxa"/>
        <w:jc w:val="left"/>
        <w:tblInd w:w="0" w:type="dxa"/>
        <w:tblLayout w:type="fixed"/>
        <w:tblCellMar>
          <w:top w:w="28" w:type="dxa"/>
          <w:left w:w="28" w:type="dxa"/>
          <w:bottom w:w="28" w:type="dxa"/>
          <w:right w:w="28" w:type="dxa"/>
        </w:tblCellMar>
      </w:tblPr>
      <w:tblGrid>
        <w:gridCol w:w="923"/>
        <w:gridCol w:w="812"/>
        <w:gridCol w:w="814"/>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2"/>
        <w:gridCol w:w="192"/>
        <w:gridCol w:w="532"/>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pPr>
      <w:r>
        <w:rPr>
          <w:rFonts w:ascii="Times New Roman;sans-serif" w:hAnsi="Times New Roman;sans-serif"/>
          <w:b w:val="false"/>
          <w:i/>
          <w:color w:val="000000"/>
          <w:sz w:val="16"/>
        </w:rPr>
        <w:t xml:space="preserve">*nm </w:t>
      </w:r>
      <w:r>
        <w:rPr>
          <w:rFonts w:ascii="Times New Roman;sans-serif" w:hAnsi="Times New Roman;sans-serif"/>
          <w:b w:val="false"/>
          <w:color w:val="000000"/>
          <w:sz w:val="16"/>
        </w:rPr>
        <w:t>- not meaningful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Research and Development</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have primarily focused on the development of our battery and powertrain technology, the Lucid Air, the Lucid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$115.5 million, or 14% for the year ended December 31, 2023, as compared to the year ended December 31, 2022. The increase was primarily attributable to an increase of $89.4 million for prototype material, engineering, design and testing services and higher personnel-related expenses of $46.1 million ($59.9 million increase due to our growth in headcount, partially offset by $13.8 million lower stock-based compensation expense), partially offset by a decrease of $23.4 million from lower utilization of contractors and professional fees.</w:t>
      </w:r>
    </w:p>
    <w:p>
      <w:pPr>
        <w:pStyle w:val="TextBody"/>
        <w:bidi w:val="0"/>
        <w:spacing w:lineRule="auto" w:line="288" w:before="240" w:after="283"/>
        <w:jc w:val="left"/>
        <w:rPr/>
      </w:pPr>
      <w:r>
        <w:rPr>
          <w:rFonts w:ascii="Times New Roman;sans-serif" w:hAnsi="Times New Roman;sans-serif"/>
          <w:b w:val="false"/>
          <w:i/>
          <w:color w:val="000000"/>
          <w:sz w:val="20"/>
        </w:rPr>
        <w:t>Selling, General, and Administrative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incurring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$62.7 million, or 9% for the year ended December 31, 2023, as compared to the year ended December 31, 2022. The increase was primarily attributable to increases in allocated facilities costs of $61.2 million, sales and marketing expenses of $22.7 million and other general corporate expenses of $17.5 million, partially offset by lower personnel-related expenses of $37.3 million ($112.8 million lower stock-based compensation expense mainly driven by the vesting of the four tranches of CEO performance-based awards during the year ended December 31, 2022, partially offset by $75.5 million increase due to our growth in headcount).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28, 2023, we announced a restructuring plan (the “Restructuring Plan”) intended to reduce operating expenses in response to evolving business needs and productivity improvement through a reduction in workforce. We substantially completed the Restructuring Plan in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charges of $24.5 million for the year ended December 31, 2023 was primarily related to severance payments, employee benefits, employee transition and stock-based compensation, net of a reversal of previously recognized stock-based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other income (expense), net for the periods presented (in thousands):</w:t>
      </w:r>
    </w:p>
    <w:p>
      <w:pPr>
        <w:pStyle w:val="TextBody"/>
        <w:bidi w:val="0"/>
        <w:spacing w:before="0" w:after="0"/>
        <w:jc w:val="left"/>
        <w:rPr/>
      </w:pPr>
      <w:r>
        <w:rPr/>
      </w:r>
    </w:p>
    <w:tbl>
      <w:tblPr>
        <w:tblW w:w="9451" w:type="dxa"/>
        <w:jc w:val="left"/>
        <w:tblInd w:w="0" w:type="dxa"/>
        <w:tblLayout w:type="fixed"/>
        <w:tblCellMar>
          <w:top w:w="28" w:type="dxa"/>
          <w:left w:w="28" w:type="dxa"/>
          <w:bottom w:w="28" w:type="dxa"/>
          <w:right w:w="28" w:type="dxa"/>
        </w:tblCellMar>
      </w:tblPr>
      <w:tblGrid>
        <w:gridCol w:w="1441"/>
        <w:gridCol w:w="1264"/>
        <w:gridCol w:w="1270"/>
        <w:gridCol w:w="196"/>
        <w:gridCol w:w="736"/>
        <w:gridCol w:w="109"/>
        <w:gridCol w:w="109"/>
        <w:gridCol w:w="109"/>
        <w:gridCol w:w="109"/>
        <w:gridCol w:w="196"/>
        <w:gridCol w:w="871"/>
        <w:gridCol w:w="109"/>
        <w:gridCol w:w="109"/>
        <w:gridCol w:w="109"/>
        <w:gridCol w:w="109"/>
        <w:gridCol w:w="196"/>
        <w:gridCol w:w="946"/>
        <w:gridCol w:w="109"/>
        <w:gridCol w:w="109"/>
        <w:gridCol w:w="109"/>
        <w:gridCol w:w="109"/>
        <w:gridCol w:w="246"/>
        <w:gridCol w:w="249"/>
        <w:gridCol w:w="532"/>
      </w:tblGrid>
      <w:tr>
        <w:trPr/>
        <w:tc>
          <w:tcPr>
            <w:tcW w:w="14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pPr>
      <w:r>
        <w:rPr>
          <w:rFonts w:ascii="Times New Roman;sans-serif" w:hAnsi="Times New Roman;sans-serif"/>
          <w:b w:val="false"/>
          <w:i/>
          <w:color w:val="000000"/>
          <w:sz w:val="16"/>
        </w:rPr>
        <w:t xml:space="preserve">*nm </w:t>
      </w:r>
      <w:r>
        <w:rPr>
          <w:rFonts w:ascii="Times New Roman;sans-serif" w:hAnsi="Times New Roman;sans-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 in Fair Value of Common Stock Warrant Liability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common stock warrant liability relates to the privately placed common stock warrants (the “Private Placement Warrants”) to purchase shares of Lucid Group common stock that were effectively issued upon the Closing in connection with the reverse recapitalization treatment of the Merger. Our common stock warrant liability is subject to remeasurement to fair value at each balance sheet date. Changes in the fair value of our common stock warrant liability were recognized in the consolidated statements of operations and comprehensive loss.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remained unexercised as of December 31, 2023. The liability was remeasured to fair value, resulting in gains of $86.9 million and $1,254.2 million for the years ended December 31, 2023 and 2022, respectively, and was classified within change in fair value of common stock warrant liability in the consolidated statements of operations and comprehensive loss. See Note 10 “Common Stock Warrant Liability” to our consolidated financial statements included elsewhere in this Annual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Equity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commencement of the Strategic Technology Arrangement with Aston Martin, the Company received 28,352,273 ordinary shares of Aston Martin (subject to a lock-up provision of 365 days from its issuance). The ordinary shares of Aston Martin are subject to remeasurement to fair value at each balance sheet date. Such shares were initially measured at a fair value of $73.2 million and subsequently remeasured to fair value of $81.5 million as of December 31, 2023. The change in fair value resulted in an unrealized gain of $6.0 million for the year ended December 31, 2023, and was classified within change in fair value of equity securities in the consolidated statements of operations and comprehensive loss. See Note 6 “Fair Value Measurements and Financial Instruments” and Note 20 “Related Party Transactions” to our consolidated financial statements included elsewhere in this Annual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$147.5 million for the year ended December 31, 2023, as compared to the year ended December 31, 2022, primarily due to higher book yield from our investments in available-for-sale securities under the investment program which started in June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consists of contractual interest and amortization of debt discounts and debt issuance costs incurred related to the 2026 Notes issued in December 2021, commitment fees and amortization of deferred issuance costs from the five-year senior secured asset-based revolving credit facility (“ABL Credit Facility”), interest from GIB credit facility and on our finance leases, and capitalized interest on construction in progress related to significant capital asset construction.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$5.7 million for the year ended December 31, 2023, as compared to the year ended December 31, 2022, primarily due to an increase of $9.7 million in interest capitalized on construction in progress related to significant capital asset construction, partially offset by increases of $3.6 million in interest expense from the GIB credit facility, and commitment fees and amortization of deferred issuance costs from the ABL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primarily consists of foreign currency gains and losses and dividend income from our investments.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decreased by $9.6 million for the year ended December 31, 2023, as compared to the year ended December 31, 2022, primarily due to dividend income earned from our investments in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Provision for Income Taxes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provision for income taxes for the periods presented (in thousands):</w:t>
      </w:r>
    </w:p>
    <w:tbl>
      <w:tblPr>
        <w:tblW w:w="6419" w:type="dxa"/>
        <w:jc w:val="left"/>
        <w:tblInd w:w="0" w:type="dxa"/>
        <w:tblLayout w:type="fixed"/>
        <w:tblCellMar>
          <w:top w:w="28" w:type="dxa"/>
          <w:left w:w="28" w:type="dxa"/>
          <w:bottom w:w="28" w:type="dxa"/>
          <w:right w:w="28" w:type="dxa"/>
        </w:tblCellMar>
      </w:tblPr>
      <w:tblGrid>
        <w:gridCol w:w="734"/>
        <w:gridCol w:w="644"/>
        <w:gridCol w:w="647"/>
        <w:gridCol w:w="204"/>
        <w:gridCol w:w="579"/>
        <w:gridCol w:w="113"/>
        <w:gridCol w:w="113"/>
        <w:gridCol w:w="113"/>
        <w:gridCol w:w="113"/>
        <w:gridCol w:w="204"/>
        <w:gridCol w:w="439"/>
        <w:gridCol w:w="113"/>
        <w:gridCol w:w="109"/>
        <w:gridCol w:w="109"/>
        <w:gridCol w:w="109"/>
        <w:gridCol w:w="214"/>
        <w:gridCol w:w="461"/>
        <w:gridCol w:w="121"/>
        <w:gridCol w:w="109"/>
        <w:gridCol w:w="109"/>
        <w:gridCol w:w="109"/>
        <w:gridCol w:w="210"/>
        <w:gridCol w:w="211"/>
        <w:gridCol w:w="532"/>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Lucid had $4.32 billion of cash, cash equivalents and investments. Since inception, our sources of cash are predominantly from proceeds received upon the completion of the Merger, the issuance of convertible debt and proceeds from equity offerings.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construction of AMP-1 phase 2 in Casa Grande, Arizona, (iv) construction of AMP-2 CBU portion in Saudi Arabia, (v) expansion of retail studios and service centers, and (vi) other initiatives related to the sale of vehicles and/ or technology.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our cumulative spending on capital expenditures to be approximately $1.5 billion for the fiscal year 2024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Our future capital expenditures may vary and will depend on many factors including the timing and extent of spending and other growth initiatives. In addition, we expect our operating expenses to increase in order to grow and support the operations of a global automotive company targeting volumes in line with Lucid’s aspirations.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total minimum lease payments are $495.1 million, of which $65.2 million is due in fiscal year 2024. We also have non-cancellable long-term commitments of $4.9 billion, primarily relating to certain inventory component purchases. For details regarding these obligations, refer to Note 15 “Leases” and Note 16 “Commitments and Contingencies” to the consolidated financial statements included elsewhere in this Annual Report for more information.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2026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December 31, 2023 and 2022, we were in compliance with applicable covenants under the indenture governing the 2026 Notes.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Manufacturing Expansion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we announced that we had selected King Abdullah Economic City (“KAEC”) in Saudi Arabia as the location of our first international manufacturing plant and signed related agreements with the Ministry of Investment of Saudi Arabia, the Saudi Industrial Development Fund, and the Economic City at KAEC. The operations at the new plant initially consist of re-assembly of the Lucid Air vehicle “kits” pre-manufactured in the U.S. and, over time, production of complete vehicles.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Saudi Industrial Development Fund (“SIDF”) Loan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Lucid, LLC, a limited liability company established in Saudi Arabia and a subsidiary of the Company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SIDF Loans will not bear interest. Instead, Lucid LLC will be required to pay SIDF service fees, consisting of follow-up and technical evaluation fees, ranging, in aggregate, from SAR 415 million (approximately $110.7 million) to SAR 1.77 billion (approximately $472.0 million), over the term of the SIDF Loans. SIDF Loans will be secured by security interests in the equipment, machines and assets funded thereby.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December 31, 2023 and 2022, no amount was outstanding under the SIDF Loan Agreement.</w:t>
      </w:r>
    </w:p>
    <w:p>
      <w:pPr>
        <w:pStyle w:val="TextBody"/>
        <w:bidi w:val="0"/>
        <w:spacing w:lineRule="auto" w:line="288" w:before="240" w:after="283"/>
        <w:jc w:val="left"/>
        <w:rPr/>
      </w:pPr>
      <w:r>
        <w:rPr>
          <w:rFonts w:ascii="Times New Roman;sans-serif" w:hAnsi="Times New Roman;sans-serif"/>
          <w:b w:val="false"/>
          <w:i/>
          <w:color w:val="000000"/>
          <w:sz w:val="20"/>
        </w:rPr>
        <w:t>Ministry of Investment of Saudi Arabia</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MISA”)</w:t>
      </w:r>
      <w:r>
        <w:rPr>
          <w:color w:val="000000"/>
          <w:shd w:fill="FFFFFF" w:val="clear"/>
        </w:rPr>
        <w:t xml:space="preserve"> </w:t>
      </w:r>
      <w:r>
        <w:rPr>
          <w:rFonts w:ascii="Times New Roman;sans-serif" w:hAnsi="Times New Roman;sans-serif"/>
          <w:b w:val="false"/>
          <w:i/>
          <w:color w:val="000000"/>
          <w:sz w:val="20"/>
          <w:shd w:fill="FFFFFF" w:val="clear"/>
        </w:rPr>
        <w:t xml:space="preserve">Agreements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During the year ended December 31, 2022, we received support of SAR 366 million (approximately $97.3 million) in cash, of which $64.0 million was recorded as deferred liability within other long-term liabilities and $33.3 million was recorded as a deduction in calculating the carrying amount of the related assets in the consolidated balance sheet as of December 31, 2022. Subsequently, we recorded $64.0 million as a deduction in calculating the carrying amount of the related assets in the consolidated balance sheet as of December 31, 2023. There were no unfulfilled conditions and contingencies attached to the payments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242424"/>
          <w:sz w:val="20"/>
          <w:shd w:fill="FFFFFF" w:val="clear"/>
        </w:rPr>
      </w:pPr>
      <w:r>
        <w:rPr>
          <w:rFonts w:ascii="Times New Roman;sans-serif" w:hAnsi="Times New Roman;sans-serif"/>
          <w:b w:val="false"/>
          <w:i/>
          <w:color w:val="242424"/>
          <w:sz w:val="20"/>
          <w:shd w:fill="FFFFFF" w:val="clear"/>
        </w:rPr>
        <w:t>Gulf International Bank (“GIB”)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Lucid LLC entered into a revolving credit facility agreement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bridge financing (the “Bridge Facility”) of Lucid LLC’s capital expenditures in connection with AMP-2. The remaining SAR 350 million (approximately $93.1 million) might be used for general corporate purposes (the “Working Capital Facility”).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an amendment of the GIB Facility Agreement (together with the GIB Facility Agreement, the “Amended GIB Facility Agreement”) to combine the Bridge Facility and the Working Capital Facility into a committed SAR 1 billion (approximately $266.7 million) revolving credit facility (the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pStyle w:val="TextBody"/>
        <w:bidi w:val="0"/>
        <w:spacing w:lineRule="auto" w:line="288" w:before="240" w:after="283"/>
        <w:jc w:val="left"/>
        <w:rPr/>
      </w:pPr>
      <w:r>
        <w:rPr>
          <w:rFonts w:ascii="Times New Roman;sans-serif" w:hAnsi="Times New Roman;sans-serif"/>
          <w:b w:val="false"/>
          <w:color w:val="000000"/>
          <w:sz w:val="20"/>
        </w:rPr>
        <w:t>As of December 31, 2023, we had outstanding borrowings of SAR 272 million (approximately</w:t>
      </w:r>
      <w:r>
        <w:rPr>
          <w:color w:val="B6B6B6"/>
        </w:rPr>
        <w:t xml:space="preserve"> </w:t>
      </w:r>
      <w:r>
        <w:rPr>
          <w:rFonts w:ascii="Times New Roman;sans-serif" w:hAnsi="Times New Roman;sans-serif"/>
          <w:b w:val="false"/>
          <w:color w:val="000000"/>
          <w:sz w:val="20"/>
        </w:rPr>
        <w:t>$72.5 million) with weighted average interest rate of 7.49%. As of December 31, 2023, availability under the GIB Credit Facility was SAR 727 million (approximately $193.9 million), after giving effect to the outstanding letters of credit. As of December 31, 2022, we had outstanding borrowings of SAR 36 million (approximately $9.6 million) with interest rate of 6.40% from the Working Capital Facility. As of December 31, 2022, available borrowings were SAR 650 million (approximately $173.0 million) and SAR 314 million (approximately $83.5 million) under the Bridge Facility and Working Capital Facility, respectively. The outstanding borrowings were recorded within other current liabilities in the consolidated balance sheets. As of December 31, 2023 and 2022, we were in compliance with applicable covenants under the Amended GIB Facility Agreement.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December 31, 2023 and 2022, we were in compliance with applicable covenants under the 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we had no outstanding borrowings under the ABL Credit Facility. Outstanding letters of credit under the ABL Credit Facility were $45.4 million and $37.4 million as of December 31, 2023 and 2022, respectively. Availability under the ABL Credit Facility was $413.4 million (including $144.0 million cash and cash equivalents) and $441.4 million (including $37.3 million cash and cash equivalents) as of December 31, 2023 and 2022, respectively, after giving effect to the borrowing base and the outstanding letters of credit.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Subscription Agreements and Underwriting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we completed our at-the-market offering program (the “At-the-Market Offering”) pursuant to the equity distribution agreement for net proceeds of $594.3 million after deducting commissions and other issuance costs and also consummated a private placement of shares to Ayar (the “Subscription Agreement”) pursuant to the Subscription Agreement for $915.0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we completed the public offering pursuant to the Underwriting Agreement for aggregate net proceeds of $1.2 billion and also consummated a private placement of shares to Ayar pursuant to the 2023 Subscription Agreement for aggregate net proceeds of $1.8 billion after deducting issuance costs. See Note 12 “Stockholders’ Equity” to the consolidated financial statements included elsewhere in this Annual Report,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generated significant losses from our operations as reflected in our accumulated deficit of $10.2 billion and $7.4 billion as of December 31, 2023 and 2022, respectively. Additionally, we have generated significant negative cash flows from operations and investing activities as we continue to support the growth of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“Risk Factors” in Item 1A of Part I of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 (in thousands):</w:t>
      </w:r>
    </w:p>
    <w:tbl>
      <w:tblPr>
        <w:tblW w:w="7659" w:type="dxa"/>
        <w:jc w:val="left"/>
        <w:tblInd w:w="0" w:type="dxa"/>
        <w:tblLayout w:type="fixed"/>
        <w:tblCellMar>
          <w:top w:w="28" w:type="dxa"/>
          <w:left w:w="28" w:type="dxa"/>
          <w:bottom w:w="28" w:type="dxa"/>
          <w:right w:w="28" w:type="dxa"/>
        </w:tblCellMar>
      </w:tblPr>
      <w:tblGrid>
        <w:gridCol w:w="1731"/>
        <w:gridCol w:w="1525"/>
        <w:gridCol w:w="1529"/>
        <w:gridCol w:w="196"/>
        <w:gridCol w:w="946"/>
        <w:gridCol w:w="109"/>
        <w:gridCol w:w="109"/>
        <w:gridCol w:w="109"/>
        <w:gridCol w:w="109"/>
        <w:gridCol w:w="196"/>
        <w:gridCol w:w="946"/>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(2,226,258)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(365,813)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(4,560,700)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increased by $263.5 million to $2,489.8 million during the year ended December 31, 2023, as compared to the year ended December 31, 2022. The increase was primarily due to the increase in net loss excluding non-cash expenses and gains of $195.9 million and an overall increase in net operating assets and liabilities of $67.6 million. The change in net operating assets and liabilities was mainly attributable to advances to suppliers and timing of payments.</w:t>
      </w:r>
    </w:p>
    <w:p>
      <w:pPr>
        <w:pStyle w:val="TextBody"/>
        <w:bidi w:val="0"/>
        <w:spacing w:lineRule="auto" w:line="288" w:before="240" w:after="283"/>
        <w:jc w:val="left"/>
        <w:rPr/>
      </w:pPr>
      <w:r>
        <w:rPr>
          <w:rFonts w:ascii="Times New Roman;sans-serif" w:hAnsi="Times New Roman;sans-serif"/>
          <w:b/>
          <w:i/>
          <w:color w:val="000000"/>
          <w:sz w:val="20"/>
        </w:rPr>
        <w:t>Cash Used in Investing Activities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used in investing activities primarily relate to purchases of investments and capital expenditures to support our growth. We continue to experience negative cash flows from investing activities as we expand our business and continue to build our infrastructure.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by $2,734.7 million to $947.0 million during the year ended December 31, 2023, as compared to the year ended December 31, 2022. The decrease was primarily attributable to an increase in proceeds from maturities and sales of investments of $2,719.6 million, partially offset by an increase in purchases of investments of $144.2 million during the year ended December 31, 2023 compared to the same period in the prior year.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Financing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our operations primarily from the issuances of equity securities, including the At-the-Market Offering, the private placements to Ayar, convertible preferred stock, the proceeds of the Merger, and the 2026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increased by $1,723.7 million to $3,070.9 million during the year ended December 31, 2023, as compared to the year ended December 31, 2022, primarily attributable to higher net proceeds of $1.5 billion from our equity offerings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Critical Accounting Estimates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and the related notes thereto included elsewhere in this Annual Report are prepared in accordance with generally accepted accounting principles in the United States (“U.S.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For more information about our accounting policies, see Note 2 “Summary of Significant Accounting Policies” to the consolidated financial statements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without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over-the-air (“OTA”) software updates to be provided as and when available over the term of the basic vehicle warranty, which is generally 4 years. Shipping and handling provided by Company is considered a fulfillment activity.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is typically received at or prior to the transfer of control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revenue recognition, we reduce the transaction price and record a sales return reserve against revenue for estimated variable consideration related to future product returns. Such return rate estimates are based on historical experience.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residual value guarantee (“RVG”) to our commercial banking partner in connection with its vehicle leasing program. Under the vehicle leasing program, we generally receive full payment for the vehicle sales price at the time of delivery or shortly after delivery, do not bear casualty and credit risks during the lease term, and are contractually obligated (or entitled) to share a portion of the shortfall (or excess) between the resale value realized by the commercial banking partner and a predetermined resale value. At the lease inception, we are required to deposit cash collateral equal to a contractual percentage of the residual value of the leased vehicles with the commercial banking partner. The cash collateral is held in a restricted bank account owned by the commercial banking partner until it is used, as applicable, in settlement of the RVG at the end of the lease term. Cash collateral is recorded in other noncurrent assets, subject to asset impairment review at each reporting period. </w:t>
      </w:r>
    </w:p>
    <w:p>
      <w:pPr>
        <w:pStyle w:val="TextBody"/>
        <w:bidi w:val="0"/>
        <w:spacing w:lineRule="auto" w:line="288" w:before="240" w:after="283"/>
        <w:jc w:val="left"/>
        <w:rPr/>
      </w:pPr>
      <w:r>
        <w:rPr>
          <w:rFonts w:ascii="Times New Roman;sans-serif" w:hAnsi="Times New Roman;sans-serif"/>
          <w:b w:val="false"/>
          <w:color w:val="000000"/>
          <w:sz w:val="20"/>
        </w:rPr>
        <w:t xml:space="preserve">We account for the vehicle leasing program in accordance with ASC 842,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ASC 460, </w:t>
      </w:r>
      <w:r>
        <w:rPr>
          <w:rFonts w:ascii="Times New Roman;sans-serif" w:hAnsi="Times New Roman;sans-serif"/>
          <w:b w:val="false"/>
          <w:i/>
          <w:color w:val="000000"/>
          <w:sz w:val="20"/>
        </w:rPr>
        <w:t>Guarantees</w:t>
      </w:r>
      <w:r>
        <w:rPr>
          <w:color w:val="000000"/>
        </w:rPr>
        <w:t xml:space="preserve"> </w:t>
      </w:r>
      <w:r>
        <w:rPr>
          <w:rFonts w:ascii="Times New Roman;sans-serif" w:hAnsi="Times New Roman;sans-serif"/>
          <w:b w:val="false"/>
          <w:color w:val="000000"/>
          <w:sz w:val="20"/>
        </w:rPr>
        <w:t xml:space="preserve">and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We are the lessor at inception of a lease and immediately transfer the lease as well as the underlying vehicle to our commercial banking partner, with the transaction being accounted for as a sale under ASC 606. We recognize revenue when control transfers upon delivery when the consumer-lessee takes physical possession of the vehicle, and bifurcate the RVG at fair value and account for it as a guarantee liability. The remaining amount of the transaction price is allocated among the performance obligations, including the vehicle, the right to unspecified </w:t>
      </w:r>
      <w:r>
        <w:rPr>
          <w:rFonts w:ascii="Times New Roman;sans-serif" w:hAnsi="Times New Roman;sans-serif"/>
          <w:b w:val="false"/>
          <w:color w:val="333333"/>
          <w:sz w:val="20"/>
        </w:rPr>
        <w:t>OTA</w:t>
      </w:r>
      <w:r>
        <w:rPr>
          <w:color w:val="000000"/>
        </w:rPr>
        <w:t xml:space="preserve"> </w:t>
      </w:r>
      <w:r>
        <w:rPr>
          <w:rFonts w:ascii="Times New Roman;sans-serif" w:hAnsi="Times New Roman;sans-serif"/>
          <w:b w:val="false"/>
          <w:color w:val="000000"/>
          <w:sz w:val="20"/>
        </w:rPr>
        <w:t xml:space="preserve">software updates and remarketing activities, in proportion to the standalone selling price of our performance obligations.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As we accumulate more data related to the resale value of our vehicles or as market conditions change, there could be material changes to the estimated guarantee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Inventory Valuation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our inventory on-hand is in excess of future demand forecast and market conditions, the excess amounts are written-off.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is also reviewed to determine whether its carrying value exceeds the net amount realizable upon the ultimate sale of the inventory. This requires us to determine the selling price of our vehicles less the estimated cost to convert the inventory on-hand into a finished product. Once inventory is written-down, a new lower cost basis for that inventory is established and subsequent changes in facts and circumstances do not result in the restoration or increase in that newly established cost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there are changes in our estimates of future selling prices or production costs, we might be required to record additional and potentially material write-downs. A small change in our estimates may result in a material change in our reported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to our consolidated financial statements included elsewhere in this Annual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7A. Qualitative and Quantitative Disclosures about Market Risk.</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equity price and inflationary pressure.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for changes in interest rates applicable to our cash and cash equivalents, restricted cash, and investments. We had cash, cash equivalents, restricted cash, and investments totaling $4.32 billion as of December 31, 2023.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December 31, 2023, a hypothetical 100 basis point increase in interest rates would result in $13.4 million incremental decline in the fair market value of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Equity Price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hold equity securities of Aston Martin Lagonda Global Holdings plc (together with its subsidiaries, “Aston Martin”). The fair value of these equity securities was $81.5 million as of December 31, 2023. Changes in fair value of these equity securities are impacted by the volatility of the stock market and changes in general economic conditions, among other factors. A hypothetical 10% decrease in the stock price of these equity securities would decrease the fair value as of December 31, 2023 by $8.2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and Saudi Arabia economies have experienced increased inflation,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and AMP-2 facilities, any further increases in material and infrastructure equipment prices and cost of construction labor could lead to higher capital expenditures.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Supply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its products according to the schedule and at prices, quality levels and volumes acceptable to us, or its inability to efficiently manage these components, could have a material adverse effect on our results of operations and financial condition.</w: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of Consolidated Financial Statements for the fiscal years ended December 31, 2023, 2022 and 2021.</w:t>
      </w:r>
    </w:p>
    <w:tbl>
      <w:tblPr>
        <w:tblW w:w="10205" w:type="dxa"/>
        <w:jc w:val="left"/>
        <w:tblInd w:w="0" w:type="dxa"/>
        <w:tblLayout w:type="fixed"/>
        <w:tblCellMar>
          <w:top w:w="28" w:type="dxa"/>
          <w:left w:w="28" w:type="dxa"/>
          <w:bottom w:w="28" w:type="dxa"/>
          <w:right w:w="28" w:type="dxa"/>
        </w:tblCellMar>
      </w:tblPr>
      <w:tblGrid>
        <w:gridCol w:w="3408"/>
        <w:gridCol w:w="2941"/>
        <w:gridCol w:w="2956"/>
        <w:gridCol w:w="109"/>
        <w:gridCol w:w="109"/>
        <w:gridCol w:w="109"/>
        <w:gridCol w:w="167"/>
        <w:gridCol w:w="167"/>
        <w:gridCol w:w="239"/>
      </w:tblGrid>
      <w:tr>
        <w:trPr/>
        <w:tc>
          <w:tcPr>
            <w:tcW w:w="3408"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w:anchor="id3c788c6065d4192a7bcce53147b1070_2051">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Number 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d3c788c6065d4192a7bcce53147b1070_2051">
              <w:r>
                <w:rPr>
                  <w:rStyle w:val="InternetLink"/>
                  <w:rFonts w:ascii="Times New Roman;sans-serif" w:hAnsi="Times New Roman;sans-serif"/>
                  <w:b w:val="false"/>
                  <w:strike w:val="false"/>
                  <w:dstrike w:val="false"/>
                  <w:color w:val="000000"/>
                  <w:sz w:val="20"/>
                  <w:u w:val="none"/>
                  <w:effect w:val="none"/>
                </w:rPr>
                <w:t>88</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78">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Number 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788c6065d4192a7bcce53147b1070_178">
              <w:r>
                <w:rPr>
                  <w:rStyle w:val="InternetLink"/>
                  <w:rFonts w:ascii="Times New Roman;sans-serif" w:hAnsi="Times New Roman;sans-serif"/>
                  <w:b w:val="false"/>
                  <w:strike w:val="false"/>
                  <w:dstrike w:val="false"/>
                  <w:color w:val="000000"/>
                  <w:sz w:val="20"/>
                  <w:u w:val="none"/>
                  <w:effect w:val="none"/>
                </w:rPr>
                <w:t>90</w:t>
              </w:r>
            </w:hyperlink>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of Lucid Group, Inc. and its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81">
              <w:r>
                <w:rPr>
                  <w:rStyle w:val="InternetLink"/>
                  <w:rFonts w:ascii="Times New Roman;sans-serif" w:hAnsi="Times New Roman;sans-serif"/>
                  <w:b w:val="false"/>
                  <w:color w:val="0000FF"/>
                  <w:sz w:val="20"/>
                  <w:u w:val="single"/>
                </w:rPr>
                <w:t>Consolidated Balance Sheets as of December 31, 2023 and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788c6065d4192a7bcce53147b1070_181">
              <w:r>
                <w:rPr>
                  <w:rStyle w:val="InternetLink"/>
                  <w:rFonts w:ascii="Times New Roman;sans-serif" w:hAnsi="Times New Roman;sans-serif"/>
                  <w:b w:val="false"/>
                  <w:strike w:val="false"/>
                  <w:dstrike w:val="false"/>
                  <w:color w:val="000000"/>
                  <w:sz w:val="20"/>
                  <w:u w:val="none"/>
                  <w:effect w:val="none"/>
                </w:rPr>
                <w:t>91</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84">
              <w:r>
                <w:rPr>
                  <w:rStyle w:val="InternetLink"/>
                  <w:rFonts w:ascii="Times New Roman;sans-serif" w:hAnsi="Times New Roman;sans-serif"/>
                  <w:b w:val="false"/>
                  <w:color w:val="000080"/>
                  <w:sz w:val="20"/>
                  <w:u w:val="single"/>
                </w:rPr>
                <w:t>Consolidated Statements of Operations and Comprehensive Loss for the years ended December 31, 202</w:t>
              </w:r>
            </w:hyperlink>
            <w:hyperlink w:anchor="id3c788c6065d4192a7bcce53147b1070_184">
              <w:r>
                <w:rPr>
                  <w:rStyle w:val="InternetLink"/>
                  <w:rFonts w:ascii="Times New Roman;sans-serif" w:hAnsi="Times New Roman;sans-serif"/>
                  <w:b w:val="false"/>
                  <w:color w:val="000080"/>
                  <w:sz w:val="20"/>
                  <w:u w:val="single"/>
                </w:rPr>
                <w:t>3</w:t>
              </w:r>
            </w:hyperlink>
            <w:hyperlink w:anchor="id3c788c6065d4192a7bcce53147b1070_184">
              <w:r>
                <w:rPr>
                  <w:rStyle w:val="InternetLink"/>
                  <w:rFonts w:ascii="Times New Roman;sans-serif" w:hAnsi="Times New Roman;sans-serif"/>
                  <w:b w:val="false"/>
                  <w:color w:val="000080"/>
                  <w:sz w:val="20"/>
                  <w:u w:val="single"/>
                </w:rPr>
                <w:t>, 202</w:t>
              </w:r>
            </w:hyperlink>
            <w:hyperlink w:anchor="id3c788c6065d4192a7bcce53147b1070_184">
              <w:r>
                <w:rPr>
                  <w:rStyle w:val="InternetLink"/>
                  <w:rFonts w:ascii="Times New Roman;sans-serif" w:hAnsi="Times New Roman;sans-serif"/>
                  <w:b w:val="false"/>
                  <w:color w:val="000080"/>
                  <w:sz w:val="20"/>
                  <w:u w:val="single"/>
                </w:rPr>
                <w:t>2</w:t>
              </w:r>
            </w:hyperlink>
            <w:hyperlink w:anchor="id3c788c6065d4192a7bcce53147b1070_184">
              <w:r>
                <w:rPr>
                  <w:rStyle w:val="InternetLink"/>
                  <w:rFonts w:ascii="Times New Roman;sans-serif" w:hAnsi="Times New Roman;sans-serif"/>
                  <w:b w:val="false"/>
                  <w:color w:val="000080"/>
                  <w:sz w:val="20"/>
                  <w:u w:val="single"/>
                </w:rPr>
                <w:t xml:space="preserve"> and 202</w:t>
              </w:r>
            </w:hyperlink>
            <w:hyperlink w:anchor="id3c788c6065d4192a7bcce53147b1070_184">
              <w:r>
                <w:rPr>
                  <w:rStyle w:val="InternetLink"/>
                  <w:rFonts w:ascii="Times New Roman;sans-serif" w:hAnsi="Times New Roman;sans-serif"/>
                  <w:b w:val="false"/>
                  <w:color w:val="000080"/>
                  <w:sz w:val="20"/>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788c6065d4192a7bcce53147b1070_184">
              <w:r>
                <w:rPr>
                  <w:rStyle w:val="InternetLink"/>
                  <w:rFonts w:ascii="Times New Roman;sans-serif" w:hAnsi="Times New Roman;sans-serif"/>
                  <w:b w:val="false"/>
                  <w:strike w:val="false"/>
                  <w:dstrike w:val="false"/>
                  <w:color w:val="000000"/>
                  <w:sz w:val="20"/>
                  <w:u w:val="none"/>
                  <w:effect w:val="none"/>
                </w:rPr>
                <w:t>92</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87">
              <w:r>
                <w:rPr>
                  <w:rStyle w:val="InternetLink"/>
                  <w:rFonts w:ascii="Times New Roman;sans-serif" w:hAnsi="Times New Roman;sans-serif"/>
                  <w:b w:val="false"/>
                  <w:color w:val="000080"/>
                  <w:sz w:val="20"/>
                  <w:u w:val="single"/>
                </w:rPr>
                <w:t>Consolidated Statements of Convertible Preferred Stock and Stockholders' Equity (Deficit) for the years ended December 31, 202</w:t>
              </w:r>
            </w:hyperlink>
            <w:hyperlink w:anchor="id3c788c6065d4192a7bcce53147b1070_187">
              <w:r>
                <w:rPr>
                  <w:rStyle w:val="InternetLink"/>
                  <w:rFonts w:ascii="Times New Roman;sans-serif" w:hAnsi="Times New Roman;sans-serif"/>
                  <w:b w:val="false"/>
                  <w:color w:val="000080"/>
                  <w:sz w:val="20"/>
                  <w:u w:val="single"/>
                </w:rPr>
                <w:t>3</w:t>
              </w:r>
            </w:hyperlink>
            <w:hyperlink w:anchor="id3c788c6065d4192a7bcce53147b1070_187">
              <w:r>
                <w:rPr>
                  <w:rStyle w:val="InternetLink"/>
                  <w:rFonts w:ascii="Times New Roman;sans-serif" w:hAnsi="Times New Roman;sans-serif"/>
                  <w:b w:val="false"/>
                  <w:color w:val="000080"/>
                  <w:sz w:val="20"/>
                  <w:u w:val="single"/>
                </w:rPr>
                <w:t>, 202</w:t>
              </w:r>
            </w:hyperlink>
            <w:hyperlink w:anchor="id3c788c6065d4192a7bcce53147b1070_187">
              <w:r>
                <w:rPr>
                  <w:rStyle w:val="InternetLink"/>
                  <w:rFonts w:ascii="Times New Roman;sans-serif" w:hAnsi="Times New Roman;sans-serif"/>
                  <w:b w:val="false"/>
                  <w:color w:val="000080"/>
                  <w:sz w:val="20"/>
                  <w:u w:val="single"/>
                </w:rPr>
                <w:t>2</w:t>
              </w:r>
            </w:hyperlink>
            <w:hyperlink w:anchor="id3c788c6065d4192a7bcce53147b1070_187">
              <w:r>
                <w:rPr>
                  <w:rStyle w:val="InternetLink"/>
                  <w:rFonts w:ascii="Times New Roman;sans-serif" w:hAnsi="Times New Roman;sans-serif"/>
                  <w:b w:val="false"/>
                  <w:color w:val="000080"/>
                  <w:sz w:val="20"/>
                  <w:u w:val="single"/>
                </w:rPr>
                <w:t xml:space="preserve"> and 202</w:t>
              </w:r>
            </w:hyperlink>
            <w:hyperlink w:anchor="id3c788c6065d4192a7bcce53147b1070_187">
              <w:r>
                <w:rPr>
                  <w:rStyle w:val="InternetLink"/>
                  <w:rFonts w:ascii="Times New Roman;sans-serif" w:hAnsi="Times New Roman;sans-serif"/>
                  <w:b w:val="false"/>
                  <w:color w:val="000080"/>
                  <w:sz w:val="20"/>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788c6065d4192a7bcce53147b1070_187">
              <w:r>
                <w:rPr>
                  <w:rStyle w:val="InternetLink"/>
                  <w:rFonts w:ascii="Times New Roman;sans-serif" w:hAnsi="Times New Roman;sans-serif"/>
                  <w:b w:val="false"/>
                  <w:strike w:val="false"/>
                  <w:dstrike w:val="false"/>
                  <w:color w:val="000000"/>
                  <w:sz w:val="20"/>
                  <w:u w:val="none"/>
                  <w:effect w:val="none"/>
                </w:rPr>
                <w:t>93</w:t>
              </w:r>
            </w:hyperlink>
          </w:p>
        </w:tc>
      </w:tr>
      <w:tr>
        <w:trPr/>
        <w:tc>
          <w:tcPr>
            <w:tcW w:w="93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190">
              <w:r>
                <w:rPr>
                  <w:rStyle w:val="InternetLink"/>
                  <w:rFonts w:ascii="Times New Roman;sans-serif" w:hAnsi="Times New Roman;sans-serif"/>
                  <w:b w:val="false"/>
                  <w:color w:val="000080"/>
                  <w:sz w:val="20"/>
                  <w:u w:val="single"/>
                </w:rPr>
                <w:t>Consolidated Statements of Cash Flows for the years ended December 31, 202</w:t>
              </w:r>
            </w:hyperlink>
            <w:hyperlink w:anchor="id3c788c6065d4192a7bcce53147b1070_190">
              <w:r>
                <w:rPr>
                  <w:rStyle w:val="InternetLink"/>
                  <w:rFonts w:ascii="Times New Roman;sans-serif" w:hAnsi="Times New Roman;sans-serif"/>
                  <w:b w:val="false"/>
                  <w:color w:val="000080"/>
                  <w:sz w:val="20"/>
                  <w:u w:val="single"/>
                </w:rPr>
                <w:t>3</w:t>
              </w:r>
            </w:hyperlink>
            <w:hyperlink w:anchor="id3c788c6065d4192a7bcce53147b1070_190">
              <w:r>
                <w:rPr>
                  <w:rStyle w:val="InternetLink"/>
                  <w:rFonts w:ascii="Times New Roman;sans-serif" w:hAnsi="Times New Roman;sans-serif"/>
                  <w:b w:val="false"/>
                  <w:color w:val="000080"/>
                  <w:sz w:val="20"/>
                  <w:u w:val="single"/>
                </w:rPr>
                <w:t>, 20</w:t>
              </w:r>
            </w:hyperlink>
            <w:hyperlink w:anchor="id3c788c6065d4192a7bcce53147b1070_190">
              <w:r>
                <w:rPr>
                  <w:rStyle w:val="InternetLink"/>
                  <w:rFonts w:ascii="Times New Roman;sans-serif" w:hAnsi="Times New Roman;sans-serif"/>
                  <w:b w:val="false"/>
                  <w:color w:val="000080"/>
                  <w:sz w:val="20"/>
                  <w:u w:val="single"/>
                </w:rPr>
                <w:t>22</w:t>
              </w:r>
            </w:hyperlink>
            <w:hyperlink w:anchor="id3c788c6065d4192a7bcce53147b1070_190">
              <w:r>
                <w:rPr>
                  <w:rStyle w:val="InternetLink"/>
                  <w:rFonts w:ascii="Times New Roman;sans-serif" w:hAnsi="Times New Roman;sans-serif"/>
                  <w:b w:val="false"/>
                  <w:color w:val="000080"/>
                  <w:sz w:val="20"/>
                  <w:u w:val="single"/>
                </w:rPr>
                <w:t xml:space="preserve"> and 202</w:t>
              </w:r>
            </w:hyperlink>
            <w:hyperlink w:anchor="id3c788c6065d4192a7bcce53147b1070_190">
              <w:r>
                <w:rPr>
                  <w:rStyle w:val="InternetLink"/>
                  <w:rFonts w:ascii="Times New Roman;sans-serif" w:hAnsi="Times New Roman;sans-serif"/>
                  <w:b w:val="false"/>
                  <w:color w:val="000080"/>
                  <w:sz w:val="20"/>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788c6065d4192a7bcce53147b1070_190">
              <w:r>
                <w:rPr>
                  <w:rStyle w:val="InternetLink"/>
                  <w:rFonts w:ascii="Times New Roman;sans-serif" w:hAnsi="Times New Roman;sans-serif"/>
                  <w:b w:val="false"/>
                  <w:strike w:val="false"/>
                  <w:dstrike w:val="false"/>
                  <w:color w:val="000000"/>
                  <w:sz w:val="20"/>
                  <w:u w:val="none"/>
                  <w:effect w:val="none"/>
                </w:rPr>
                <w:t>94</w:t>
              </w:r>
            </w:hyperlink>
          </w:p>
        </w:tc>
      </w:tr>
      <w:tr>
        <w:trPr/>
        <w:tc>
          <w:tcPr>
            <w:tcW w:w="9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3c788c6065d4192a7bcce53147b1070_310">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c788c6065d4192a7bcce53147b1070_193">
              <w:r>
                <w:rPr>
                  <w:rStyle w:val="InternetLink"/>
                  <w:rFonts w:ascii="Times New Roman;sans-serif" w:hAnsi="Times New Roman;sans-serif"/>
                  <w:b w:val="false"/>
                  <w:strike w:val="false"/>
                  <w:dstrike w:val="false"/>
                  <w:color w:val="000000"/>
                  <w:sz w:val="20"/>
                  <w:u w:val="none"/>
                  <w:effect w:val="none"/>
                </w:rPr>
                <w:t>96</w:t>
              </w:r>
            </w:hyperlink>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To the Board of Directors and Stockholders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Lucid Group, Inc.:</w:t>
      </w:r>
    </w:p>
    <w:p>
      <w:pPr>
        <w:pStyle w:val="TextBody"/>
        <w:bidi w:val="0"/>
        <w:spacing w:lineRule="auto" w:line="288" w:before="24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Opinions on the Consolidated Financial Statements and Internal Control Over Financial Reporting</w:t>
      </w:r>
    </w:p>
    <w:p>
      <w:pPr>
        <w:pStyle w:val="TextBody"/>
        <w:bidi w:val="0"/>
        <w:spacing w:lineRule="auto" w:line="288" w:before="240" w:after="283"/>
        <w:jc w:val="left"/>
        <w:rPr/>
      </w:pPr>
      <w:r>
        <w:rPr>
          <w:rFonts w:ascii="Times New Roman;sans-serif" w:hAnsi="Times New Roman;sans-serif"/>
          <w:b w:val="false"/>
          <w:color w:val="000000"/>
          <w:sz w:val="19"/>
        </w:rPr>
        <w:t xml:space="preserve">We have audited the accompanying consolidated balance sheet of Lucid Group, Inc. and subsidiaries (the Company) as of December 31, 2023, the related consolidated statements of operations and comprehensive loss, convertible preferred stock and stockholders’ equity (deficit), and cash flows for the year then ended, and the related notes (collectively, the consolidated financial statements). We also have audited the Company’s internal control over financial reporting as of December 31, 2023, based on criteria established in </w:t>
      </w:r>
      <w:r>
        <w:rPr>
          <w:rFonts w:ascii="Times New Roman;sans-serif" w:hAnsi="Times New Roman;sans-serif"/>
          <w:b w:val="false"/>
          <w:i/>
          <w:color w:val="000000"/>
          <w:sz w:val="19"/>
        </w:rPr>
        <w:t>Internal Control – Integrated Framework (2013)</w:t>
      </w:r>
      <w:r>
        <w:rPr>
          <w:color w:val="000000"/>
        </w:rPr>
        <w:t xml:space="preserve"> </w:t>
      </w:r>
      <w:r>
        <w:rPr>
          <w:rFonts w:ascii="Times New Roman;sans-serif" w:hAnsi="Times New Roman;sans-serif"/>
          <w:b w:val="false"/>
          <w:color w:val="000000"/>
          <w:sz w:val="19"/>
        </w:rPr>
        <w:t>issued by the Committee of Sponsoring Organizations of the Treadway Commission.</w:t>
      </w:r>
    </w:p>
    <w:p>
      <w:pPr>
        <w:pStyle w:val="TextBody"/>
        <w:bidi w:val="0"/>
        <w:spacing w:lineRule="auto" w:line="288" w:before="240" w:after="283"/>
        <w:jc w:val="left"/>
        <w:rPr/>
      </w:pPr>
      <w:r>
        <w:rPr>
          <w:rFonts w:ascii="Times New Roman;sans-serif" w:hAnsi="Times New Roman;sans-serif"/>
          <w:b w:val="false"/>
          <w:color w:val="000000"/>
          <w:sz w:val="19"/>
        </w:rPr>
        <w:t xml:space="preserve">In our opinion, the consolidated financial statements referred to above present fairly, in all material respects, the financial position of the Company as of December 31, 2023, and the results of its operations and its cash flows for the year then ended,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19"/>
        </w:rPr>
        <w:t>Internal Control – Integrated Framework (2013)</w:t>
      </w:r>
      <w:r>
        <w:rPr>
          <w:color w:val="000000"/>
        </w:rPr>
        <w:t xml:space="preserve"> </w:t>
      </w:r>
      <w:r>
        <w:rPr>
          <w:rFonts w:ascii="Times New Roman;sans-serif" w:hAnsi="Times New Roman;sans-serif"/>
          <w:b w:val="false"/>
          <w:color w:val="000000"/>
          <w:sz w:val="19"/>
        </w:rPr>
        <w:t>issued by the Committee of Sponsoring Organizations of the Treadway Commission.</w:t>
      </w:r>
    </w:p>
    <w:p>
      <w:pPr>
        <w:pStyle w:val="TextBody"/>
        <w:bidi w:val="0"/>
        <w:spacing w:lineRule="auto" w:line="288" w:before="24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Basis for Opinions</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24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Definition and Limitations of Internal Control Over Financial Reporting</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Critical Audit Matter</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Evaluation of net realizable value of certain inventories</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 discussed in Notes 2 and 5 to the consolidated financial statements, the Company has inventories with a carrying value of $696.2 million as of December 31, 2023. The Company adjusts the carrying value of inventory when the cost of inventory exceeds the estimated net realizable value. The Company records inventory write-downs for excess or obsolete inventories based upon assumptions about current and future demand forecasts. Additionally, the Company reviews inventory to determine whether the carrying value exceeds the net amount realizable upon the ultimate sale of the inventory, requiring the Company to determine the estimated selling price of vehicles and the estimated cost to convert the inventory on-hand into a finished product.</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identified the evaluation of the Company’s determination of net realizable value of certain inventories as a critical audit matter. Subjective auditor judgment and significant audit effort were required to assess key inputs within the Company’s determination of net realizable value of certain inventories. Specifically, the key inputs within the calculation include the estimated selling prices and the estimated cost to convert the inventory on-hand into a finished product. </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following are the primary procedures we performed to address this critical audit matter. We evaluated the design and tested the operating effectiveness of certain internal controls over the Company’s inventory process, including controls related to the estimated selling prices and the estimated cost to convert the inventory on-hand into a finished product. We evaluated estimated selling prices by comparing them to internal sales documentation, actual sales, peer company data, and relevant market information. We evaluated the Company’s ability to accurately forecast the estimated cost to convert inventory on-hand by comparing historical production projections to actual results. We assessed the estimated cost to convert the inventory on-hand by comparing it to future sales projections. For certain inventories, we also evaluated the estimated cost to convert inventory on-hand by comparing the historical estimated cost to convert to actual results. </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 KPMG LLP</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have served as the Company’s auditor since 2023.</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Santa Clara, California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Board of Directors and Stockholders</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Lucid Group, Inc.</w:t>
      </w:r>
    </w:p>
    <w:p>
      <w:pPr>
        <w:pStyle w:val="TextBody"/>
        <w:bidi w:val="0"/>
        <w:spacing w:lineRule="auto" w:line="288" w:before="240" w:after="283"/>
        <w:jc w:val="left"/>
        <w:rPr>
          <w:rFonts w:ascii="Times New Roman;sans-serif" w:hAnsi="Times New Roman;sans-serif"/>
          <w:b/>
          <w:color w:val="000000"/>
          <w:sz w:val="19"/>
        </w:rPr>
      </w:pPr>
      <w:r>
        <w:rPr>
          <w:rFonts w:ascii="Times New Roman;sans-serif" w:hAnsi="Times New Roman;sans-serif"/>
          <w:b/>
          <w:color w:val="000000"/>
          <w:sz w:val="19"/>
        </w:rPr>
        <w:t xml:space="preserve">Opinion on the financial statements </w:t>
      </w:r>
    </w:p>
    <w:p>
      <w:pPr>
        <w:pStyle w:val="TextBody"/>
        <w:bidi w:val="0"/>
        <w:spacing w:lineRule="auto" w:line="288" w:before="0" w:after="0"/>
        <w:jc w:val="left"/>
        <w:rPr/>
      </w:pPr>
      <w:r>
        <w:rPr>
          <w:rFonts w:ascii="Times New Roman;sans-serif" w:hAnsi="Times New Roman;sans-serif"/>
          <w:b w:val="false"/>
          <w:color w:val="000000"/>
          <w:sz w:val="19"/>
        </w:rPr>
        <w:t>We have audited the accompanying consolidated balance sheet of Lucid Group, Inc. (a Delaware corporation) and subsidiaries (the “Company”) as of December 31, 2022, the related consolidated</w:t>
      </w:r>
      <w:r>
        <w:rPr>
          <w:color w:val="0000FF"/>
        </w:rPr>
        <w:t xml:space="preserve"> </w:t>
      </w:r>
      <w:r>
        <w:rPr>
          <w:rFonts w:ascii="Times New Roman;sans-serif" w:hAnsi="Times New Roman;sans-serif"/>
          <w:b w:val="false"/>
          <w:color w:val="000000"/>
          <w:sz w:val="19"/>
        </w:rPr>
        <w:t>statements of operations and comprehensive loss, convertible preferred stock and stockholders’ equity (deficit), and cash flows for each of the two years in the period ended December 31, 2022, and the related notes (collectively referred to as the “financial statements”). In our opinion, the financial statements present fairly, in all material respects, the financial position of the Company</w:t>
      </w:r>
      <w:r>
        <w:rPr>
          <w:color w:val="0000FF"/>
        </w:rPr>
        <w:t xml:space="preserve"> </w:t>
      </w:r>
      <w:r>
        <w:rPr>
          <w:rFonts w:ascii="Times New Roman;sans-serif" w:hAnsi="Times New Roman;sans-serif"/>
          <w:b w:val="false"/>
          <w:color w:val="000000"/>
          <w:sz w:val="19"/>
        </w:rPr>
        <w:t>as of December 31, 2022, and the results of its</w:t>
      </w:r>
      <w:r>
        <w:rPr>
          <w:color w:val="0000FF"/>
        </w:rPr>
        <w:t xml:space="preserve"> </w:t>
      </w:r>
      <w:r>
        <w:rPr>
          <w:rFonts w:ascii="Times New Roman;sans-serif" w:hAnsi="Times New Roman;sans-serif"/>
          <w:b w:val="false"/>
          <w:color w:val="000000"/>
          <w:sz w:val="19"/>
        </w:rPr>
        <w:t>operations and its</w:t>
      </w:r>
      <w:r>
        <w:rPr>
          <w:color w:val="0000FF"/>
        </w:rPr>
        <w:t xml:space="preserve"> </w:t>
      </w:r>
      <w:r>
        <w:rPr>
          <w:rFonts w:ascii="Times New Roman;sans-serif" w:hAnsi="Times New Roman;sans-serif"/>
          <w:b w:val="false"/>
          <w:color w:val="000000"/>
          <w:sz w:val="19"/>
        </w:rPr>
        <w:t>cash flows for each of the two years in the period ended December 31, 2022, in conformity with accounting principles generally accepted in the United States of America.</w:t>
      </w:r>
    </w:p>
    <w:p>
      <w:pPr>
        <w:pStyle w:val="TextBody"/>
        <w:bidi w:val="0"/>
        <w:spacing w:lineRule="auto" w:line="288" w:before="240" w:after="283"/>
        <w:jc w:val="both"/>
        <w:rPr>
          <w:rFonts w:ascii="Times New Roman;sans-serif" w:hAnsi="Times New Roman;sans-serif"/>
          <w:b/>
          <w:color w:val="000000"/>
          <w:sz w:val="19"/>
        </w:rPr>
      </w:pPr>
      <w:r>
        <w:rPr>
          <w:rFonts w:ascii="Times New Roman;sans-serif" w:hAnsi="Times New Roman;sans-serif"/>
          <w:b/>
          <w:color w:val="000000"/>
          <w:sz w:val="19"/>
        </w:rPr>
        <w:t xml:space="preserve">Basis for opinion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24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 GRANT THORNTON LLP</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served as the Company’s auditor from 2020 to 2022. </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 Francisco, California</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February 28, 2023</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00"/>
        <w:gridCol w:w="2009"/>
        <w:gridCol w:w="1974"/>
        <w:gridCol w:w="109"/>
        <w:gridCol w:w="109"/>
        <w:gridCol w:w="109"/>
        <w:gridCol w:w="211"/>
        <w:gridCol w:w="991"/>
        <w:gridCol w:w="109"/>
        <w:gridCol w:w="109"/>
        <w:gridCol w:w="109"/>
        <w:gridCol w:w="109"/>
        <w:gridCol w:w="211"/>
        <w:gridCol w:w="991"/>
        <w:gridCol w:w="155"/>
      </w:tblGrid>
      <w:tr>
        <w:trPr/>
        <w:tc>
          <w:tcPr>
            <w:tcW w:w="2900"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4,912,028 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2,166,776 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8,512,718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7,879,238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1,991,840 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3,529,537 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15,000,000,000 shares authorized as of December 31, 2023 and 2022; 2,300,111,489 and 1,830,172,561 shares issued and 2,299,253,664 and 1,829,314,736 shares outstanding as of December 31, 2023 and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857,825 shares at December 31, 2023 and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(7,370,332)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4,349,701 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8,512,718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7,879,238</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986"/>
        <w:gridCol w:w="1631"/>
        <w:gridCol w:w="1642"/>
        <w:gridCol w:w="234"/>
        <w:gridCol w:w="1102"/>
        <w:gridCol w:w="109"/>
        <w:gridCol w:w="109"/>
        <w:gridCol w:w="109"/>
        <w:gridCol w:w="109"/>
        <w:gridCol w:w="234"/>
        <w:gridCol w:w="1102"/>
        <w:gridCol w:w="109"/>
        <w:gridCol w:w="109"/>
        <w:gridCol w:w="109"/>
        <w:gridCol w:w="109"/>
        <w:gridCol w:w="211"/>
        <w:gridCol w:w="1036"/>
        <w:gridCol w:w="155"/>
      </w:tblGrid>
      <w:tr>
        <w:trPr/>
        <w:tc>
          <w:tcPr>
            <w:tcW w:w="198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and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1,557,557 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(1,530,446)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forward contracts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convertible preferred stock warrant liability</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equity securities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expensed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(1,049,266)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(2,827,394)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(2,579,712)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(2,579,761)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 related to the issuance of Series E convertible preferred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(2,167,332)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(4,747,093)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dilutive warrants</w:t>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diluted</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(4,747,093)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attributable to common stockholders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2,081,772,622 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1,678,346,079 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740,393,759 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2,081,772,622 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1,693,258,608 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740,393,759 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on investments, net of tax</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(2,579,761)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 related to the issuance of Series E convertible preferred stock</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(2,167,332)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common stockholders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(2,811,998)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(4,747,093)</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CONVERTIBLE PREFERRED STOCK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STOCKHOLDERS’ EQUITY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4977" w:type="dxa"/>
        <w:jc w:val="center"/>
        <w:tblInd w:w="0" w:type="dxa"/>
        <w:tblLayout w:type="fixed"/>
        <w:tblCellMar>
          <w:top w:w="28" w:type="dxa"/>
          <w:left w:w="28" w:type="dxa"/>
          <w:bottom w:w="28" w:type="dxa"/>
          <w:right w:w="28" w:type="dxa"/>
        </w:tblCellMar>
      </w:tblPr>
      <w:tblGrid>
        <w:gridCol w:w="746"/>
        <w:gridCol w:w="234"/>
        <w:gridCol w:w="236"/>
        <w:gridCol w:w="109"/>
        <w:gridCol w:w="109"/>
        <w:gridCol w:w="109"/>
        <w:gridCol w:w="600"/>
        <w:gridCol w:w="601"/>
        <w:gridCol w:w="186"/>
        <w:gridCol w:w="109"/>
        <w:gridCol w:w="109"/>
        <w:gridCol w:w="109"/>
        <w:gridCol w:w="196"/>
        <w:gridCol w:w="886"/>
        <w:gridCol w:w="109"/>
        <w:gridCol w:w="109"/>
        <w:gridCol w:w="109"/>
        <w:gridCol w:w="109"/>
        <w:gridCol w:w="109"/>
        <w:gridCol w:w="109"/>
        <w:gridCol w:w="109"/>
        <w:gridCol w:w="600"/>
        <w:gridCol w:w="601"/>
        <w:gridCol w:w="186"/>
        <w:gridCol w:w="109"/>
        <w:gridCol w:w="109"/>
        <w:gridCol w:w="109"/>
        <w:gridCol w:w="196"/>
        <w:gridCol w:w="436"/>
        <w:gridCol w:w="109"/>
        <w:gridCol w:w="109"/>
        <w:gridCol w:w="109"/>
        <w:gridCol w:w="109"/>
        <w:gridCol w:w="196"/>
        <w:gridCol w:w="976"/>
        <w:gridCol w:w="109"/>
        <w:gridCol w:w="109"/>
        <w:gridCol w:w="109"/>
        <w:gridCol w:w="109"/>
        <w:gridCol w:w="196"/>
        <w:gridCol w:w="661"/>
        <w:gridCol w:w="109"/>
        <w:gridCol w:w="109"/>
        <w:gridCol w:w="109"/>
        <w:gridCol w:w="109"/>
        <w:gridCol w:w="228"/>
        <w:gridCol w:w="665"/>
        <w:gridCol w:w="128"/>
        <w:gridCol w:w="109"/>
        <w:gridCol w:w="109"/>
        <w:gridCol w:w="109"/>
        <w:gridCol w:w="196"/>
        <w:gridCol w:w="976"/>
        <w:gridCol w:w="109"/>
        <w:gridCol w:w="109"/>
        <w:gridCol w:w="109"/>
        <w:gridCol w:w="109"/>
        <w:gridCol w:w="196"/>
        <w:gridCol w:w="886"/>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Convertible </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Accumulated</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Other</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Comprehensive</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 (Deficit)</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Shares</w:t>
            </w:r>
            <w:r>
              <w:rPr>
                <w:rFonts w:ascii="Times New Roman;sans-serif" w:hAnsi="Times New Roman;sans-serif"/>
                <w:b/>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Shares</w:t>
            </w:r>
            <w:r>
              <w:rPr>
                <w:rFonts w:ascii="Times New Roman;sans-serif" w:hAnsi="Times New Roman;sans-serif"/>
                <w:b/>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January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957,159,704</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2,494,076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28,791,702</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38,113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(1,356,893)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(1,318,777)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Series B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(3,525,365)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D convertible preferred stock upon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1,546,799 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200,728,229 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related to Series 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preferred stock into common stock in connection with the reverse 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(1,155,909,367)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(5,836,785)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1,155,909,367 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5,836,785 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and common stock warrants upon the reverse recapitalization,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425,395,023 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3,590,956 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for net settlement of employee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(857,825)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601,176 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26,640,121 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Redemption of 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11,076,026 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1,647,555,590</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9,995,778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(6,065,872)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3,909,355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for net settlement of employee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(218,789)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employee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15,217,096 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2,106,158 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22,519,879 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At-the-Market Offering,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56,203,334 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2022 Subscription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85,712,679 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1,829,314,736</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11,752,138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(11,572)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(7,370,332)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4,349,701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(2,828,420)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(2,828,420)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for net settlement of employee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employee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16,947,760 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4,748,875 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9,003,642 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Underwriting Agreement,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173,544,948 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2023 Subscription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265,693,703 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2,299,253,664</w:t>
            </w: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15,066,080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4,850</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(10,198,752)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4,851,692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lineRule="auto" w:line="288" w:before="0" w:after="0"/>
        <w:jc w:val="left"/>
        <w:rPr>
          <w:rFonts w:ascii="Times New Roman;sans-serif" w:hAnsi="Times New Roman;sans-serif"/>
          <w:b/>
          <w:color w:val="000000"/>
          <w:sz w:val="10"/>
        </w:rPr>
      </w:pPr>
      <w:r>
        <w:rPr>
          <w:rFonts w:ascii="Times New Roman;sans-serif" w:hAnsi="Times New Roman;sans-serif"/>
          <w:b/>
          <w:color w:val="000000"/>
          <w:sz w:val="10"/>
        </w:rPr>
        <w:t>______________________________________________________________</w:t>
      </w:r>
    </w:p>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number of shares of convertible preferred stock and common stock issued and outstanding prior to the Merger have been retroactively adjusted by the Exchange Ratio (as defined in Note 4 “Reverse Recapitalization”) to give effect to the reverse recapitalization treatment of the Merger. See Note 1 “Description of Business” and Note 4 “Reverse Capitalization”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9672" w:type="dxa"/>
        <w:jc w:val="center"/>
        <w:tblInd w:w="0" w:type="dxa"/>
        <w:tblLayout w:type="fixed"/>
        <w:tblCellMar>
          <w:top w:w="28" w:type="dxa"/>
          <w:left w:w="28" w:type="dxa"/>
          <w:bottom w:w="28" w:type="dxa"/>
          <w:right w:w="28" w:type="dxa"/>
        </w:tblCellMar>
      </w:tblPr>
      <w:tblGrid>
        <w:gridCol w:w="1891"/>
        <w:gridCol w:w="1658"/>
        <w:gridCol w:w="1671"/>
        <w:gridCol w:w="196"/>
        <w:gridCol w:w="946"/>
        <w:gridCol w:w="109"/>
        <w:gridCol w:w="109"/>
        <w:gridCol w:w="109"/>
        <w:gridCol w:w="109"/>
        <w:gridCol w:w="196"/>
        <w:gridCol w:w="946"/>
        <w:gridCol w:w="109"/>
        <w:gridCol w:w="109"/>
        <w:gridCol w:w="109"/>
        <w:gridCol w:w="109"/>
        <w:gridCol w:w="196"/>
        <w:gridCol w:w="946"/>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(2,828,420)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insurance premium</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and firm purchase commitments write-downs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forward contract liability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preferred stock warrant liability</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accretion of investment discounts/premiums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securities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(1,058,133)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government grant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(3,854,129)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investments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investments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(946,975)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(3,681,677)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(420,693)</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57885"/>
                <wp:effectExtent l="0" t="0" r="0" b="0"/>
                <wp:wrapNone/>
                <wp:docPr id="96" name="Frame95"/>
                <a:graphic xmlns:a="http://schemas.openxmlformats.org/drawingml/2006/main">
                  <a:graphicData uri="http://schemas.microsoft.com/office/word/2010/wordprocessingShape">
                    <wps:wsp>
                      <wps:cNvSpPr txBox="1"/>
                      <wps:spPr>
                        <a:xfrm>
                          <a:off x="0" y="0"/>
                          <a:ext cx="6480175" cy="857885"/>
                        </a:xfrm>
                        <a:prstGeom prst="rect"/>
                        <a:solidFill>
                          <a:srgbClr val="FFFFFF"/>
                        </a:solidFill>
                      </wps:spPr>
                      <wps:txbx>
                        <w:txbxContent>
                          <w:p>
                            <w:pPr>
                              <w:pStyle w:val="TextBody"/>
                              <w:bidi w:val="0"/>
                              <w:spacing w:lineRule="auto" w:line="333"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20"/>
        <w:gridCol w:w="1875"/>
        <w:gridCol w:w="1882"/>
        <w:gridCol w:w="196"/>
        <w:gridCol w:w="871"/>
        <w:gridCol w:w="109"/>
        <w:gridCol w:w="109"/>
        <w:gridCol w:w="109"/>
        <w:gridCol w:w="109"/>
        <w:gridCol w:w="196"/>
        <w:gridCol w:w="871"/>
        <w:gridCol w:w="109"/>
        <w:gridCol w:w="109"/>
        <w:gridCol w:w="109"/>
        <w:gridCol w:w="109"/>
        <w:gridCol w:w="196"/>
        <w:gridCol w:w="871"/>
        <w:gridCol w:w="155"/>
      </w:tblGrid>
      <w:tr>
        <w:trPr/>
        <w:tc>
          <w:tcPr>
            <w:tcW w:w="222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 from issuance of convertible notes, net of issuance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2,002,437 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transaction costs for the issuance of convertible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Underwriting Agreement,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2023 Subscription Agreement, net of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At-the-Market Offering,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2022 Subscription Agreement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short-term insurance financing note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short-term insurance financing note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finance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for 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failed sale-leaseback transaction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Series B convertible preferred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Series D convertible preferred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Series E convertible preferred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exercise of public warrants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reverse capitalization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4,439,153 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transaction costs related to the reverse recapitalization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repurchase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credit facility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7,136,428 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(365,813)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(4,560,700)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5,657,602 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cash, cash equivalents, and 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6,298,020 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cash, cash equivalents, and restricted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6,298,020 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net of amounts capitalized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 included in accounts payable and other 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and right-of-use assets obtained through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 obtained through Strategic Technology Arrangement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Series D convertible preferred stock upon exercise of preferred stock warrants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Series E convertible preferred stock contingent forward contracts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2,167,332 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contribution upon forfeit of Series E awards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Series E convertible preferred stock upon settlement of contingent forward contracts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2,621,877 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conversion of preferred stock in connection with the reverse recapitalization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5,836,785 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57885"/>
                <wp:effectExtent l="0" t="0" r="0" b="0"/>
                <wp:wrapNone/>
                <wp:docPr id="97" name="Frame96"/>
                <a:graphic xmlns:a="http://schemas.openxmlformats.org/drawingml/2006/main">
                  <a:graphicData uri="http://schemas.microsoft.com/office/word/2010/wordprocessingShape">
                    <wps:wsp>
                      <wps:cNvSpPr txBox="1"/>
                      <wps:spPr>
                        <a:xfrm>
                          <a:off x="0" y="0"/>
                          <a:ext cx="6480175" cy="857885"/>
                        </a:xfrm>
                        <a:prstGeom prst="rect"/>
                        <a:solidFill>
                          <a:srgbClr val="FFFFFF"/>
                        </a:solidFill>
                      </wps:spPr>
                      <wps:txbx>
                        <w:txbxContent>
                          <w:p>
                            <w:pPr>
                              <w:pStyle w:val="TextBody"/>
                              <w:bidi w:val="0"/>
                              <w:spacing w:lineRule="auto" w:line="333"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w:t>
      </w:r>
      <w:r>
        <w:rPr>
          <w:color w:val="000000"/>
        </w:rPr>
        <w:t xml:space="preserve"> – </w:t>
      </w:r>
      <w:r>
        <w:rPr>
          <w:rFonts w:ascii="Times New Roman;sans-serif" w:hAnsi="Times New Roman;sans-serif"/>
          <w:b/>
          <w:color w:val="000000"/>
          <w:sz w:val="20"/>
        </w:rPr>
        <w:t>DESCRIPTION OF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 (“Lucid”) is a technology company focused on designing, developing, manufacturing, and selling the next generation of electric vehicles (“EV”), EV powertrains and battery systems.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 See Note 4 “Reverse Recapitalization”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the notes to the consolidated financial statements, unless otherwise noted, the “Company,” “we,” “us” or “our” and similar terms refer to Legacy Lucid and its subsidiaries prior to the consummation of the Merger, and Lucid and its subsidiaries after the consummation of the Merger.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devotes its efforts to business planning, selling and servicing of vehicles, providing technology access, research and development, construction and expansion of manufacturing facilities, expansion of retail studios and service center capacities, recruiting of management and technical staff, acquiring operating assets, and raising capital.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inception through December 31, 2023, the Company has incurred operating losses and negative cash flows from operating activities. For the years ended December 31, 2023, 2022 and 2021, the Company has incurred net losses of $2.8 billion, $1.3 billion and $2.6 billion, respectively. The Company had an accumulated deficit of $10.2 billion as of December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completed the first phase of the construction of its Advanced Manufacturing Plant-1 in Casa Grande, Arizona (“AMP-1”) in 2021, transitioned general assembly to the AMP-1 phase 2 manufacturing facility and completed the semi knocked-down (“SKD”) portion of its Advanced Manufacturing Plant-2 in Saudi Arabia (“AMP-2”) in September 2023. The Company began commercial production of its first vehicle, the Lucid Air, in September 2021 and delivered its first vehicles in late October 2021. The Company continues to expand AMP-1, construct the completely-built-up (“CBU”) portion of AMP-2, and build a network of retail sales and service locations. The Company has plans for continued development of additional vehicle model types for future release. The aforementioned activities will require considerable capital, which is above and beyond the expected cash inflows from the initial sales of the Lucid Air. As such, the future operating plan involves considerable risk if secure funding sources are not identified and confirmed.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existing sources of liquidity include cash, cash equivalents, investments, and credit facilities. Historically, the Company funded operations primarily with issuances of common stock, convertible preferred stock and convertible notes. Upon the completion of the Merger, the Company received $4,400.3 million in cash proceeds, net of transaction costs. In December 2021, the Company issued an aggregate principal amount of $2,012.5 million of 1.25% convertible senior notes due in December 2026.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entered into a loan agreement with the Saudi Industrial Development Fund (“SIDF”) with an aggregate principal amount of up to approximately $1.4 billion, a five-year senior secured asset-based revolving credit facility (“ABL Credit Facility”) with an initial aggregate principal commitment amount of up to $1.0 billion and revolving credit facilities (the “GIB Facility Agreement”) with Gulf International Bank (“GIB”) in an aggregate principal amount of approximately $266.1 million. The GIB Facility Agreement provided for two committed revolving credit facilities, of which $173.0 million was available as a bridge financing (the “Bridge Facility”) and $93.1 million was for general corporate purposes (the “Working Capital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amended the GIB Facility Agreement (together with the GIB Facility Agreement, the “Amended GIB Facility Agreement”) to combine the Bridge Facility and the Working Capital Facility into a committed $266.7 million revolving credit facility (the “GIB Credit Facility”), which will bear interest at a rate of 1.40% per annum over SAIBOR (based on the term of borrowing) and associated fees. See Note 7 “Debt”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8, 2022, the Company entered into an equity distribution agreement (the “Equity Distribution Agreement”) with BofA Securities, Inc., Barclays Capital Inc. and Citigroup Global Markets Inc., under which the Company could offer and sell shares of its common stock having an aggregate offering price up to $600.0 million (the “At-the-Market Offering”). On November 8, 2022, the Company also entered into a subscription agreement (the “2022 Subscription Agreement”) with Ayar Third Investment Company, the controlling stockholder of the Company (“Ayar”), pursuant to which Ayar agreed to purchase from the Company, up to $915.0 million of shares of its common stock in one or more private placements through March 31, 2023. In December 2022, the Company completed its At-the-Market Offering program pursuant to the Equity Distribution Agreement for net proceeds of $594.3 million after deducting commissions and other issuance costs and also consummated a private placement of shares to Ayar pursuant to the 2022 Subscription Agreement for $915.0 million. No shares remain available for sale under the Equity Distribution Agreement. See Note 12 “Stockholders’ Equity”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an underwriting agreement (the “Underwriting Agreement”) with BofA Securities, Inc. (the “Underwriter”), under which the Underwriter agreed to purchase from the Company shares of the Company’s common stock in a public offering for aggregate net proceeds to the Company of $1.2 billion. On May 31, 2023, the Company also entered into a subscription agreement (the “2023 Subscription Agreement”) with Ayar, pursuant to which Ayar agreed to purchase from the Company shares of the Company’s common stock in a private placement for aggregate net proceeds of $1.8 billion. In June 2023, the Company completed the public offering pursuant to the Underwriting Agreement for aggregate net proceeds of $1.2 billion and also consummated the private placement to Ayar pursuant to the 2023 Subscription Agreement for aggregate net proceeds of $1.8 billion. See Note 12 “Stockholders’ Equity” for more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Certain Significant Risks and Uncertainties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further construction of AMP-1 phase 2 in Casa Grande, Arizona, (iv) construction of the CBU portion of AMP-2 in Saudi Arabia, (v) expansion of its retail studios and service centers capabilities throughout North America and across the globe, and (vi) providing its technology access to third parties. The Company is subject to the risks associated with such activities, including the need to further develop its technology, its marketing, and distribution channels; further develop its supply chain and manufacturing; and hire additional management and other key employees. Successful completion of the Company’s development program and, ultimately, the attainment of profitable operations are dependent upon future events, including our ability to access potential markets, and secure long-term financing.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a dynamic high-technology industry.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regulatory, or other factors; and the Company’s ability to attract and retain employees necessary to support its business operations.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COVID-19 or other public health crises, interest rate increases or other policy actions by major central banks, government closures of banks and liquidity concerns at other financial institutions, or other factors, may have an adverse impact on the Company’s business, prospects, financial condition and results of operations. Adverse economic conditions as well as uncertainty about the current and future global economic conditions may cause the Company’s customers to defer purchases or cancel their reservations and orders in response to higher interest rates, availability of consumer credit, decreased cash availability, fluctuations in foreign currency exchange rates, and weakened consumer confidence. Reduced demand for the Company’s products may result in significant decreases in product sales, which in turn would have a material adverse impact on the Company’s business, prospects, financial condition and results of operations. Because of the Company’s premium brand positioning and pricing, an economic downturn is likely to have a heightened adverse effect on the Company compared to many of its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the Company’s suppliers, sub-suppliers or partners become insolvent or are otherwise unable to continue their operations, fulfill their obligations to the Company, or meet the Company’s future demand. In addition, the deterioration of conditions in the broad financing markets may limit the Company’s ability to obtain external financing to fund its operations and capital expenditures on terms favorable to the Company, if at all. See “Risk Factors” in Item 1A of Part I of this </w:t>
      </w:r>
      <w:r>
        <w:rPr>
          <w:rFonts w:ascii="Times New Roman;sans-serif" w:hAnsi="Times New Roman;sans-serif"/>
          <w:b w:val="false"/>
          <w:color w:val="000000"/>
          <w:sz w:val="20"/>
          <w:shd w:fill="FFFFFF" w:val="clear"/>
        </w:rPr>
        <w:t xml:space="preserve">Annual Report </w:t>
      </w:r>
      <w:r>
        <w:rPr>
          <w:rFonts w:ascii="Times New Roman;sans-serif" w:hAnsi="Times New Roman;sans-serif"/>
          <w:b w:val="false"/>
          <w:color w:val="000000"/>
          <w:sz w:val="20"/>
        </w:rPr>
        <w:t>on Form 10-K (the “Annual Report”) for more information regarding risks associated with a global economic recession, including under the caption “</w:t>
      </w:r>
      <w:r>
        <w:rPr>
          <w:rFonts w:ascii="Times New Roman;sans-serif" w:hAnsi="Times New Roman;sans-serif"/>
          <w:b w:val="false"/>
          <w:i/>
          <w:color w:val="231F20"/>
          <w:sz w:val="20"/>
        </w:rPr>
        <w:t>A global economic recession, government closures of banks and liquidity concerns at other financial institutions, or other downturn may have a material adverse impact on our business, prospects, results of operations and financial condition</w:t>
      </w:r>
      <w:r>
        <w:rPr>
          <w:rFonts w:ascii="Times New Roman;sans-serif" w:hAnsi="Times New Roman;sans-serif"/>
          <w:b w:val="false"/>
          <w:i/>
          <w:color w:val="000000"/>
          <w:sz w:val="20"/>
        </w:rPr>
        <w:t>.</w:t>
      </w:r>
      <w:r>
        <w:rPr>
          <w:color w:val="00000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current circumstances, any impact on the Company’s financial condition, results of operations or cash flows in the future continues to be difficult to estimate and predict, as it depends on future events that are highly uncertain and cannot be predicted with accuracy.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NOTE 2</w:t>
      </w:r>
      <w:r>
        <w:rPr>
          <w:color w:val="000000"/>
        </w:rPr>
        <w:t xml:space="preserve"> – </w:t>
      </w:r>
      <w:r>
        <w:rPr>
          <w:rFonts w:ascii="Times New Roman;sans-serif" w:hAnsi="Times New Roman;sans-serif"/>
          <w:b/>
          <w:color w:val="000000"/>
          <w:sz w:val="20"/>
        </w:rPr>
        <w:t>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included herein have been prepared in accordance with generally accepted accounting principles in the United States of America (“U.S. GAAP”). The consolidated financial statements include the accounts of the Company and its wholly owned subsidiaries. All significant intercompany balances and transactions have been eliminated in consolidation. Certain prior-period amounts have been reclassified in the accompanying consolidated financial statements and notes thereto in order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and one reportable segment, as the CODM reviews financial information presented on a consolidated basis for purposes of making operating decisions, allocating resources, and evaluating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useful lives of property, plant and equipment, fair value of common stock warrants, fair value of contingent forward contracts liability, estimates of residual value guarantee (“RVG”) liability, deferred revenue related to technology access fees and over-the-air (“OTA”) software updates, sales return reserves, fair value of common stock prior to the Merger and other assumptions used to measure stock-based compensation expense, and estimated incremental borrowing rates for assessing operating and finance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with an original maturity at the date of purchase of three months or less to be cash equivalents.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in other current assets and other noncurrent assets is primarily related to letters of credit issued to the landlords for certain of the Company’s leased facilities.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to amounts shown in the statements of cash flows (in thousands):</w:t>
      </w:r>
    </w:p>
    <w:tbl>
      <w:tblPr>
        <w:tblW w:w="8817" w:type="dxa"/>
        <w:jc w:val="left"/>
        <w:tblInd w:w="0" w:type="dxa"/>
        <w:tblLayout w:type="fixed"/>
        <w:tblCellMar>
          <w:top w:w="28" w:type="dxa"/>
          <w:left w:w="28" w:type="dxa"/>
          <w:bottom w:w="28" w:type="dxa"/>
          <w:right w:w="28" w:type="dxa"/>
        </w:tblCellMar>
      </w:tblPr>
      <w:tblGrid>
        <w:gridCol w:w="1532"/>
        <w:gridCol w:w="1345"/>
        <w:gridCol w:w="1353"/>
        <w:gridCol w:w="211"/>
        <w:gridCol w:w="976"/>
        <w:gridCol w:w="109"/>
        <w:gridCol w:w="109"/>
        <w:gridCol w:w="109"/>
        <w:gridCol w:w="109"/>
        <w:gridCol w:w="211"/>
        <w:gridCol w:w="976"/>
        <w:gridCol w:w="109"/>
        <w:gridCol w:w="109"/>
        <w:gridCol w:w="109"/>
        <w:gridCol w:w="109"/>
        <w:gridCol w:w="211"/>
        <w:gridCol w:w="97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6,298,020 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Investments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investments in marketable debt securities have been classified and accounted for as available-for-sale and they are stated at fair value. The Company classifies its investments as either short-term or long-term based on each instrument’s underlying contractual maturity date. Unrealized gains and losses on our investments of available-for-sale securities are recorded in accumulated other comprehensive income (loss) which is included within stockholders’ equity. Interest, as well as amortization and accretion of purchase premiums and discounts on its investments of available-for-sale securities are included in interest income. The cost of securities sold is determined using the specific identification method. Realized gains and losses on the sale of available-for-sale securities are recorded in other income (expense), net in the consolidated statements of operations and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regularly reviews its investment portfolio of </w:t>
      </w:r>
      <w:r>
        <w:rPr>
          <w:rFonts w:ascii="Times New Roman;sans-serif" w:hAnsi="Times New Roman;sans-serif"/>
          <w:b w:val="false"/>
          <w:color w:val="000000"/>
          <w:sz w:val="20"/>
        </w:rPr>
        <w:t>available-for-sale securities</w:t>
      </w:r>
      <w:r>
        <w:rPr>
          <w:color w:val="000000"/>
          <w:shd w:fill="FFFFFF" w:val="clear"/>
        </w:rPr>
        <w:t xml:space="preserve"> </w:t>
      </w:r>
      <w:r>
        <w:rPr>
          <w:rFonts w:ascii="Times New Roman;sans-serif" w:hAnsi="Times New Roman;sans-serif"/>
          <w:b w:val="false"/>
          <w:color w:val="000000"/>
          <w:sz w:val="20"/>
          <w:shd w:fill="FFFFFF" w:val="clear"/>
        </w:rPr>
        <w:t xml:space="preserve">for allowance for credit losses. Factors considered include severity of declines in fair values below amortized costs, adverse conditions related to securities, creditworthiness of the security issuers, and collectability of principal and interest payments.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equity securities with readily determinable fair value are measured and stated at fair value with unrealized gains and losses recorded in the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 of receivables from our customers and from financial institutions offering financing products to our customers for the sale of vehicles, sales of powertrain kits and services. The Company provides an allowance against accounts receivable for any potential uncollectible amounts. The Company recorded immaterial allowance for uncollectible amounts as of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of cash, cash equivalents, investments and accounts receivable. The Company places its cash primarily with domestic financial institutions that are federally insured within statutory limits, but at times its deposits may exceed federally insured limits. As of December 31, 2023, accounts receivables from the EV purchase agreement with the Government of Saudi Arabia, a related party of PIF, which is an affiliate of Ayar, as represented by the Ministry of Finance (the “EV Purchase Agreement”), represented 68.5% of the total accounts receivable balance. See Note 20 “Related Party Transactions” for more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Supply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Inventory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Cost is computed using standard cost for vehicles, which approximates actual cost on a first-in, first-out basis. The Company records inventory write-downs for excess or obsolete inventories based upon assumptions about current and future demand forecasts. If inventory on-hand is in excess of future demand forecast and market conditions, the excess amounts are written-off.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there are changes in our estimates of future selling prices or production costs, the Company may be required to record additional and potentially material write-downs. A small change in the Company’s estimates may result in a material change in its reported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Property, plant, and equipment are stated at cost, less accumulated depreciation. Depreciation is recorded using the straight-line method over the estimated useful lives of the related assets. </w:t>
      </w:r>
      <w:r>
        <w:rPr>
          <w:rFonts w:ascii="Times New Roman;sans-serif" w:hAnsi="Times New Roman;sans-serif"/>
          <w:b w:val="false"/>
          <w:color w:val="000000"/>
          <w:sz w:val="20"/>
        </w:rPr>
        <w:t xml:space="preserve">Interest expense capitalized for significant capital asset construction in progress is included within property, plant and equipment, net and is amortized over the life of the related assets. </w:t>
      </w:r>
      <w:r>
        <w:rPr>
          <w:rFonts w:ascii="Times New Roman;sans-serif" w:hAnsi="Times New Roman;sans-serif"/>
          <w:b w:val="false"/>
          <w:color w:val="000000"/>
          <w:sz w:val="20"/>
          <w:shd w:fill="FFFFFF" w:val="clear"/>
        </w:rPr>
        <w:t xml:space="preserve">The Company capitalizes qualified costs incurred during the application development stage of internal use software. Costs incurred during the preliminary project stage and post-implementation stage are expensed.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generally uses the following estimated useful lives for each asset category: </w:t>
      </w:r>
    </w:p>
    <w:tbl>
      <w:tblPr>
        <w:tblW w:w="9236" w:type="dxa"/>
        <w:jc w:val="left"/>
        <w:tblInd w:w="0" w:type="dxa"/>
        <w:tblLayout w:type="fixed"/>
        <w:tblCellMar>
          <w:top w:w="28" w:type="dxa"/>
          <w:left w:w="28" w:type="dxa"/>
          <w:bottom w:w="28" w:type="dxa"/>
          <w:right w:w="28" w:type="dxa"/>
        </w:tblCellMar>
      </w:tblPr>
      <w:tblGrid>
        <w:gridCol w:w="1054"/>
        <w:gridCol w:w="924"/>
        <w:gridCol w:w="931"/>
        <w:gridCol w:w="109"/>
        <w:gridCol w:w="109"/>
        <w:gridCol w:w="109"/>
        <w:gridCol w:w="1756"/>
        <w:gridCol w:w="1756"/>
        <w:gridCol w:w="2488"/>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Life (years)</w:t>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Machinery, tooling and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3 - 7</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the lease term or the estimated useful lives of the assets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15 - 40</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remaining lease term or the estimated useful lives of the assets</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the consolidated statement of operations and comprehensive loss. The disposition loss on fixed assets recorded for the years ended December 31, 2023, 2022 and 2021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Long-lived assets, including property, plant and equipment and </w:t>
      </w:r>
      <w:r>
        <w:rPr>
          <w:rFonts w:ascii="Times New Roman;sans-serif" w:hAnsi="Times New Roman;sans-serif"/>
          <w:b w:val="false"/>
          <w:color w:val="000000"/>
          <w:sz w:val="20"/>
        </w:rPr>
        <w:t xml:space="preserve">right-of-use (“ROU”) assets </w:t>
      </w:r>
      <w:r>
        <w:rPr>
          <w:rFonts w:ascii="Times New Roman;sans-serif" w:hAnsi="Times New Roman;sans-serif"/>
          <w:b w:val="false"/>
          <w:color w:val="000000"/>
          <w:sz w:val="20"/>
          <w:shd w:fill="FFFFFF" w:val="clear"/>
        </w:rPr>
        <w:t xml:space="preserve">are reviewed for impairment whenever events or changes in circumstances indicate that the carrying amount of an asset may not be recoverable. If circumstances require a long-lived asset or asset group be tested for potential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The Company recognized impairment loss of </w:t>
      </w:r>
      <w:r>
        <w:rPr>
          <w:rFonts w:ascii="Times New Roman;sans-serif" w:hAnsi="Times New Roman;sans-serif"/>
          <w:b w:val="false"/>
          <w:color w:val="000000"/>
          <w:sz w:val="20"/>
        </w:rPr>
        <w:t>$15.3 million</w:t>
      </w:r>
      <w:r>
        <w:rPr>
          <w:color w:val="B6B6B6"/>
        </w:rPr>
        <w:t xml:space="preserve"> </w:t>
      </w:r>
      <w:r>
        <w:rPr>
          <w:rFonts w:ascii="Times New Roman;sans-serif" w:hAnsi="Times New Roman;sans-serif"/>
          <w:b w:val="false"/>
          <w:color w:val="000000"/>
          <w:sz w:val="20"/>
          <w:shd w:fill="FFFFFF" w:val="clear"/>
        </w:rPr>
        <w:t xml:space="preserve">for the year ended </w:t>
      </w:r>
      <w:r>
        <w:rPr>
          <w:rFonts w:ascii="Times New Roman;sans-serif" w:hAnsi="Times New Roman;sans-serif"/>
          <w:b w:val="false"/>
          <w:color w:val="000000"/>
          <w:sz w:val="20"/>
        </w:rPr>
        <w:t>December 31, 2023. I</w:t>
      </w:r>
      <w:r>
        <w:rPr>
          <w:rFonts w:ascii="Times New Roman;sans-serif" w:hAnsi="Times New Roman;sans-serif"/>
          <w:b w:val="false"/>
          <w:color w:val="000000"/>
          <w:sz w:val="20"/>
          <w:shd w:fill="FFFFFF" w:val="clear"/>
        </w:rPr>
        <w:t xml:space="preserve">mpairment loss recognized for the years ended December 31, 2022 </w:t>
      </w:r>
      <w:r>
        <w:rPr>
          <w:rFonts w:ascii="Times New Roman;sans-serif" w:hAnsi="Times New Roman;sans-serif"/>
          <w:b w:val="false"/>
          <w:color w:val="000000"/>
          <w:sz w:val="20"/>
        </w:rPr>
        <w:t xml:space="preserve">and 2021 was </w:t>
      </w:r>
      <w:r>
        <w:rPr>
          <w:rFonts w:ascii="Times New Roman;sans-serif" w:hAnsi="Times New Roman;sans-serif"/>
          <w:b w:val="false"/>
          <w:color w:val="000000"/>
          <w:sz w:val="20"/>
          <w:shd w:fill="FFFFFF" w:val="clear"/>
        </w:rPr>
        <w:t>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 agreements with lease and non-lease components and has elected not to utilize the practical expedient to account for lease and non-lease components together, rather the Company accounts for the lease and non-lease components separately in the consolidated financial statements. The Company has also elected not to record ROU assets and corresponding lease liabilities for short-term leases having initial terms of 12 months or less if the leases do not contain a purchase option or renewal term that the Company is reasonably certain to exercise. Instead, the Company recognizes lease payments on a straight-line basis over the lease term. </w:t>
      </w:r>
    </w:p>
    <w:p>
      <w:pPr>
        <w:pStyle w:val="TextBody"/>
        <w:bidi w:val="0"/>
        <w:spacing w:lineRule="auto" w:line="288" w:before="240" w:after="283"/>
        <w:jc w:val="left"/>
        <w:rPr/>
      </w:pPr>
      <w:r>
        <w:rPr>
          <w:rFonts w:ascii="Times New Roman;sans-serif" w:hAnsi="Times New Roman;sans-serif"/>
          <w:b w:val="false"/>
          <w:color w:val="000000"/>
          <w:sz w:val="20"/>
        </w:rPr>
        <w:t>Operating lease assets are included within operating lease ROU assets. Finance lease assets are included within property, plant and equipment, net. The corresponding operating lease liabilities are included within other current liabilities and other</w:t>
      </w:r>
      <w:r>
        <w:rPr>
          <w:color w:val="000000"/>
        </w:rPr>
        <w:t> </w:t>
      </w:r>
      <w:r>
        <w:rPr>
          <w:rFonts w:ascii="Times New Roman;sans-serif" w:hAnsi="Times New Roman;sans-serif"/>
          <w:b w:val="false"/>
          <w:color w:val="000000"/>
          <w:sz w:val="20"/>
        </w:rPr>
        <w:t>long-term liabilities; the finance lease liabilities are included within finance lease liabilities, current portion and finance lease liabilities, net of current portion on the Company’s consolidated balance sheets as of December 31, 2023 and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lease assets and lease liabilities are recognized based on the present value of lease payments over the lease term. The Company estimates the Company’s incremental borrowing rate based on the information available at lease commencement date in determining the present value of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the functional currency of our foreign subsidiaries based on the primary currency in which they operate. The Company translates all assets and liabilities of foreign subsidiaries to U.S. dollars at the current exchange rate as of each balance sheet date. Revenue and expenses are translated at the average exchange rate prevailing during the period. Any resulting translation adjustments are included in accumulated other comprehensive income (loss). The assets and liabilities of foreign subsidiaries whose local currency is not their functional currency are remeasured from their local currency to their functional currency and then translated to U.S. Dollars.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Foreign currency transaction gains and losses are a result of the effect of exchange rate changes on transactions denominated in currencies other than the functional currency. Gains and losses arising from foreign currency transactions and the effects of remeasurements are recorded within other income (expense), net within the Company’s consolidated statements of operations and comprehensive loss. Foreign currency transaction gains and losses were not material for the years ended December 31, 2023, 2022 and 2021.</w:t>
      </w:r>
      <w:r>
        <w:rPr>
          <w:color w:val="EE27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a five-step process in which the Company identifies the contract, identifies the related performance obligations, determines the transaction price, allocates the transaction price to the identified performance obligations, and recognizes revenue when (or as) the performance obligations are satisfied.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without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4 years. Shipping and handling provided by Company is considered a fulfillment activity.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is typically received at or prior to the transfer of control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The Company’s vehicle contracts do not contain a significant financing component. The Company has elected to exclude sales taxes from the measurement of the transaction price. The Company estimates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the Company’s performance obligations.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revenue recognition, the Company reduces the transaction price and records a sales return reserve against revenue for estimated variable consideration related to future product returns. Return rate estimates are based on historical experience and sales return reserve balance was not material as of December 31, 2023 and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an RVG to its commercial banking partner in connection with its vehicle leasing program. Under the vehicle leasing program, the Company generally receives full payment for the vehicle sales price at the time of delivery or shortly after delivery, does not bear casualty and credit risks during the lease term, and is contractually obligated (or entitled) to share a portion of the shortfall (or excess) between the resale value realized by the commercial banking partner and a predetermined resale value. During the years ended December 31, 2023 and 2022, vehicle sales with RVG totaled $190.9 million and $31.1 million, respectively. At the lease inception, the Company is required to deposit cash collateral equal to a contractual percentage of the residual value of the leased vehicles with the commercial banking partner. The cash collateral is held in a restricted bank account owned by the commercial banking partner until it is used, as applicable, in settlement of the RVG at the end of the lease term. Cash collateral is recorded in other noncurrent assets, subject to asset impairment review at each reporting period.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accounts for the vehicle leasing program in accordance with ASC 842,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ASC 460, </w:t>
      </w:r>
      <w:r>
        <w:rPr>
          <w:rFonts w:ascii="Times New Roman;sans-serif" w:hAnsi="Times New Roman;sans-serif"/>
          <w:b w:val="false"/>
          <w:i/>
          <w:color w:val="000000"/>
          <w:sz w:val="20"/>
        </w:rPr>
        <w:t>Guarantees</w:t>
      </w:r>
      <w:r>
        <w:rPr>
          <w:color w:val="000000"/>
        </w:rPr>
        <w:t xml:space="preserve"> </w:t>
      </w:r>
      <w:r>
        <w:rPr>
          <w:rFonts w:ascii="Times New Roman;sans-serif" w:hAnsi="Times New Roman;sans-serif"/>
          <w:b w:val="false"/>
          <w:color w:val="000000"/>
          <w:sz w:val="20"/>
        </w:rPr>
        <w:t xml:space="preserve">and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The Company is the lessor at inception of a lease and immediately transfers the lease as well as the underlying vehicle to its commercial banking partner, with the transaction being accounted for as a sale under ASC 606.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w:t>
      </w:r>
      <w:r>
        <w:rPr>
          <w:rFonts w:ascii="Times New Roman;sans-serif" w:hAnsi="Times New Roman;sans-serif"/>
          <w:b w:val="false"/>
          <w:color w:val="333333"/>
          <w:sz w:val="20"/>
        </w:rPr>
        <w:t>OTA</w:t>
      </w:r>
      <w:r>
        <w:rPr>
          <w:color w:val="000000"/>
        </w:rPr>
        <w:t xml:space="preserve"> </w:t>
      </w:r>
      <w:r>
        <w:rPr>
          <w:rFonts w:ascii="Times New Roman;sans-serif" w:hAnsi="Times New Roman;sans-serif"/>
          <w:b w:val="false"/>
          <w:color w:val="000000"/>
          <w:sz w:val="20"/>
        </w:rPr>
        <w:t xml:space="preserve">software updates and remarketing activities, in proportion to the standalone selling price of the Company’s performance obligations.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residual value guarantee liability. The RVG liabilities were not material as of December 31, 2023 and 2022. As the Company accumulates more data related to the resale value of our vehicles or as market conditions change, there could be material changes to the estimated guarantee liabilities.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recorded $28.7 million and $15.4 million of total deferred revenue related to OTA and remarketing activities for vehicle sales, respectively. The Company recorded $7.7 million and $4.0 million of the total deferred revenue within other current liabilities and the remaining $21.0 million and $11.4 million within other long-term liabilities in the consolidated balance sheets as of December 31, 2023 and 2022, respectively. Revenue recognized during the years ended December 31, 2023 and 2022 from the prior period deferred revenue balances was not material.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consists of revenue from non-warranty after-sales vehicle services, sales of battery pack systems, powertrain kits, retail merchandise, and regulatory credits. Battery pack system and powertrain kits revenue consists of the sales of battery pack systems or powertrain kits, supplies and related services for vehicles. The sale of battery pack systems, powertrain kits along with related supplies, and regulatory credits is a single performance obligation recognized at the point in time when control is transferred to the customer. Shipping and handling provided by the Company is considered a fulfillment activity. While customers generally have the right to return defective or non-conforming products, past experience has demonstrated that product returns have been immaterial. Customer remedies may include either a cash refund or an exchange of the returned product. Payment for the products sold are received upon invoice or in accordance with payment terms customary to the business. The Company’s battery pack system or powertrain kits contracts do not contain a significant financing component. The Company has elected to exclude sales taxes from the measurement of the transaction price.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Control transfers to the customer when the product or regulatory credit is delivered or transferred to the customer as the customer can then direct the use of the product or regulatory credit and obtain substantially all of the remaining benefits from the asset at that point in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Vehicle Sales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Warranties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 manufacturer’s warranty on all vehicles it sells and accrues a warranty reserve for warranty coverage, as applicable. These estimates are based on actual claims incurred to date and an estimate of the nature, frequency, and costs of future claims. The Company accrues a warranty reserve for all products sold which includes the Company’s best estimates of the projected costs related to recalls identified and special campaigns to repair or replace items under warranties. Changes to the Company’s historical or projected warranty experience may cause material changes to the warranty reserve in the future. The portion of the warranty reserve for costs expected to be incurred within the next 12 months is included within other current liabilities, while the remaining balance is included within other long-term liabilities in the consolidated balance sheets. The warranty expense is recorded as a component of cost of revenue in the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utilizes the liability method to account for income taxes,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w:t>
      </w:r>
      <w:r>
        <w:rPr>
          <w:rFonts w:ascii="Times New Roman;sans-serif" w:hAnsi="Times New Roman;sans-serif"/>
          <w:b w:val="false"/>
          <w:color w:val="000000"/>
          <w:sz w:val="20"/>
        </w:rPr>
        <w:t>tax-planning</w:t>
      </w:r>
      <w:r>
        <w:rPr>
          <w:color w:val="000000"/>
          <w:shd w:fill="FFFFFF" w:val="clear"/>
        </w:rPr>
        <w:t xml:space="preserve"> </w:t>
      </w:r>
      <w:r>
        <w:rPr>
          <w:rFonts w:ascii="Times New Roman;sans-serif" w:hAnsi="Times New Roman;sans-serif"/>
          <w:b w:val="false"/>
          <w:color w:val="000000"/>
          <w:sz w:val="20"/>
          <w:shd w:fill="FFFFFF" w:val="clear"/>
        </w:rPr>
        <w:t>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records uncertain tax positions on the basis of a two-step process which includes (1) determining whether it is more likely than not that the tax positions will be sustained on the basis of the </w:t>
      </w:r>
      <w:r>
        <w:rPr>
          <w:rFonts w:ascii="Times New Roman;sans-serif" w:hAnsi="Times New Roman;sans-serif"/>
          <w:b w:val="false"/>
          <w:color w:val="000000"/>
          <w:sz w:val="20"/>
          <w:shd w:fill="FFFFFF" w:val="clear"/>
        </w:rPr>
        <w:t>technical merits of the position</w:t>
      </w:r>
      <w:r>
        <w:rPr>
          <w:rFonts w:ascii="Times New Roman;sans-serif" w:hAnsi="Times New Roman;sans-serif"/>
          <w:b w:val="false"/>
          <w:color w:val="000000"/>
          <w:sz w:val="20"/>
        </w:rPr>
        <w:t>, and (2) for those tax positions that meet the more-likely-than-not recognition threshold, the Company recognizes the amount of tax benefit that is more than 50 percent likely to be realized upon ultimate settlement with the related tax authority.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policy is to recognize interest related to unrecognized tax benefits in other income (expense), net and to recognize penalties in general and administrative expenses in the consolidated statements of operations and comprehensive loss. Accrued interest and penalties are included within other current liabilities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issues stock-based compensation awards to employees, officers, directors, and non-employees in the form of stock options, restricted stock units (“RSUs”) and employee stock purchase plan (the “ESPP”). The Company measures and recognizes compensation expense for stock-based awards based on the awards’ fair value on the date of grant. The Company accounts for forfeitures of stock-based awards when they occur. The fair value of RSUs that vest based on service and/or performance conditions is measured using the fair value of the Company’s common stock on the date of the grant. The fair value of RSUs that vest based on service and market conditions is measured using a Monte Carlo simulation model on the date of grant. The fair value of stock options that vest based on service condition is measured using the Black-Scholes option pricing model on the date of grant. The Monte Carlo simulation model and the Black-Scholes option pricing model require the input of assumptions, including the fair value of the Company’s common stock, the expected term of the award, the expected volatility of the Company’s common stock, risk-free interest rates, and the expected dividend yield of the Company’s common stock. </w:t>
      </w:r>
      <w:r>
        <w:rPr>
          <w:rFonts w:ascii="Times New Roman;sans-serif" w:hAnsi="Times New Roman;sans-serif"/>
          <w:b w:val="false"/>
          <w:color w:val="000000"/>
          <w:sz w:val="20"/>
          <w:shd w:fill="FFFFFF" w:val="clear"/>
        </w:rPr>
        <w:t>The assumptions used to determine the fair value of the awards represent management’s best estimates.</w:t>
      </w:r>
      <w:r>
        <w:rPr>
          <w:color w:val="000000"/>
        </w:rPr>
        <w:t xml:space="preserve"> </w:t>
      </w:r>
      <w:r>
        <w:rPr>
          <w:rFonts w:ascii="Times New Roman;sans-serif" w:hAnsi="Times New Roman;sans-serif"/>
          <w:b w:val="false"/>
          <w:color w:val="000000"/>
          <w:sz w:val="20"/>
        </w:rPr>
        <w:t>These estimates involve inherent uncertainties and the application of management’s judgment.</w:t>
      </w:r>
    </w:p>
    <w:p>
      <w:pPr>
        <w:pStyle w:val="TextBody"/>
        <w:bidi w:val="0"/>
        <w:spacing w:lineRule="auto" w:line="288" w:before="240" w:after="283"/>
        <w:jc w:val="left"/>
        <w:rPr/>
      </w:pPr>
      <w:r>
        <w:rPr>
          <w:rFonts w:ascii="Times New Roman;sans-serif" w:hAnsi="Times New Roman;sans-serif"/>
          <w:b w:val="false"/>
          <w:color w:val="000000"/>
          <w:sz w:val="20"/>
        </w:rPr>
        <w:t>The fair value of awards that vest</w:t>
      </w:r>
      <w:r>
        <w:rPr>
          <w:color w:val="231F20"/>
        </w:rPr>
        <w:t xml:space="preserve"> </w:t>
      </w:r>
      <w:r>
        <w:rPr>
          <w:rFonts w:ascii="Times New Roman;sans-serif" w:hAnsi="Times New Roman;sans-serif"/>
          <w:b w:val="false"/>
          <w:color w:val="231F20"/>
          <w:sz w:val="20"/>
        </w:rPr>
        <w:t xml:space="preserve">based on only continuous service is recognized on a straight-line basis over the requisite service period. </w:t>
      </w:r>
      <w:r>
        <w:rPr>
          <w:rFonts w:ascii="Times New Roman;sans-serif" w:hAnsi="Times New Roman;sans-serif"/>
          <w:b w:val="false"/>
          <w:color w:val="000000"/>
          <w:sz w:val="20"/>
        </w:rPr>
        <w:t xml:space="preserve">The fair value of awards that vest based on performance or market conditions is recognized over the requisite service period using the accelerated attribution method. Stock-based compensation expense is only recognized for awards with performance conditions once the performance condition becomes probable of being achieved. </w:t>
      </w:r>
      <w:r>
        <w:rPr>
          <w:rFonts w:ascii="Times New Roman;sans-serif" w:hAnsi="Times New Roman;sans-serif"/>
          <w:b w:val="false"/>
          <w:color w:val="231F20"/>
          <w:sz w:val="20"/>
        </w:rPr>
        <w:t>The performance-based RSUs granted prior to the Closing of the Merger vested upon the Closing</w:t>
      </w:r>
      <w:r>
        <w:rPr>
          <w:color w:val="000000"/>
        </w:rPr>
        <w:t xml:space="preserve"> </w:t>
      </w:r>
      <w:r>
        <w:rPr>
          <w:rFonts w:ascii="Times New Roman;sans-serif" w:hAnsi="Times New Roman;sans-serif"/>
          <w:b w:val="false"/>
          <w:color w:val="000000"/>
          <w:sz w:val="20"/>
        </w:rPr>
        <w:t>of the Merger</w:t>
      </w:r>
      <w:r>
        <w:rPr>
          <w:rFonts w:ascii="Times New Roman;sans-serif" w:hAnsi="Times New Roman;sans-serif"/>
          <w:b w:val="false"/>
          <w:color w:val="231F20"/>
          <w:sz w:val="20"/>
        </w:rPr>
        <w:t>. The performance-based RSUs granted after the Closing of the Merger will vest</w:t>
      </w:r>
      <w:r>
        <w:rPr>
          <w:color w:val="000000"/>
        </w:rPr>
        <w:t xml:space="preserve"> </w:t>
      </w:r>
      <w:r>
        <w:rPr>
          <w:rFonts w:ascii="Times New Roman;sans-serif" w:hAnsi="Times New Roman;sans-serif"/>
          <w:b w:val="false"/>
          <w:color w:val="000000"/>
          <w:sz w:val="20"/>
        </w:rPr>
        <w:t xml:space="preserve">based on the actual achievement of corporate performance goals and individual performance. </w:t>
      </w:r>
      <w:r>
        <w:rPr>
          <w:rFonts w:ascii="Times New Roman;sans-serif" w:hAnsi="Times New Roman;sans-serif"/>
          <w:b w:val="false"/>
          <w:color w:val="231F20"/>
          <w:sz w:val="20"/>
        </w:rPr>
        <w:t xml:space="preserve">The </w:t>
      </w:r>
      <w:r>
        <w:rPr>
          <w:rFonts w:ascii="Times New Roman;sans-serif" w:hAnsi="Times New Roman;sans-serif"/>
          <w:b w:val="false"/>
          <w:color w:val="000000"/>
          <w:sz w:val="20"/>
        </w:rPr>
        <w:t>RSUs with market conditions will vest only if the Company achieves certain market capitalization targets.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is composed of two components: net loss and other comprehensive income (loss). Other comprehensive income (loss) refers to net unrealized gains or losses on investments in available-for sale securities and foreign currency translation adjustments that are recorded as an element of stockholders’ equity and are excluded from the determination of net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primarily of materials, supplies, personnel-related expenses, contractor fees, engineering design and testing expenses, and allocated facilities cost. Substantially all of the Company’s research and development expenses are related to developing new products, related technologies, and services and improving existing products and services. Research and development expenses have been expensed as incurred and included in the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Selling, General, and Administrative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 of personnel-related expenses for employees involved in general corporate, selling and marketing functions, including executive management and administration, legal, human resources, facilities and real estate, accounting, finance, tax, and information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Advertising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and are included in sales and marketing expenses in the consolidated statements of operations and comprehensive loss. Advertising costs were $35.3 million for the year ended December 31, 2023. These costs were not material for the years ended December 31,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Restructuring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restructuring charges primarily consist of severance payments, employee benefits, employee transition and stock-based compensation expenses associated with the management-approved restructuring plan. One-time employee termination benefits are recognized at the time of communication to employees, unless future service is required, in which case the costs are recognized over the future service period. Ongoing employee termination benefits are recognized when payments are probable and amounts are reasonably estimable. Other costs are recognized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Commitments and Contingencies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Loss Per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shares have the right to receive nonforfeitable dividends on a pari passu basis in the event that a dividend is paid on common stock. Under the two-class method, the net loss attributable to common stockholders is not allocated to the convertible preferred stock as the preferred stockholders do not have a contractual obligation to share in the Company’s losses.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net loss attributable to common stockholders by the weighted-average number of shares of common stock outstanding during the period. Diluted net loss per share is computed by giving effect to all potentially dilutive common share equivalents to the extent they are dilutive. Potentially dilutive shares of Private Placement Warrants under treasury stock method are included in the computation of diluted net loss per share when their effect is dilutive. For purposes of this calculation, Private Placement Warrants, stock options outstanding, RSUs outstanding, potential shares issued under ESPP and if-converted common shares from convertible note are considered to be common stock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Common Stock Warrants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warrants for shares of the Company’s common stock that are not indexed to its own stock as liabilities at fair value on the balance sheet. Liability-classified common stock warrants are subject to remeasurement to fair value as of any respective exercise date and as of each subsequent balance sheet date with changes in fair value recorded in the Company’s statement of operations and comprehensive loss. For issued or modified common stock warrants outstanding that meet all of the criteria for equity classification, the common stock warrants are recorded as a component of additional paid-in capital and are not remeasured to fair value in subsequent reporting periods.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publicly traded common stock warrants (the “Public Warrants”) are equity-classified instruments because they are deemed indexed to the Company’s own common stock and do not contain any provision that could require net cash settlement unless the holders of the underlying shares would also receive the same form of consideration as the holders of Public Warrants. The Company’s privately placed common stock warrants (the “Private Placement Warrants”) are liability-classified instruments because they are not deemed indexed to the Company’s own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Government Grants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government grants once there is reasonable assurance to receive the grants and meet all the conditions specified in the grants. Grants related to income are recorded as deductions to the related expenses for which the grants are intended to compensate. Grants related to fixed assets are recorded as a deduction in calculating the carrying amount of the related assets and are recognized in profit or loss over the life of a depreciable asset through reduced depreciation expense. Grants received in advance of the acquisition or construction of assets are recorded initially in deferred liability and then as a deduction in calculating the carrying amount of the related fixed assets upon acquisition or construction of the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 Not Yet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Financial Accounting Standards Board (“FASB”) issued ASU No. 2023-07, Segment Reporting (Topic 280): Improvements to Reportable Segment Disclosures, which requires incremental segment information disclosure on an annual and interim basis. This amendment includes disclosure of significant segment expenses which are regularly provided to the CODM and included within each reported measure of segment profit or loss; other segment items by reportable segment and a description of its composition; reportable segment’s profit or loss and assets; additional measures of segment profit or loss if the CODM uses more than one measure of a segment’s profit or loss in assessing segment performance, and the title and position of the entity’s CODM and how the CODM uses the reported measures of segment profit or loss in assessing segment performance and determining resource allocation. The Company with a single reportable segment is required to provide all the disclosures from this amendment. The guidance is effective for fiscal years beginning after December 15, 2023, and interim periods within fiscal years beginning after December 15, 2024. Early adoption is permitted, and should be applied retrospectively. The Company is evaluating the impact of this amendment to the related financial statement disclosures.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No. 2023-09, Income Taxes (Topic 740): Improvements to Income Tax Disclosures, which requires incremental annual income tax disclosures. This amendment includes disclosures of specific categories in the rate reconciliation and additional information for reconciling items that meet a quantitative threshold; income taxes paid (net of refunds received) disaggregated by federal, state, and foreign taxes, and also disaggregated by individual jurisdictions that meet a quantitative threshold; income (or loss) from continuing operations before income tax expenses (or benefit) disaggregated between domestic and foreign; and income tax expense (or benefit) from continuing operations disaggregated by federal, state and foreign. The guidance is effective for annual periods beginning after December 15, 2024. Early adoption is permitted and should be applied prospectively (with retrospective application permitted). The Company is evaluating the impact of this amendment to the related financial statement disclosures.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considered all other recently issued accounting pronouncements and does not believe the adoption of such pronouncements will have a material impact on its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 RESTRUCTURING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28, 2023, the Company announced a restructuring plan (the “Restructuring Plan”) intended to reduce operating expenses in response to evolving business needs and productivity improvement through a reduction in workforce. The Company substantially completed the Restructuring Plan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recorded charges of $24.5 million related to severance payments, employee benefits, employee transition and stock-based compensation, net of a reversal of previously recognized stock-based compensation expense. These charges were recorded within restructuring charges in the consolidated statements of operations and comprehensive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restructuring liabilities associated with the Restructuring Plan was as follows (in thousands):</w:t>
      </w:r>
    </w:p>
    <w:tbl>
      <w:tblPr>
        <w:tblW w:w="5728" w:type="dxa"/>
        <w:jc w:val="left"/>
        <w:tblInd w:w="0" w:type="dxa"/>
        <w:tblLayout w:type="fixed"/>
        <w:tblCellMar>
          <w:top w:w="28" w:type="dxa"/>
          <w:left w:w="28" w:type="dxa"/>
          <w:bottom w:w="28" w:type="dxa"/>
          <w:right w:w="28" w:type="dxa"/>
        </w:tblCellMar>
      </w:tblPr>
      <w:tblGrid>
        <w:gridCol w:w="1517"/>
        <w:gridCol w:w="1332"/>
        <w:gridCol w:w="1335"/>
        <w:gridCol w:w="423"/>
        <w:gridCol w:w="814"/>
        <w:gridCol w:w="307"/>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liabilities - beginning of period</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charges excluding non-cash items</w:t>
            </w:r>
            <w:r>
              <w:rPr>
                <w:rFonts w:ascii="Times New Roman;sans-serif" w:hAnsi="Times New Roman;sans-serif"/>
                <w:b w:val="false"/>
                <w:color w:val="000000"/>
                <w:sz w:val="13"/>
              </w:rPr>
              <w:t>(1)</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(25,935)</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liabilities - end of period</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Excluded non-cash items of $1.4 million for the year ended December 31, 2023, which was net of accelerated stock-based compensation expense of $3.4 million and a reversal of $4.8 million related to previously recognized stock-based compensation expenses for unvested restricted stock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restructuring liabilities associated with the Restructuring Plan included in accrued compensation in the consolidated balance sheet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NOTE 4 </w:t>
      </w:r>
      <w:r>
        <w:rPr>
          <w:color w:val="000000"/>
        </w:rPr>
        <w:t xml:space="preserve">– </w:t>
      </w:r>
      <w:r>
        <w:rPr>
          <w:rFonts w:ascii="Times New Roman;sans-serif" w:hAnsi="Times New Roman;sans-serif"/>
          <w:b/>
          <w:color w:val="000000"/>
          <w:sz w:val="20"/>
        </w:rPr>
        <w:t>REVERSE RECAPITALIZATION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upon the consummation of the Merger,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 based on the following events contemplated by the Merger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cancellation and conversion of all 437,182,072 issued and outstanding shares of Legacy Lucid preferred stock into 437,182,072 shares of Legacy Lucid common stock at the conversion rate as calculated pursuant to Legacy Lucid’s memorandum and articles of association at the date and time that the Merger became effective;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surrender and exchange of all 451,295,965 issued and outstanding shares of Legacy Lucid common stock (including Legacy Lucid common stock resulting from the conversion of the Legacy Lucid preferred stock) into 1,193,226,511 shares of Lucid common stock as adjusted by the Exchange Ratio;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cancellation and exchange of all 25,764,610 granted and outstanding vested and unvested Legacy Lucid Options, which became 68,121,210 Lucid Options exercisable for shares of Lucid common stock with the same terms and vesting conditions except for the number of shares exercisable and the exercise price, each of which was adjusted by the Exchange Ratio;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cancellation and exchange of all 16,418,321 granted and outstanding vested and unvested Legacy Lucid RSUs, which became 43,409,870 Lucid RSUs for shares of Lucid common stock with the same terms and vesting conditions except for the number of shares, which was adjusted by the Exchange Ratio.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other related events that occurred in connection with the Closing are summarized below:</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Churchill entered into separate private placement subscription agreements (the “PIPE Investment”) contemporaneously with the execution of the Merger Agreement pursuant to which Churchill agreed to sell and issue an aggregate of 166,666,667 shares of common stock at a purchase price of $15.00 per share for an aggregate purchase price of $2,500.0 million. The PIPE Investment closed simultaneously with the Closing of the Merger;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Churchill Sponsor IV LLC (the “Churchill Sponsor”) exercised its right to convert the outstanding and unpaid amount of $1.5 million under the working capital loan provided by the Churchill Sponsor to Churchill into an additional 1,500,000 Private Placement Warrants at a price of $1.00 per warrant in satisfaction of such loan;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Churchill and the Churchill Sponsor entered into a letter agreement (the “Sponsor Agreement”), pursuant to which the Churchill Sponsor agreed that 17,250,000 shares of Churchill’s issued and outstanding common stock beneficially held by the Churchill Sponsor (the “Sponsor Earnback Shares”) and 14,783,333 Private Placement Warrants beneficially held by the Churchill Sponsor (the “Sponsor Earnback Warrants”) to purchase shares of the Churchill’s common stock shall become subject to transfer restrictions and contingent forfeiture provisions upon the Closing of the Merger until Lucid’s stock price exceeded certain predetermined levels in the post-Merger period. Any such shares and warrants not released from these transfer restrictions during the earnback period, which expires on the fifth anniversary of the Closing, will be forfeited back to Lucid for no consideration. See Note 13 “Earnback Shares and Warrants” for more information;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Churchill redeemed 21,644 public shares of Churchill’s Class A common stock at approximately $10.00 per share for an aggregate payment of $0.2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Merger and the redemption of Churchill shares as described above, the number of shares of common stock issued and outstanding immediately following the consummation of the Merger was as follows:</w:t>
      </w:r>
    </w:p>
    <w:tbl>
      <w:tblPr>
        <w:tblW w:w="8618" w:type="dxa"/>
        <w:jc w:val="left"/>
        <w:tblInd w:w="0" w:type="dxa"/>
        <w:tblLayout w:type="fixed"/>
        <w:tblCellMar>
          <w:top w:w="28" w:type="dxa"/>
          <w:left w:w="28" w:type="dxa"/>
          <w:bottom w:w="28" w:type="dxa"/>
          <w:right w:w="28" w:type="dxa"/>
        </w:tblCellMar>
      </w:tblPr>
      <w:tblGrid>
        <w:gridCol w:w="2544"/>
        <w:gridCol w:w="2231"/>
        <w:gridCol w:w="2244"/>
        <w:gridCol w:w="668"/>
        <w:gridCol w:w="668"/>
        <w:gridCol w:w="263"/>
      </w:tblGrid>
      <w:tr>
        <w:trPr/>
        <w:tc>
          <w:tcPr>
            <w:tcW w:w="2544"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public shares, prior to redemptions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207,000,000 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redemption of Churchill shares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public shares, net of redemptions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206,978,356 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Churchill Sponsor shares</w:t>
            </w:r>
            <w:r>
              <w:rPr>
                <w:rFonts w:ascii="Times New Roman;sans-serif" w:hAnsi="Times New Roman;sans-serif"/>
                <w:b w:val="false"/>
                <w:color w:val="000000"/>
                <w:sz w:val="13"/>
              </w:rPr>
              <w:t>(1)</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51,750,000 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PIPE shares</w:t>
            </w:r>
            <w:r>
              <w:rPr>
                <w:rFonts w:ascii="Times New Roman;sans-serif" w:hAnsi="Times New Roman;sans-serif"/>
                <w:b w:val="false"/>
                <w:color w:val="000000"/>
                <w:sz w:val="13"/>
              </w:rPr>
              <w:t>(2)</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166,666,667 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Churchill common stock outstanding immediately prior to the Merger</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425,395,023 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Lucid shares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1,193,226,511 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shares of Lucid common stock outstanding immediately after the Merger</w:t>
            </w:r>
            <w:r>
              <w:rPr>
                <w:rFonts w:ascii="Times New Roman;sans-serif" w:hAnsi="Times New Roman;sans-serif"/>
                <w:b w:val="false"/>
                <w:color w:val="000000"/>
                <w:sz w:val="13"/>
              </w:rPr>
              <w:t>(3)(4)</w:t>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1,618,621,534 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51,750,000 shares beneficially owned by the Churchill Sponsor as of the Closing of the Merger includes the 17,250,000 Sponsor Earnback Shares.</w:t>
      </w:r>
    </w:p>
    <w:p>
      <w:pPr>
        <w:pStyle w:val="TextBody"/>
        <w:bidi w:val="0"/>
        <w:spacing w:lineRule="auto" w:line="288" w:before="120" w:after="283"/>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Reflects the sale and issuance of 166,666,667 shares of common stock to the PIPE Investors at $15.00 per share.</w:t>
      </w:r>
    </w:p>
    <w:p>
      <w:pPr>
        <w:pStyle w:val="TextBody"/>
        <w:bidi w:val="0"/>
        <w:spacing w:lineRule="auto" w:line="288" w:before="120" w:after="283"/>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Excludes 111,531,080 shares of common stock as of the Closing of the Merger to be reserved for potential future issuance upon the exercise of Lucid Options or settlement of Lucid RSUs.</w:t>
      </w:r>
    </w:p>
    <w:p>
      <w:pPr>
        <w:pStyle w:val="TextBody"/>
        <w:bidi w:val="0"/>
        <w:spacing w:lineRule="auto" w:line="288" w:before="120" w:after="283"/>
        <w:jc w:val="left"/>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Excludes the 85,750,000 warrants issued and outstanding as of the Closing of the Merger, which includes the 41,400,000 Public Warrants and the 44,350,000 Private Placement Warrants. The 44,350,000 Private Placement Warrants beneficially owned by the Churchill Sponsor as of the consummation of the Merger includes the 14,783,333 Sponsor Earnback Warrants.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periods prior to the Merger have been retrospectively adjusted using the Exchange Ratio for the equivalent number of shares outstanding immediately after the Closing to effect the reverse recapitalization.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Merger, the Company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The Company additionally incurred $38.9 million of transaction costs, consisting of banking, legal, and other professional fees, of which $36.2 million was recorded as a reduction to additional paid-in capital of proceeds and the remaining $2.7 million was expensed in July 2021. The total net cash proceeds to the Company were $4,400.3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 BALANCE SHEETS COMPONENTS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as of December 31, 2023 and 2022 was as follows (in thousands): </w:t>
      </w:r>
    </w:p>
    <w:tbl>
      <w:tblPr>
        <w:tblW w:w="4163" w:type="dxa"/>
        <w:jc w:val="left"/>
        <w:tblInd w:w="0" w:type="dxa"/>
        <w:tblLayout w:type="fixed"/>
        <w:tblCellMar>
          <w:top w:w="28" w:type="dxa"/>
          <w:left w:w="28" w:type="dxa"/>
          <w:bottom w:w="28" w:type="dxa"/>
          <w:right w:w="28" w:type="dxa"/>
        </w:tblCellMar>
      </w:tblPr>
      <w:tblGrid>
        <w:gridCol w:w="543"/>
        <w:gridCol w:w="476"/>
        <w:gridCol w:w="480"/>
        <w:gridCol w:w="211"/>
        <w:gridCol w:w="826"/>
        <w:gridCol w:w="109"/>
        <w:gridCol w:w="109"/>
        <w:gridCol w:w="109"/>
        <w:gridCol w:w="109"/>
        <w:gridCol w:w="211"/>
        <w:gridCol w:w="82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Finished goods</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as of December 31, 2023 and 2022 was comprised of raw materials, work in progress related to the production of vehicles for sale and SKD units for final assembly in Saudi Arabia, and finished goods inventory including new vehicles available for sale, vehicles in transit to fulfill customer orders, and internally used vehicles which the Company intends to sell. During the years ended December 31, 2023, 2022, and 2021, the Company recorded write-downs of $926.9 million, $569.5 million, and $48.9 million, respectively, to reduce its inventories to its net realizable values, for any excess or obsolete inventories, and losses from firm purchase commitments.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as of December 31, 2023 and 2022 was as follows (in thousands):</w:t>
      </w:r>
    </w:p>
    <w:tbl>
      <w:tblPr>
        <w:tblW w:w="7013" w:type="dxa"/>
        <w:jc w:val="left"/>
        <w:tblInd w:w="0" w:type="dxa"/>
        <w:tblLayout w:type="fixed"/>
        <w:tblCellMar>
          <w:top w:w="28" w:type="dxa"/>
          <w:left w:w="28" w:type="dxa"/>
          <w:bottom w:w="28" w:type="dxa"/>
          <w:right w:w="28" w:type="dxa"/>
        </w:tblCellMar>
      </w:tblPr>
      <w:tblGrid>
        <w:gridCol w:w="1466"/>
        <w:gridCol w:w="1289"/>
        <w:gridCol w:w="1294"/>
        <w:gridCol w:w="211"/>
        <w:gridCol w:w="976"/>
        <w:gridCol w:w="109"/>
        <w:gridCol w:w="109"/>
        <w:gridCol w:w="109"/>
        <w:gridCol w:w="109"/>
        <w:gridCol w:w="211"/>
        <w:gridCol w:w="97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Building and improvements</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Machinery, tooling and vehicles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2,166,776 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December 31, 2023, $120.2 million of capital expenditure support received from Ministry of Investment of Saudi Arabia (“MISA”) was primarily recorded as a deduction to the AMP-2 building balance. See Note 20 “Related Party Transactions” for more information.</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Included $32.5 million of service loaner vehicles as of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tbl>
      <w:tblPr>
        <w:tblW w:w="6128" w:type="dxa"/>
        <w:jc w:val="left"/>
        <w:tblInd w:w="0" w:type="dxa"/>
        <w:tblLayout w:type="fixed"/>
        <w:tblCellMar>
          <w:top w:w="28" w:type="dxa"/>
          <w:left w:w="28" w:type="dxa"/>
          <w:bottom w:w="28" w:type="dxa"/>
          <w:right w:w="28" w:type="dxa"/>
        </w:tblCellMar>
      </w:tblPr>
      <w:tblGrid>
        <w:gridCol w:w="1146"/>
        <w:gridCol w:w="1006"/>
        <w:gridCol w:w="1012"/>
        <w:gridCol w:w="211"/>
        <w:gridCol w:w="976"/>
        <w:gridCol w:w="109"/>
        <w:gridCol w:w="109"/>
        <w:gridCol w:w="109"/>
        <w:gridCol w:w="109"/>
        <w:gridCol w:w="211"/>
        <w:gridCol w:w="97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tooling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Construction of AMP-1 and AMP-2</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construction in progress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December 31, 2023 and 2022, $12.1 million and $33.3 million, of capital expenditure support received from MISA was recorded primarily as a deduction to the AMP-2 facility construction in progress balance, respectively. See Note 2 “Summary of Significant Accounting Policies” and Note 20 “Related Party Transactions”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$233.5 million, $186.6 million and $62.9 million for the years ended December 31, 2023, 2022 and 2021, respectively. The amount of interest capitalized on construction in progress related to significant capital asset construction was $12.4 million and $2.7 million for the years ended December 31, 2023 and 2022, respectively. No interest was capitalized for the year ended December 31, 2021.</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as of December 31, 2023 and 2022 were as follows (in thousands):</w:t>
      </w:r>
    </w:p>
    <w:tbl>
      <w:tblPr>
        <w:tblW w:w="7433" w:type="dxa"/>
        <w:jc w:val="left"/>
        <w:tblInd w:w="0" w:type="dxa"/>
        <w:tblLayout w:type="fixed"/>
        <w:tblCellMar>
          <w:top w:w="28" w:type="dxa"/>
          <w:left w:w="28" w:type="dxa"/>
          <w:bottom w:w="28" w:type="dxa"/>
          <w:right w:w="28" w:type="dxa"/>
        </w:tblCellMar>
      </w:tblPr>
      <w:tblGrid>
        <w:gridCol w:w="1727"/>
        <w:gridCol w:w="1519"/>
        <w:gridCol w:w="1523"/>
        <w:gridCol w:w="211"/>
        <w:gridCol w:w="826"/>
        <w:gridCol w:w="109"/>
        <w:gridCol w:w="109"/>
        <w:gridCol w:w="109"/>
        <w:gridCol w:w="109"/>
        <w:gridCol w:w="211"/>
        <w:gridCol w:w="826"/>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design, and testing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Accrued purchases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leasehold improvements accrual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services accrual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 on firm inventory purchase commitments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Primarily represent accruals for inventory related purchases and transportation charges that had not been invoiced.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long-term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as of December 31, 2023 and 2022 were as follows (in thousands):</w:t>
      </w:r>
    </w:p>
    <w:tbl>
      <w:tblPr>
        <w:tblW w:w="6683" w:type="dxa"/>
        <w:jc w:val="left"/>
        <w:tblInd w:w="0" w:type="dxa"/>
        <w:tblLayout w:type="fixed"/>
        <w:tblCellMar>
          <w:top w:w="28" w:type="dxa"/>
          <w:left w:w="28" w:type="dxa"/>
          <w:bottom w:w="28" w:type="dxa"/>
          <w:right w:w="28" w:type="dxa"/>
        </w:tblCellMar>
      </w:tblPr>
      <w:tblGrid>
        <w:gridCol w:w="1453"/>
        <w:gridCol w:w="1279"/>
        <w:gridCol w:w="1287"/>
        <w:gridCol w:w="211"/>
        <w:gridCol w:w="826"/>
        <w:gridCol w:w="109"/>
        <w:gridCol w:w="109"/>
        <w:gridCol w:w="109"/>
        <w:gridCol w:w="109"/>
        <w:gridCol w:w="211"/>
        <w:gridCol w:w="82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long-term liabilities</w:t>
            </w:r>
            <w:r>
              <w:rPr>
                <w:rFonts w:ascii="Times New Roman;sans-serif" w:hAnsi="Times New Roman;sans-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December 31, 2023 and 2022, $62.5 million and $64.0 million, of capital expenditure support received from MISA was recorded as deferred liability within other long-term liabilities in the consolidated balance sheets, respectively. See Note 2 “Summary of Significant Accounting Policies” and Note 20 “Related Party Transactions”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As of December 31, 2023, $107.8 million of deferred revenue was recorded within other long-term liabilities in the consolidated balance sheet, in connection with the strategic technology and supply arrangement, and integration and supply arrangements with Aston Martin Lagonda Global Holdings plc (together with its subsidiaries, “Aston Martin”). See Note 20 “Related Party Transactions” for more information.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Accrued warranty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activities consisted of the following (in thousands):</w:t>
      </w:r>
    </w:p>
    <w:tbl>
      <w:tblPr>
        <w:tblW w:w="5919" w:type="dxa"/>
        <w:jc w:val="left"/>
        <w:tblInd w:w="0" w:type="dxa"/>
        <w:tblLayout w:type="fixed"/>
        <w:tblCellMar>
          <w:top w:w="28" w:type="dxa"/>
          <w:left w:w="28" w:type="dxa"/>
          <w:bottom w:w="28" w:type="dxa"/>
          <w:right w:w="28" w:type="dxa"/>
        </w:tblCellMar>
      </w:tblPr>
      <w:tblGrid>
        <w:gridCol w:w="1255"/>
        <w:gridCol w:w="1102"/>
        <w:gridCol w:w="1108"/>
        <w:gridCol w:w="211"/>
        <w:gridCol w:w="721"/>
        <w:gridCol w:w="109"/>
        <w:gridCol w:w="109"/>
        <w:gridCol w:w="109"/>
        <w:gridCol w:w="109"/>
        <w:gridCol w:w="211"/>
        <w:gridCol w:w="72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Accrued warranty -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 for warranty</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Accrued warranty - end of period</w:t>
            </w:r>
            <w:r>
              <w:rPr>
                <w:rFonts w:ascii="Times New Roman;sans-serif" w:hAnsi="Times New Roman;sans-serif"/>
                <w:b/>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Provision for warranty for the years ended December 31, 2023 and 2022 included estimated costs related to the recalls identified and/or special campaigns to repair or replace items under warranties.</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Accrued warranty balance of $22.7 million and $10.4 million, respectively, was recorded within other current liabilities, and $23.4 million and $12.5 million, respectively, was recorded within other long-term liabilities, in the consolidated balance sheets as of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 FAIR VALUE MEASUREMENTS AND FINANCIAL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Level 1</w:t>
      </w:r>
      <w:r>
        <w:rPr>
          <w:color w:val="000000"/>
        </w:rPr>
        <w:t>—</w:t>
      </w:r>
      <w:r>
        <w:rPr>
          <w:rFonts w:ascii="Times New Roman;sans-serif" w:hAnsi="Times New Roman;sans-serif"/>
          <w:b w:val="false"/>
          <w:color w:val="000000"/>
          <w:sz w:val="20"/>
        </w:rPr>
        <w:t>Quoted prices (unadjusted)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Level 2</w:t>
      </w:r>
      <w:r>
        <w:rPr>
          <w:color w:val="000000"/>
        </w:rPr>
        <w:t>—</w:t>
      </w:r>
      <w:r>
        <w:rPr>
          <w:rFonts w:ascii="Times New Roman;sans-serif" w:hAnsi="Times New Roman;sans-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Level 3</w:t>
      </w:r>
      <w:r>
        <w:rPr>
          <w:color w:val="000000"/>
        </w:rPr>
        <w:t>—</w:t>
      </w:r>
      <w:r>
        <w:rPr>
          <w:rFonts w:ascii="Times New Roman;sans-serif" w:hAnsi="Times New Roman;sans-serif"/>
          <w:b w:val="false"/>
          <w:color w:val="000000"/>
          <w:sz w:val="20"/>
        </w:rPr>
        <w:t>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 are reported at their respective fair values on the Company’s consolidated balance sheets. The Company’s short-term and long-term investments are classified as available-for-sale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financial assets subject to fair value measurements on a recurring basis by level within the fair value hierarchy as of December 31, 2023 and 2022 (in thousands):</w:t>
      </w:r>
    </w:p>
    <w:tbl>
      <w:tblPr>
        <w:tblW w:w="11553"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11"/>
        <w:gridCol w:w="616"/>
        <w:gridCol w:w="109"/>
        <w:gridCol w:w="109"/>
        <w:gridCol w:w="109"/>
        <w:gridCol w:w="109"/>
        <w:gridCol w:w="211"/>
        <w:gridCol w:w="63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1390"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37"/>
        <w:gridCol w:w="525"/>
        <w:gridCol w:w="124"/>
        <w:gridCol w:w="109"/>
        <w:gridCol w:w="109"/>
        <w:gridCol w:w="109"/>
        <w:gridCol w:w="211"/>
        <w:gridCol w:w="73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9"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2023 and 2022, there were immaterial realized gains or losses on the sale of available-for-sale securities. Accrued interest receivable excluded from both the fair value and amortized cost basis of the available-for-sale securities was $11.1 million and $7.5 million as of December 31, 2023 and 2022, respectively, and was recorded in other current assets on its consolidated balance sheets. As of December 31, 2023 and 2022, no allowance for credit losses was recorded related to an impairment of available-for-sale securities.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available-for-sale securities by contractual maturity:</w:t>
      </w:r>
    </w:p>
    <w:p>
      <w:pPr>
        <w:pStyle w:val="TextBody"/>
        <w:bidi w:val="0"/>
        <w:spacing w:before="0" w:after="0"/>
        <w:jc w:val="both"/>
        <w:rPr/>
      </w:pPr>
      <w:r>
        <w:rPr/>
      </w:r>
    </w:p>
    <w:tbl>
      <w:tblPr>
        <w:tblW w:w="6182" w:type="dxa"/>
        <w:jc w:val="left"/>
        <w:tblInd w:w="0" w:type="dxa"/>
        <w:tblLayout w:type="fixed"/>
        <w:tblCellMar>
          <w:top w:w="28" w:type="dxa"/>
          <w:left w:w="28" w:type="dxa"/>
          <w:bottom w:w="28" w:type="dxa"/>
          <w:right w:w="28" w:type="dxa"/>
        </w:tblCellMar>
      </w:tblPr>
      <w:tblGrid>
        <w:gridCol w:w="1035"/>
        <w:gridCol w:w="913"/>
        <w:gridCol w:w="917"/>
        <w:gridCol w:w="211"/>
        <w:gridCol w:w="976"/>
        <w:gridCol w:w="109"/>
        <w:gridCol w:w="109"/>
        <w:gridCol w:w="109"/>
        <w:gridCol w:w="109"/>
        <w:gridCol w:w="266"/>
        <w:gridCol w:w="1234"/>
        <w:gridCol w:w="19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2,489,798 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three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2,950,827 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6, 2023, the Company received 28,352,273 ordinary shares of Aston Martin with an initial fair value of $73.2 million. These equity securities are publicly traded stocks (where shares are denominated in GBP) measured at fair value on a recurring basis and classified within level 1 in the fair value hierarchy. Such equity securities were remeasured to a fair value of $81.5 million as of December 31, 2023 and were recorded in other noncurrent assets in the consolidated balance sheet. During the year ended December 31, 2023, the Company recognized $6.0 million of unrealized gain in change in fair value of equity securities in the consolidated statement of operations and comprehensive loss. During the year ended December 31, 2023, the Company also recognized $2.3 million of unrealized foreign currency gain related to these equity securities in other income (expense), net in the consolidated statement of operations and comprehensive loss. See Note 20 “Related Party Transactions” for more information.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3 liabilities consist of common stock warrant liability of which the fair value was measured upon issuance and is remeasured at each reporting date. Level 3 liabilities also consist of residual value guarantee liabilities, of which the fair value measurement is nonrecurring and measured upon delivery of vehicles. The valuation methodology and underlying assumptions are discussed further in Note 2 “Summary of Significant Accounting Policies” and Note 10 “Common Stock Warrant Liability”. Significant increases (decreases) in the unobservable inputs used in determining the fair value would result in a significantly higher (lower) fair value measurement. The following table presents a reconciliation of the common stock warrant liability measured and recorded at fair value on a recurring basis (in thousands):</w:t>
      </w:r>
    </w:p>
    <w:tbl>
      <w:tblPr>
        <w:tblW w:w="5856" w:type="dxa"/>
        <w:jc w:val="left"/>
        <w:tblInd w:w="0" w:type="dxa"/>
        <w:tblLayout w:type="fixed"/>
        <w:tblCellMar>
          <w:top w:w="28" w:type="dxa"/>
          <w:left w:w="28" w:type="dxa"/>
          <w:bottom w:w="28" w:type="dxa"/>
          <w:right w:w="28" w:type="dxa"/>
        </w:tblCellMar>
      </w:tblPr>
      <w:tblGrid>
        <w:gridCol w:w="983"/>
        <w:gridCol w:w="864"/>
        <w:gridCol w:w="868"/>
        <w:gridCol w:w="109"/>
        <w:gridCol w:w="109"/>
        <w:gridCol w:w="109"/>
        <w:gridCol w:w="211"/>
        <w:gridCol w:w="826"/>
        <w:gridCol w:w="109"/>
        <w:gridCol w:w="109"/>
        <w:gridCol w:w="109"/>
        <w:gridCol w:w="109"/>
        <w:gridCol w:w="211"/>
        <w:gridCol w:w="97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DEBT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2026 Notes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2026 Notes may convert all or a portion of their 2026 Notes at their option prior to September 15, 2026, in multiples of $1,000 principal amounts, only under the following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if the Company calls any or all 2026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issuance of the 2026 Notes as a single liability measured at its amortized cost, as no other embedded features require bifurcation and recognition as derivatives. The following table is a summary of the 2026 Notes as of December 31, 2023 and 2022 (in millions):</w:t>
      </w:r>
    </w:p>
    <w:p>
      <w:pPr>
        <w:pStyle w:val="TextBody"/>
        <w:bidi w:val="0"/>
        <w:spacing w:before="0" w:after="0"/>
        <w:jc w:val="left"/>
        <w:rPr/>
      </w:pPr>
      <w:r>
        <w:rPr/>
      </w:r>
    </w:p>
    <w:tbl>
      <w:tblPr>
        <w:tblW w:w="7733" w:type="dxa"/>
        <w:jc w:val="left"/>
        <w:tblInd w:w="0" w:type="dxa"/>
        <w:tblLayout w:type="fixed"/>
        <w:tblCellMar>
          <w:top w:w="28" w:type="dxa"/>
          <w:left w:w="28" w:type="dxa"/>
          <w:bottom w:w="28" w:type="dxa"/>
          <w:right w:w="28" w:type="dxa"/>
        </w:tblCellMar>
      </w:tblPr>
      <w:tblGrid>
        <w:gridCol w:w="1461"/>
        <w:gridCol w:w="1283"/>
        <w:gridCol w:w="1291"/>
        <w:gridCol w:w="109"/>
        <w:gridCol w:w="109"/>
        <w:gridCol w:w="109"/>
        <w:gridCol w:w="291"/>
        <w:gridCol w:w="1058"/>
        <w:gridCol w:w="150"/>
        <w:gridCol w:w="109"/>
        <w:gridCol w:w="109"/>
        <w:gridCol w:w="109"/>
        <w:gridCol w:w="288"/>
        <w:gridCol w:w="1047"/>
        <w:gridCol w:w="210"/>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Amount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for the convertible note is 1.5%. The components of interest expense related to the 2026 Notes were as follows (in millions):</w:t>
      </w:r>
    </w:p>
    <w:tbl>
      <w:tblPr>
        <w:tblW w:w="7662" w:type="dxa"/>
        <w:jc w:val="left"/>
        <w:tblInd w:w="0" w:type="dxa"/>
        <w:tblLayout w:type="fixed"/>
        <w:tblCellMar>
          <w:top w:w="28" w:type="dxa"/>
          <w:left w:w="28" w:type="dxa"/>
          <w:bottom w:w="28" w:type="dxa"/>
          <w:right w:w="28" w:type="dxa"/>
        </w:tblCellMar>
      </w:tblPr>
      <w:tblGrid>
        <w:gridCol w:w="1655"/>
        <w:gridCol w:w="1456"/>
        <w:gridCol w:w="1464"/>
        <w:gridCol w:w="211"/>
        <w:gridCol w:w="511"/>
        <w:gridCol w:w="109"/>
        <w:gridCol w:w="109"/>
        <w:gridCol w:w="109"/>
        <w:gridCol w:w="109"/>
        <w:gridCol w:w="211"/>
        <w:gridCol w:w="511"/>
        <w:gridCol w:w="109"/>
        <w:gridCol w:w="109"/>
        <w:gridCol w:w="109"/>
        <w:gridCol w:w="109"/>
        <w:gridCol w:w="211"/>
        <w:gridCol w:w="406"/>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 and debt issuance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2026 Notes were not eligible for conversion as of December 31, 2023 and 2022. No sinking fund is provided for the 2026 Notes, which means that the Company is not required to redeem or retire them periodically. As of December 31, 2023 and 2022, the Company was in compliance with applicable covenants under the indenture governing the 2026 Notes.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SIDF Loan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Lucid, LLC, a limited liability company established in Saudi Arabia and a subsidiary of the Company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pPr>
      <w:r>
        <w:rPr>
          <w:rFonts w:ascii="Times New Roman;sans-serif" w:hAnsi="Times New Roman;sans-serif"/>
          <w:b w:val="false"/>
          <w:color w:val="000000"/>
          <w:sz w:val="20"/>
        </w:rPr>
        <w:t xml:space="preserve">SIDF Loans will not bear interest. Instead, Lucid LLC will be required to pay SIDF service fees, consisting of follow-up and technical evaluation fees, ranging, in aggregate, from SAR 415 million (approximately $110.7 million) to SAR 1.77 billion (approximately $472.0 million), over the term of the SIDF Loans. SIDF Loans will be secured by security interests in the </w:t>
      </w:r>
      <w:r>
        <w:rPr>
          <w:rFonts w:ascii="Times New Roman;sans-serif" w:hAnsi="Times New Roman;sans-serif"/>
          <w:b w:val="false"/>
          <w:color w:val="242424"/>
          <w:sz w:val="20"/>
          <w:shd w:fill="FFFFFF" w:val="clear"/>
        </w:rPr>
        <w:t>equipment, machines and assets funded thereby.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sans-serif" w:hAnsi="Times New Roman;sans-serif"/>
          <w:b w:val="false"/>
          <w:color w:val="242424"/>
          <w:sz w:val="20"/>
          <w:shd w:fill="FFFFFF" w:val="clear"/>
        </w:rPr>
        <w:t xml:space="preserve">As of </w:t>
      </w:r>
      <w:r>
        <w:rPr>
          <w:rFonts w:ascii="Times New Roman;sans-serif" w:hAnsi="Times New Roman;sans-serif"/>
          <w:b w:val="false"/>
          <w:color w:val="000000"/>
          <w:sz w:val="20"/>
        </w:rPr>
        <w:t>December 31, 2023 and 2022</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amount</w:t>
      </w:r>
      <w:r>
        <w:rPr>
          <w:color w:val="242424"/>
          <w:shd w:fill="FFFFFF" w:val="clear"/>
        </w:rPr>
        <w:t xml:space="preserve"> </w:t>
      </w:r>
      <w:r>
        <w:rPr>
          <w:rFonts w:ascii="Times New Roman;sans-serif" w:hAnsi="Times New Roman;sans-serif"/>
          <w:b w:val="false"/>
          <w:color w:val="242424"/>
          <w:sz w:val="20"/>
          <w:shd w:fill="FFFFFF" w:val="clear"/>
        </w:rPr>
        <w:t>was outstanding under the SIDF Loan Agreement.</w:t>
      </w:r>
    </w:p>
    <w:p>
      <w:pPr>
        <w:pStyle w:val="TextBody"/>
        <w:bidi w:val="0"/>
        <w:spacing w:lineRule="auto" w:line="288" w:before="240" w:after="283"/>
        <w:jc w:val="left"/>
        <w:rPr>
          <w:rFonts w:ascii="Times New Roman;sans-serif" w:hAnsi="Times New Roman;sans-serif"/>
          <w:b/>
          <w:i/>
          <w:color w:val="242424"/>
          <w:sz w:val="20"/>
          <w:shd w:fill="FFFFFF" w:val="clear"/>
        </w:rPr>
      </w:pPr>
      <w:r>
        <w:rPr>
          <w:rFonts w:ascii="Times New Roman;sans-serif" w:hAnsi="Times New Roman;sans-serif"/>
          <w:b/>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Lucid LLC entered into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the Bridge Facility for the financing of Lucid LLC’s capital expenditures in connection with AMP-2. The remaining SAR 350 million (approximately $93.1 million) was available as the Working Capital Facility and might be used for general corporate purposes.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the Amended GIB Facility Agreement to combine the Bridge Facility and the Working Capital Facility into a committed SAR 1 billion (approximately $266.7 million)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pStyle w:val="TextBody"/>
        <w:bidi w:val="0"/>
        <w:spacing w:lineRule="auto" w:line="288" w:before="240" w:after="283"/>
        <w:jc w:val="left"/>
        <w:rPr/>
      </w:pPr>
      <w:r>
        <w:rPr>
          <w:rFonts w:ascii="Times New Roman;sans-serif" w:hAnsi="Times New Roman;sans-serif"/>
          <w:b w:val="false"/>
          <w:color w:val="000000"/>
          <w:sz w:val="20"/>
        </w:rPr>
        <w:t>As of December 31, 2023, the Company had outstanding borrowings of SAR 272 million (approximately $72.5 million) with weighted average interest rate of 7.49%. As of December 31, 2023, availability under the GIB Credit Facility was SAR 727 million (approximately $193.9 million), after giving effect to the outstanding letters of credit. As of December 31, 2022</w:t>
      </w:r>
      <w:r>
        <w:rPr>
          <w:rFonts w:ascii="Times New Roman;sans-serif" w:hAnsi="Times New Roman;sans-serif"/>
          <w:b w:val="false"/>
          <w:color w:val="242424"/>
          <w:sz w:val="20"/>
        </w:rPr>
        <w:t xml:space="preserve">, the Company had outstanding borrowings of </w:t>
      </w:r>
      <w:r>
        <w:rPr>
          <w:rFonts w:ascii="Times New Roman;sans-serif" w:hAnsi="Times New Roman;sans-serif"/>
          <w:b w:val="false"/>
          <w:color w:val="000000"/>
          <w:sz w:val="20"/>
        </w:rPr>
        <w:t>SAR 36 million (approximately $9.6 million) with interest rate of 6.40% from the Working Capital Facility. As of December 31, 2022, available borrowings were SAR 650 million (approximately $173.0 million) and SAR 314 million (approximately $83.5 million) under the Bridge Facility and Working Capital Facility, respectively. The outstanding borrowings were recorded within other current liabilities in the consolidated balance sheets. The Company recorded interest expenses of SAR 8 million (approximately $2.2 million) for the year ended December 31, 2023. The interest expense recorded for the year ended December 31, 2022 was immaterial. As of December 31, 2023 and 2022, the Company was in compliance with applicable covenants under the Amended GIB Facility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ABL Credit Facility</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(“FCCR”) financial covenant, in each case on terms set forth in the credit agreement governing the ABL Credit Facility. As of December 31, 2023 and 2022, the Company was in compliance with applicable covenants under the ABL Credit Facility.</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As of December 31, 2023 and 2022, the Company had no outstanding borrowings under the ABL Credit Facility. Outstanding letters of credit under the ABL Credit Facility were $45.4 million and $37.4 million as of December 31, 2023 and 2022, respectively. Availability under the ABL Credit Facility was $413.4 million (including $144.0 million cash and cash equivalents) and $441.4 million (including $37.3 million cash and cash equivalents) as of December 31, 2023 and 2022, respectively, after giving effect to the borrowing base and the outstanding letters of credit. The Company incurred issuance costs of $6.3 million to obtain the ABL Credit Facility, which was capitalized within other noncurrent assets in the consolidated balance sheets and amortized over the facility term using the straight-line method. The Company recorded amortization of the deferred issuance costs and commitment fee of $3.7 million and $2.1 million</w:t>
      </w:r>
      <w:r>
        <w:rPr>
          <w:color w:val="B6B6B6"/>
        </w:rPr>
        <w:t xml:space="preserve"> </w:t>
      </w:r>
      <w:r>
        <w:rPr>
          <w:rFonts w:ascii="Times New Roman;sans-serif" w:hAnsi="Times New Roman;sans-serif"/>
          <w:b w:val="false"/>
          <w:color w:val="000000"/>
          <w:sz w:val="20"/>
        </w:rPr>
        <w:t>for the years ended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CONTINGENT FORWARD CONTRACTS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2020, the Company and Ayar entered into a stock purchase agreement for the Company’s Series E convertible preferred stock (the “Series E Preferred Stock Purchase Agreement”). In February 2021, the Company and Ayar entered into Amendment No. 1 to the Series E Preferred Stock Purchase Agreement (“Amendment No. 1”). Under the Amendment No. 1, Ayar and the Company agreed to enter into the third closing of additional 133,818,821 Series E convertible preferred stock at $2.99 per share, aggregating to $400.0 million. Upon the signing of the Amendment No. 1, the Company received the issuance proceeds of $400.0 million from Ayar in February 2021.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and Ayar. Refer to Note 11 “Convertible Preferred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issued 66,909,408 Series E convertible preferred stock from the fourth closing at $2.99 per share for cash consideration of $200.0 million. The Company received $107.1 million of the total issuance proceeds in March 2021 and the remaining $92.9 million in April 2021. See Note 11 “Convertible Preferred Stock”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right to participate in future Series E convertible preferred share financing to be a freestanding financial instrument similar to a derivative liability in the form of contingent forward contracts and recorded the initial valuation of $1,444.9 million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consolidated statements of operations and comprehensive loss.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included 535,275 shares offered to the CEO in April 2021. The offer to employees in the fourth closing to participate in future Series E convertible preferred stock financing represents a fully vested, equity classified award. The Company recorded the award’s full fair value on each recipient’s grant date as stock-based compensation, and derecognized the related contingent forward contract liability. The Company revalued the contingent forward contract liability for the remaining participants and recorded $454.5 million fair value remeasurement loss related to the contingent forward contract liability for the year ended December 31, 2021, with the final fair value of the contingent forward contract liability of $1.2 billion reclassified into Series E convertible preferred stock upon the fourth closing in April 2021. There was no related outstanding contingent forward contract liability as of December 31, 2021.</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Series E convertible preferred stock contingent forward contract liability for the third closing was determined using a forward payoff. The Company’s inputs used in determining the fair value on the issuance date and settlement date, were as follows:</w:t>
      </w:r>
    </w:p>
    <w:tbl>
      <w:tblPr>
        <w:tblW w:w="3227" w:type="dxa"/>
        <w:jc w:val="left"/>
        <w:tblInd w:w="0" w:type="dxa"/>
        <w:tblLayout w:type="fixed"/>
        <w:tblCellMar>
          <w:top w:w="28" w:type="dxa"/>
          <w:left w:w="28" w:type="dxa"/>
          <w:bottom w:w="28" w:type="dxa"/>
          <w:right w:w="28" w:type="dxa"/>
        </w:tblCellMar>
      </w:tblPr>
      <w:tblGrid>
        <w:gridCol w:w="754"/>
        <w:gridCol w:w="661"/>
        <w:gridCol w:w="669"/>
        <w:gridCol w:w="211"/>
        <w:gridCol w:w="616"/>
        <w:gridCol w:w="316"/>
      </w:tblGrid>
      <w:tr>
        <w:trPr/>
        <w:tc>
          <w:tcPr>
            <w:tcW w:w="75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Series E convertible preferred stock contingent forward contract liability for the fourth closing was determined using a forward and an option payoff. The Company’s inputs used in determining the fair value on the issuance date were as follows:</w:t>
      </w:r>
    </w:p>
    <w:tbl>
      <w:tblPr>
        <w:tblW w:w="5178" w:type="dxa"/>
        <w:jc w:val="left"/>
        <w:tblInd w:w="0" w:type="dxa"/>
        <w:tblLayout w:type="fixed"/>
        <w:tblCellMar>
          <w:top w:w="28" w:type="dxa"/>
          <w:left w:w="28" w:type="dxa"/>
          <w:bottom w:w="28" w:type="dxa"/>
          <w:right w:w="28" w:type="dxa"/>
        </w:tblCellMar>
      </w:tblPr>
      <w:tblGrid>
        <w:gridCol w:w="1463"/>
        <w:gridCol w:w="1282"/>
        <w:gridCol w:w="1290"/>
        <w:gridCol w:w="211"/>
        <w:gridCol w:w="616"/>
        <w:gridCol w:w="316"/>
      </w:tblGrid>
      <w:tr>
        <w:trPr/>
        <w:tc>
          <w:tcPr>
            <w:tcW w:w="146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Series E convertible preferred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Series E convertible preferred stock contingent forward contract liability for the fourth closing was determined as the difference between the Series E convertible preferred stock fair value and the purchase price. The Company estimated the fair value of each of the Series E convertible preferred stock on the settlement date by taking the closing price of Churchill’s Class A common stock on April 1, 2021 of $23.78 multiplied by the expected exchange ratio at the time, and discounted for lack of marketability.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CONVERTIBLE PREFERRED STOCK WARRANT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issued and outstanding convertible preferred stock warrants to purchase a total of 1,546,799 shares of Series D convertible preferred stock, with an exercise price of $1.94 per share were recorded at fair value using a Monte-Carlo simulation at issuance and have been subsequently remeasured to fair value each reporting period with the changes recorded in the consolidated statements of operations and comprehensive loss. In February 2021, all the outstanding convertible preferred stock warrants were settled in its entirety at an exercise price of $1.94 per share for an aggregate purchase price of $3.0 million. Upon final settlement, the Company converted the warrant into $12.9 million Series D convertible preferred stock, and recorded $7.0 million losses related to fair value remeasurements of the warrants in the consolidated statement of operations and comprehensive loss for the year ended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COMMON STOCK WARRANT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in connection with the reverse recapitalization treatment of the Merger, the Company effectively issued 44,350,000 Private Placement Warrants to purchase shares of Lucid’s common stock at an exercise price of $11.50. The Private Placement Warrants were initially recognized as a liability with a fair value of $812.0 million and was remeasured to fair value of $140.6 million as of December 31, 2022. The Private Placement Warrants remained unexercised and were remeasured to fair value of $53.7 million as of December 31, 2023. The Company recognized gains of $86.9 million and $1,254.2 million, and a loss of $582.8 million for the years ended December 31, 2023, 2022 and 2021, respectively, in the consolidated statements of operations and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44,350,000 Private Placement Warrants included the 14,783,333 Sponsor Earnback Warrants subject to the contingent forfeiture provisions. The earnback triggering events were satisfied during the year ended December 31, 2021 such that the 14,783,333 Sponsor Earnback Warrants vested and are no longer subject to the transfer restrictions and contingent forfeiture provisions. See Note 13 “Earnback Shares and Warrants” for more information.</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initially estimated the fair value of the Private Placement Warrants that were subject to the contingent forfeiture provisions using a Monte-Carlo simulation which estimates a distribution of potential outcomes over the earnback period related to the achievement of the volume-weighted average trading sale price (the “VWAP”) thresholds. The present value of the payoff in each simulation is calculated, and the fair value of the liability is determined by taking the average of all present values. The fair value of the Private Placement Warrants that were subject to the contingent forfeiture provisions were as follows:</w:t>
      </w:r>
    </w:p>
    <w:p>
      <w:pPr>
        <w:pStyle w:val="TextBody"/>
        <w:bidi w:val="0"/>
        <w:spacing w:before="0" w:after="0"/>
        <w:jc w:val="both"/>
        <w:rPr/>
      </w:pPr>
      <w:r>
        <w:rPr/>
      </w:r>
    </w:p>
    <w:tbl>
      <w:tblPr>
        <w:tblW w:w="6330" w:type="dxa"/>
        <w:jc w:val="left"/>
        <w:tblInd w:w="0" w:type="dxa"/>
        <w:tblLayout w:type="fixed"/>
        <w:tblCellMar>
          <w:top w:w="28" w:type="dxa"/>
          <w:left w:w="28" w:type="dxa"/>
          <w:bottom w:w="28" w:type="dxa"/>
          <w:right w:w="28" w:type="dxa"/>
        </w:tblCellMar>
      </w:tblPr>
      <w:tblGrid>
        <w:gridCol w:w="1880"/>
        <w:gridCol w:w="1652"/>
        <w:gridCol w:w="1658"/>
        <w:gridCol w:w="245"/>
        <w:gridCol w:w="716"/>
        <w:gridCol w:w="179"/>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23, 2021</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Tranche 1 with $20.00 VWAP threshold per share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Tranche 2 with $25.00 VWAP threshold per share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Tranche 3 with $30.00 VWAP threshold per share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Placement Warrants that are not subject to the contingent forfeiture provisions was estimated using a Black-Scholes option pricing model, and were as follows:</w:t>
      </w:r>
    </w:p>
    <w:p>
      <w:pPr>
        <w:pStyle w:val="TextBody"/>
        <w:bidi w:val="0"/>
        <w:spacing w:before="0" w:after="0"/>
        <w:jc w:val="both"/>
        <w:rPr/>
      </w:pPr>
      <w:r>
        <w:rPr/>
      </w:r>
    </w:p>
    <w:tbl>
      <w:tblPr>
        <w:tblW w:w="7867" w:type="dxa"/>
        <w:jc w:val="left"/>
        <w:tblInd w:w="0" w:type="dxa"/>
        <w:tblLayout w:type="fixed"/>
        <w:tblCellMar>
          <w:top w:w="28" w:type="dxa"/>
          <w:left w:w="28" w:type="dxa"/>
          <w:bottom w:w="28" w:type="dxa"/>
          <w:right w:w="28" w:type="dxa"/>
        </w:tblCellMar>
      </w:tblPr>
      <w:tblGrid>
        <w:gridCol w:w="1510"/>
        <w:gridCol w:w="1328"/>
        <w:gridCol w:w="1332"/>
        <w:gridCol w:w="109"/>
        <w:gridCol w:w="109"/>
        <w:gridCol w:w="109"/>
        <w:gridCol w:w="381"/>
        <w:gridCol w:w="922"/>
        <w:gridCol w:w="196"/>
        <w:gridCol w:w="109"/>
        <w:gridCol w:w="109"/>
        <w:gridCol w:w="109"/>
        <w:gridCol w:w="372"/>
        <w:gridCol w:w="901"/>
        <w:gridCol w:w="271"/>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Private Placement Warrants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in the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Black-Scholes option pricing models were as follows:</w:t>
      </w:r>
    </w:p>
    <w:tbl>
      <w:tblPr>
        <w:tblW w:w="5784" w:type="dxa"/>
        <w:jc w:val="left"/>
        <w:tblInd w:w="0" w:type="dxa"/>
        <w:tblLayout w:type="fixed"/>
        <w:tblCellMar>
          <w:top w:w="28" w:type="dxa"/>
          <w:left w:w="28" w:type="dxa"/>
          <w:bottom w:w="28" w:type="dxa"/>
          <w:right w:w="28" w:type="dxa"/>
        </w:tblCellMar>
      </w:tblPr>
      <w:tblGrid>
        <w:gridCol w:w="756"/>
        <w:gridCol w:w="662"/>
        <w:gridCol w:w="667"/>
        <w:gridCol w:w="109"/>
        <w:gridCol w:w="109"/>
        <w:gridCol w:w="109"/>
        <w:gridCol w:w="334"/>
        <w:gridCol w:w="334"/>
        <w:gridCol w:w="832"/>
        <w:gridCol w:w="109"/>
        <w:gridCol w:w="109"/>
        <w:gridCol w:w="109"/>
        <w:gridCol w:w="314"/>
        <w:gridCol w:w="314"/>
        <w:gridCol w:w="917"/>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 CONVERTIBLE PREFERRED STOCK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Upon the Closing of the Merger, the Company cancelled and converted all 1,155,909,367 shares of issued and outstanding convertible preferred stock into 1,155,909,367 shares of Lucid common stock based upon the conversion rate as calculated pursuant to Legacy Lucid’s memorandum and articles of association at the date and time that the Merger became effective. As of December 31, 2023 and 2022, there were no issued and outstanding shares of convertible preferred stock.</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2014 through April 2021, the Company had issued Series A, Series B, Series C, and Series D and Series E convertible preferred stock (“Series A,” “Series B,” “Series C,” “Series D,” “Series E,” respectively) (collectively, the “Convertible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was carried at its issuance price, net of issuance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Fifth Company Repurchase (Series B - December 2020)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22, 2020, the Company repurchased 3,525,332 Series B convertible preferred stock for a total of $3.0 million. The Company recognized $1.0 million in additional paid-in capital in the consolidated balance sheet as of December 31, 2020, related to the difference in fair value of the consideration payable and the $4.0 million aggregate carrying value of the Series B shares repurchased. As of the date of extinguishment and as of December 31, 2020, the Series B convertible preferred stock subject to repurchase had been mandatorily redeemable within 45 days of the agreement and accordingly had been reclassified to other current liabilities in the consolidated balance sheet.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Series E Convertible Preferred Stock Issuance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the Company and Ayar entered into Amendment No. 1 to the original Series E Preferred Stock Purchase Agreement (“Amendment No. 1”). Under the Amendment No. 1, Ayar and the Company agreed to enter into the third closing of additional 133,818,821 shares of Series E convertible preferred stock at $2.99 per share, aggregating to $400.0 million. Upon the signing of the Amendment No. 1, the Company received the issuance proceeds of $400.0 million from Ayar in February 2021.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The aggregate number of Series E Preferred Stock sold at the third closing and fourth closing would not exceed 200.7 million shares (“Extension Amount”). Ayar committed to purchase the entire Extension Amount to the extent not subscribed by Eligible Holders or Additional Purchasers.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issued 66,909,408 Series E convertible preferred stock from the fourth closing at $2.99 per share for cash consideration of $200.0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includes 535,275 shares offered to the CEO in April 2021. The offer to employees to participate in a future Series E convertible preferred stock financing represented a fully vested, equity classified award. The excess of the award’s fair value over the purchase price of $123.6 million on each recipient’s grant date during the year ended December 31, 2021 was recorded as stock-based compensation.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Along with the execution of Amendment No. 1, the Company also increased the authorized number of common shares and convertible preferred stock to 1,316,758,889 and 1,155,909,398 stock,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 STOCKHOLDERS’ EQUITY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authorized the issuance of 10,000,000 shares of undesignated preferred stock with a par value of $0.0001 per share with rights and preferences, including voting rights, designated from time-to-time by the Board of Directors. As of December 31, 2023 and 2022, there were no issued and outstanding shares of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Common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in connection with the reverse recapitalization treatment of the Merger, the Company effectively issued 425,395,023 new shares of common stock upon the Closing. The Company also converted all 1,155,909,367 shares of its issued and outstanding convertible preferred stock into 1,155,909,367 new shares of common stock as of the Closing of the Merger based upon the conversion rate as calculated pursuant to Legacy Lucid’s memorandum and articles of association. Immediately following the Merger, there were 1,618,621,534 shares of common stock outstanding with a par value of $0.0001. The holder of each share of common stock is entitled to one vote.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2022, the Company entered into the Equity Distribution Agreement with BofA Securities, Inc., Barclays Capital Inc. and Citigroup Global Markets Inc., under which the Company could offer and sell shares of its common stock having an aggregate offering price up to $600.0 million. During the year ended December 31, 2022, the Company issued 56,203,334 shares at a weighted average price per share of $10.68 and received net proceeds of $594.3 million after deducting commissions and other issuance costs of $5.7 million. No shares remain available for sale under the Equity Distribution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8, 2022, the Company also entered into the 2022 Subscription Agreement, pursuant to which Ayar agreed to purchase from the Company, up to $915.0 million of shares of its common stock in one or more private placements through March 31, 2023. During the year ended December 31, 2022, the Company issued 85,712,679 shares to Ayar pursuant to the 2022 Subscription Agreement at a weighted average price per share of $10.68, and received aggregate proceeds of $915.0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the Underwriting Agreement with the Underwriter, under which the Underwriter agreed to purchase 173,544,948 shares of the Company’s common stock at a price per share of $6.83, for aggregate net proceeds to the Company of $1.2 billion. In June 2023, the Company issued the shares to the Underwriter pursuant to the Underwriting Agreement and received aggregate net proceeds of $1.2 billion after deducting issuance costs of $1.1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the 2023 Subscription Agreement with Ayar, pursuant to which Ayar agreed to purchase from the Company 265,693,703 shares of the Company’s common stock at a price per share of $6.83 in a private placement for aggregate net proceeds to the Company of $1.8 billion. In June 2023, the Company issued the shares to Ayar pursuant to the 2023 Subscription Agreement and received aggregate net proceeds of $1.8 billion after deducting issuance costs of $2.0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Issuance costs incurred were recorded as a reduction of the gross proceeds received from the equity offerings within additional paid-in capital in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 Warrants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in connection with the reverse recapitalization treatment of the Merger, the Company effectively issued 41,400,000 publicly-traded warrants to purchase shares of its common stock. Each whole warrant entitled the holder to purchase one share of the Company’s common stock at a price of $11.50 per share. The Public Warrants were exercisable as of August 22, 2021 and expire on July 23, 2026, if not yet exercised by the holder or redeemed by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an aggregate of 41,034,197 Public Warrants were exercised, of which 25,966,976 were exercised on a cashless basis. The aggregate cash proceeds received from the exercise of these Public Warrants were $173.3 million. The Company redeemed the remaining 365,803 Public Warrants that were not exercised by the holders at a redemption price of $0.01 per warrant.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of the Company’s issued and outstanding Public Warrants was as follows:</w:t>
      </w:r>
    </w:p>
    <w:tbl>
      <w:tblPr>
        <w:tblW w:w="7207" w:type="dxa"/>
        <w:jc w:val="left"/>
        <w:tblInd w:w="0" w:type="dxa"/>
        <w:tblLayout w:type="fixed"/>
        <w:tblCellMar>
          <w:top w:w="28" w:type="dxa"/>
          <w:left w:w="28" w:type="dxa"/>
          <w:bottom w:w="28" w:type="dxa"/>
          <w:right w:w="28" w:type="dxa"/>
        </w:tblCellMar>
      </w:tblPr>
      <w:tblGrid>
        <w:gridCol w:w="2020"/>
        <w:gridCol w:w="1777"/>
        <w:gridCol w:w="1783"/>
        <w:gridCol w:w="576"/>
        <w:gridCol w:w="579"/>
        <w:gridCol w:w="472"/>
      </w:tblGrid>
      <w:tr>
        <w:trPr/>
        <w:tc>
          <w:tcPr>
            <w:tcW w:w="202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 issued in connection with Merger on July 23, 2021</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41,400,000 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Public Warrants exercised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(41,034,197)</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 redeemed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(365,803)</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Public Warrants as of December 31, 2021</w:t>
            </w:r>
          </w:p>
        </w:tc>
        <w:tc>
          <w:tcPr>
            <w:tcW w:w="11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Treasury Stock</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repurchased an aggregate of 857,825 shares of its common stock, including 712,742 shares from certain employees and 145,083 shares from Board of Directors of the Company’s predecessor, Atieva, Inc. at $24.15 per share. No common stock was repurchased during the years ended December 31, 2023 and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Common Stock Reserved for Issuance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reserved for future issuances as of December 31, 2023 was as follows:</w:t>
      </w:r>
    </w:p>
    <w:tbl>
      <w:tblPr>
        <w:tblW w:w="6203" w:type="dxa"/>
        <w:jc w:val="left"/>
        <w:tblInd w:w="0" w:type="dxa"/>
        <w:tblLayout w:type="fixed"/>
        <w:tblCellMar>
          <w:top w:w="28" w:type="dxa"/>
          <w:left w:w="28" w:type="dxa"/>
          <w:bottom w:w="28" w:type="dxa"/>
          <w:right w:w="28" w:type="dxa"/>
        </w:tblCellMar>
      </w:tblPr>
      <w:tblGrid>
        <w:gridCol w:w="1646"/>
        <w:gridCol w:w="1447"/>
        <w:gridCol w:w="1452"/>
        <w:gridCol w:w="592"/>
        <w:gridCol w:w="594"/>
        <w:gridCol w:w="472"/>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32,911,135 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64,005,564 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grants under equity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18,326,354 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196,330,838 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13 – EARNBACK SHARES AND WARRANTS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between the Closing and the five-year anniversary of the Closing, the Churchill Sponsor has subjected the 17,250,000 Sponsor Earnback Shares of issued and outstanding common stock and 14,783,333 Sponsor Earnback Warrants of issued and outstanding Private Placement Warrants to potential forfeiture to Lucid for no consideration until the occurrence of each tranche’s respective earnback triggering event. The earnback triggering events related to achieving a volume-weighted average trading sale price greater than or equal to $20.00, $25.00, and $30.00, respectively, for any 40 trading days within any 60 consecutive trading day period were satisfied during the year ended December 31, 2021. As a result, the 17,250,000 Sponsor Earnback Shares of issued and outstanding common stock and 14,783,333 Sponsor Earnback Warrants of issued and outstanding Private Placement Warrants were vested and no longer subject to the transfer restrictions and contingent forfeiture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14 – STOCK-BASED AWARDS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Legacy Lucid 2021 Stock Incentive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Company’s Board of Directors adopted and the stockholders approved the 2021 Stock Incentive Plan (the “2021 Plan”). The 2021 Plan replaced the Company’s 2014 Plan, adopted by the Board of Directors in May 2014 (the “2014 Plan”). The 10,526,235 shares reserved for future issuance under the 2014 Plan were removed and added to the share reserve under the 2021 Plan. The 2021 Plan provided for the grant of incentive stock options, non-statutory stock options, restricted shares, RSU, share appreciation rights, performance-based awards and cash-based awards to the Company’s employees, directors, and consultants.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Lucid 2021 Stock Incentive Plan and ESPP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2021, the Company’s Board of Directors adopted and the stockholders approved the 2021 Incentive Plan (the “2021 Incentive Plan”), which includes an ESPP as an addendum. The 2021 Incentive Plan replaced the 2021 Plan. The 2021 Incentive Plan provides for the grant of restricted shares, non-qualified stock options, incentive stock options, unrestricted shares, stock appreciation rights, restricted stock units and cash awards. Shares of common stock underlying awards that are forfeited or cancelled generally are returned to the pool of shares available for issuance under the 2021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18,326,354 shares of common stock available for issuance under the 2021 Incentive Plan, including the ESPP, as of December 31,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stock options generally expire between 7 years to 10 years from the date of grant and are exercisable when the options vest. Incentive stock options and non-statutory options generally vest over four years, the majority of which vest at a rate of 25% on the first anniversary of the grant date, with the remainder vesting ratably each month over the next three years. A summary of stock option activity for the year ended December 31, 2023 was as follows:</w:t>
      </w:r>
    </w:p>
    <w:tbl>
      <w:tblPr>
        <w:tblW w:w="10205" w:type="dxa"/>
        <w:jc w:val="left"/>
        <w:tblInd w:w="0" w:type="dxa"/>
        <w:tblLayout w:type="fixed"/>
        <w:tblCellMar>
          <w:top w:w="28" w:type="dxa"/>
          <w:left w:w="28" w:type="dxa"/>
          <w:bottom w:w="28" w:type="dxa"/>
          <w:right w:w="28" w:type="dxa"/>
        </w:tblCellMar>
      </w:tblPr>
      <w:tblGrid>
        <w:gridCol w:w="965"/>
        <w:gridCol w:w="848"/>
        <w:gridCol w:w="850"/>
        <w:gridCol w:w="540"/>
        <w:gridCol w:w="541"/>
        <w:gridCol w:w="343"/>
        <w:gridCol w:w="109"/>
        <w:gridCol w:w="109"/>
        <w:gridCol w:w="109"/>
        <w:gridCol w:w="389"/>
        <w:gridCol w:w="943"/>
        <w:gridCol w:w="200"/>
        <w:gridCol w:w="109"/>
        <w:gridCol w:w="109"/>
        <w:gridCol w:w="109"/>
        <w:gridCol w:w="793"/>
        <w:gridCol w:w="793"/>
        <w:gridCol w:w="794"/>
        <w:gridCol w:w="109"/>
        <w:gridCol w:w="109"/>
        <w:gridCol w:w="109"/>
        <w:gridCol w:w="215"/>
        <w:gridCol w:w="845"/>
        <w:gridCol w:w="165"/>
      </w:tblGrid>
      <w:tr>
        <w:trPr/>
        <w:tc>
          <w:tcPr>
            <w:tcW w:w="96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2"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Options</w:t>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Intrinsic Value </w:t>
            </w:r>
          </w:p>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39,011,116 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4,829,886 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(9,003,642)</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(1,926,225)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32,911,135 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as of December 31, 2023</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26,806,933 </w:t>
            </w:r>
          </w:p>
        </w:tc>
        <w:tc>
          <w:tcPr>
            <w:tcW w:w="3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for options granted for the year ended December 31, 2023 is $3.61. Aggregate intrinsic value represents the difference between the exercise price of the options and the fair value of common shares. The aggregate intrinsic value of options exercised was $50.1 million, $475.5 million and $206.7 million for the years ended December 31, 2023, 2022 and 2021,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fair value of stock options granted during the years ended December 31, 2023 and 2021 was $17.4 million and $24.0 million, respectively, which is recognized over the respective vesting periods. No stock options were granted during the year ended December 31, 2022. The total fair value of stock options vested during the years ended December 31, 2023, 2022 and 2021, was $5.4 million, $5.5 million and $6.2 million,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the options utilizing the Black-Scholes option pricing model, which is dependent upon several variables, including expected option term, expected volatility of the Company’s share price over the expected term, expected risk-free interest rate over the expected option term, and expected dividend yield rate over the expected option term, and actual forfeiture rates. A summary of the weighted-average assumptions the Company utilized to record compensation expense for stock options granted during the years ended December 31, 2023 and 2021 was as follows:</w:t>
      </w:r>
    </w:p>
    <w:tbl>
      <w:tblPr>
        <w:tblW w:w="4718" w:type="dxa"/>
        <w:jc w:val="left"/>
        <w:tblInd w:w="0" w:type="dxa"/>
        <w:tblLayout w:type="fixed"/>
        <w:tblCellMar>
          <w:top w:w="28" w:type="dxa"/>
          <w:left w:w="28" w:type="dxa"/>
          <w:bottom w:w="28" w:type="dxa"/>
          <w:right w:w="28" w:type="dxa"/>
        </w:tblCellMar>
      </w:tblPr>
      <w:tblGrid>
        <w:gridCol w:w="756"/>
        <w:gridCol w:w="662"/>
        <w:gridCol w:w="667"/>
        <w:gridCol w:w="255"/>
        <w:gridCol w:w="256"/>
        <w:gridCol w:w="607"/>
        <w:gridCol w:w="109"/>
        <w:gridCol w:w="109"/>
        <w:gridCol w:w="109"/>
        <w:gridCol w:w="255"/>
        <w:gridCol w:w="256"/>
        <w:gridCol w:w="677"/>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pPr>
      <w:r>
        <w:rPr>
          <w:rFonts w:ascii="Times New Roman;sans-serif" w:hAnsi="Times New Roman;sans-serif"/>
          <w:b w:val="false"/>
          <w:color w:val="000000"/>
          <w:sz w:val="20"/>
        </w:rPr>
        <w:t>As of December 31, 2023, unrecognized stock-based compensation cost related to outstanding unvested stock options that are expected to vest was $15.1 million, which i</w:t>
      </w:r>
      <w:r>
        <w:rPr>
          <w:rFonts w:ascii="Times New Roman;sans-serif" w:hAnsi="Times New Roman;sans-serif"/>
          <w:b w:val="false"/>
          <w:color w:val="242424"/>
          <w:sz w:val="20"/>
        </w:rPr>
        <w:t xml:space="preserve">s expected to be recognized over a weighted-average period of </w:t>
      </w:r>
      <w:r>
        <w:rPr>
          <w:rFonts w:ascii="Times New Roman;sans-serif" w:hAnsi="Times New Roman;sans-serif"/>
          <w:b w:val="false"/>
          <w:color w:val="000000"/>
          <w:sz w:val="20"/>
        </w:rPr>
        <w:t>3.2</w:t>
      </w:r>
      <w:r>
        <w:rPr>
          <w:color w:val="242424"/>
        </w:rPr>
        <w:t xml:space="preserve"> </w:t>
      </w:r>
      <w:r>
        <w:rPr>
          <w:rFonts w:ascii="Times New Roman;sans-serif" w:hAnsi="Times New Roman;sans-serif"/>
          <w:b w:val="false"/>
          <w:color w:val="242424"/>
          <w:sz w:val="20"/>
        </w:rPr>
        <w:t>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RSUs activity for the year ended December 31, 2023 was as follows:</w:t>
      </w:r>
    </w:p>
    <w:tbl>
      <w:tblPr>
        <w:tblW w:w="10205" w:type="dxa"/>
        <w:jc w:val="left"/>
        <w:tblInd w:w="0" w:type="dxa"/>
        <w:tblLayout w:type="fixed"/>
        <w:tblCellMar>
          <w:top w:w="28" w:type="dxa"/>
          <w:left w:w="28" w:type="dxa"/>
          <w:bottom w:w="28" w:type="dxa"/>
          <w:right w:w="28" w:type="dxa"/>
        </w:tblCellMar>
      </w:tblPr>
      <w:tblGrid>
        <w:gridCol w:w="748"/>
        <w:gridCol w:w="657"/>
        <w:gridCol w:w="659"/>
        <w:gridCol w:w="562"/>
        <w:gridCol w:w="564"/>
        <w:gridCol w:w="407"/>
        <w:gridCol w:w="109"/>
        <w:gridCol w:w="109"/>
        <w:gridCol w:w="109"/>
        <w:gridCol w:w="601"/>
        <w:gridCol w:w="601"/>
        <w:gridCol w:w="602"/>
        <w:gridCol w:w="109"/>
        <w:gridCol w:w="109"/>
        <w:gridCol w:w="109"/>
        <w:gridCol w:w="562"/>
        <w:gridCol w:w="564"/>
        <w:gridCol w:w="272"/>
        <w:gridCol w:w="109"/>
        <w:gridCol w:w="109"/>
        <w:gridCol w:w="109"/>
        <w:gridCol w:w="520"/>
        <w:gridCol w:w="1518"/>
        <w:gridCol w:w="387"/>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38,570,298 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2,090,140 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40,660,438 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44,809,648 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7,896,791 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52,706,439 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(19,620,735)</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(19,620,735)</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(9,059,472)</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(681,106)</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(9,740,578)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54,699,739 </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9,305,825 </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64,005,564 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Time-based RSUs granted prior to the Closing of Merger are subject to both performance-based and service-based vesting conditions. The performance condition was satisfied upon the Closing of the Merger, and the service condition will be met generally over 4.0 years. The Company granted 13,834,748 shares of the time-based RSUs to the CEO that will vest in sixteen equal quarterly installments, beginning on December 5, 2021, and are subject to continuous employment. The service condition for 25% of the Company’s non-CEO RSUs granted prior to the Closing of Merger was satisfied 375 days after the Closing. The remaining RSUs will be satisfied in equal quarterly installments thereafter, subject to continuous employment. The Company recognizes compensation expense for these time-based RSUs on a graded vesting schedule over the requisite vesting period. Fair value of these time-based RSUs was measured using the fair value of the Company’s common stock on the date of the grant, as based on the market price of Churchill’s stock adjusted for the expected exchange ratio at the time, and discounted for lack of marketability.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Time-based RSUs granted subsequent to the Closing of Merger are only subject to service-based vesting conditions and the compensation expense is recognized on a straight-line basis over the requisite service period. The fair value of these time-based RSUs granted after the Closing of the Merger was measured using the fair value of the Company’s common stock on the date of the grant.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unrecognized stock-based compensation cost related to outstanding unvested time-based RSUs that are expected to vest was $444.3 million, which is expected to be recognized over a weighted-average period of 2.1 years. The total fair value of time-based RSUs vested during the years ended December 31, 2023, 2022, and 2021 was $121.1 million, $190.9 million, and $50.5 million,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Company granted performance-based RSUs to the CEO and they are subject to performance and market conditions. The performance condition was satisfied upon the closing of the Merger. The market conditions will be satisfied and vest in five tranches based on the achievement of market capitalization goals applicable to each tranche over a six-month period subject to the CEO’s continuous employment through the applicable vesting date. Any CEO performance-based RSUs that have not vested within five years after the Closing will be forfeited. The fair value of these performance-based RSUs was measured on the grant date, March 27, 2021, using a Monte Carlo simulation model, with the following assumptions:</w:t>
      </w:r>
    </w:p>
    <w:tbl>
      <w:tblPr>
        <w:tblW w:w="3227" w:type="dxa"/>
        <w:jc w:val="left"/>
        <w:tblInd w:w="0" w:type="dxa"/>
        <w:tblLayout w:type="fixed"/>
        <w:tblCellMar>
          <w:top w:w="28" w:type="dxa"/>
          <w:left w:w="28" w:type="dxa"/>
          <w:bottom w:w="28" w:type="dxa"/>
          <w:right w:w="28" w:type="dxa"/>
        </w:tblCellMar>
      </w:tblPr>
      <w:tblGrid>
        <w:gridCol w:w="870"/>
        <w:gridCol w:w="762"/>
        <w:gridCol w:w="768"/>
        <w:gridCol w:w="255"/>
        <w:gridCol w:w="256"/>
        <w:gridCol w:w="316"/>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expense using a graded vesting attribution method over the derived service period for the CEO performance-based awards. Stock-based compensation expense is recognized when the relevant performance condition is considered probable of achievement for the performance-based award. During the year ended December 31, 2022, the market condition was met for the CEO performance-based awards for four of the five tranches and certified by the Board of Directors, representing an aggregate of 13,934,271 performance RSUs. The Company recorded stock-based compensation expense of $85.4 million during the year ended December 31, 2022. The unamortized expense of $8.2 million as of December 31, 2022 for the fifth tranche, representing 2,090,140 RSUs, was fully recognized during the year ended December 31, 2023. There were no performance-based RSUs vested for the years ended December 31, 2023 and 2021. The total fair value of performance-based RSUs vested during the year ended December 31, 2022 was $315.3 million. For the years ended December 31, 2023 and 2022, the Company withheld 1.9 million and 9.4 million shares, respectively, of common stock by net settlement to meet the related tax withholding requirements related to the CEO time-based and performance-based RSUs, and nil for the year ended December 31, 2021.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granted performance-based RSUs to certain employees. Performance-based RSUs granted to certain employees are subject to (i) annual corporate performance conditions and individual performance and (ii) a service condition which will be met generally over 3 years. The number of awards granted represents 100% of the target goal. Under the terms of the awards, the recipient may earn between 0% to 150% of the original number of grants based on actual achievement of corporate performance goals and individual performance. Stock-based compensation expense is recognized when the relevant performance condition is considered probable of achievement for the performance-based award. During the year ended December 31, 2023, the Company recorded stock-based compensation expenses of $7.9 million related to these performance-based RSUs. As of December 31, 2023, the unamortized expense for the performance-based RSUs was $13.5 million, which will be recognized over a weighted-average period of 1.3 years contingent upon realization of the corporate performance conditions and individual performance.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 (“ESPP”)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market value of our common stock on the purchase date is lower than the market value at the beginning of the offering period, the ongoing offering terminates immediately following the purchase of ESPP shares on the purchase date and participants in the terminated offering are automatically enrolled in the new offering resulting in a reset of the offering price and a modification charge to be recognized over the new offering period. During the years ended December 31, 2023 and 2022, there were two ESPP resets that resulted in modification charges of $23.2 million and $19.9 million, respectively, which are being recognized until the new offering period ending in November 2025.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issued 4,748,875 and 2,106,158 shares at a weighted-average price of $5.02 and $11.66 for the years ended December 31, 2023 and 2022, respectively. No shares were issued during the year ended December 31, 2021. As of December 31, 2023, unrecognized stock-based compensation cost related to the ESPP was $37.5 million, which is expected to be recognized over a weighted-average period of 1.9 years.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employee and nonemployee stock-based compensation expense for the years ended December 31, 2023, 2022 and 2021, was classified in the consolidated statements of operations and comprehensive loss as follows (in thousands):</w:t>
      </w:r>
    </w:p>
    <w:tbl>
      <w:tblPr>
        <w:tblW w:w="7091" w:type="dxa"/>
        <w:jc w:val="left"/>
        <w:tblInd w:w="0" w:type="dxa"/>
        <w:tblLayout w:type="fixed"/>
        <w:tblCellMar>
          <w:top w:w="28" w:type="dxa"/>
          <w:left w:w="28" w:type="dxa"/>
          <w:bottom w:w="28" w:type="dxa"/>
          <w:right w:w="28" w:type="dxa"/>
        </w:tblCellMar>
      </w:tblPr>
      <w:tblGrid>
        <w:gridCol w:w="1068"/>
        <w:gridCol w:w="941"/>
        <w:gridCol w:w="945"/>
        <w:gridCol w:w="211"/>
        <w:gridCol w:w="826"/>
        <w:gridCol w:w="109"/>
        <w:gridCol w:w="109"/>
        <w:gridCol w:w="109"/>
        <w:gridCol w:w="109"/>
        <w:gridCol w:w="211"/>
        <w:gridCol w:w="826"/>
        <w:gridCol w:w="109"/>
        <w:gridCol w:w="109"/>
        <w:gridCol w:w="109"/>
        <w:gridCol w:w="109"/>
        <w:gridCol w:w="211"/>
        <w:gridCol w:w="82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stock-based compensation expense capitalized as part of the cost of inventory was $43.3 million. Total stock-based compensation expense for the year ended December 31, 2021 included $383.2 million stock-based compensation expense related to the RSUs and $123.6 million stock-based compensation expense related to the Series E convertible preferred stock issuance in March 2021 and April 2021. Refer to Note 8 “Contingent Forward Contracts” and Note 11 “Convertible Preferred Stock”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15 –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various non-cancellable operating and finance lease agreements for certain of the Company’s offices, manufacturing and warehouse facilities, retail and service locations, equipment and vehicles, worldwide. The Company has determined if an arrangement is a lease, or contains a lease, including embedded leases, at inception and records the leases in the Company’s financial statements upon lease commencement, which is the date when the underlying asset is made available for use by the lessor.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expense for operating lease payments is recognized on a straight-line basis over the lease term. Our assessed lease terms may include options to extend or terminate the lease when it is reasonably certain that the Company will exercise that option. Certain operating leases provide for annual increases to lease payments based on an index or rate. The Company estimates the annual increase in lease payments based on the index or rate at the lease commencement date. Differences between the estimated lease payment and actual payment are expensed as incurred. Lease expense for finance lease payments is recognized as amortization expense of the finance lease ROU asset and interest expense on the finance lease liability over the lease term.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December 31, 2023 and 2022, assets associated with the finance lease were $79.3 million. As of December 31, 2023 and 2022, liabilities associated with the finance lease were $80.6 million and $81.1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long-term liabilities in the consolidated balance sheets as of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for the operating and finance leases where the Company is the lessee are presented as follows within the Company’s consolidated balance sheets (in thousands):</w:t>
      </w:r>
    </w:p>
    <w:tbl>
      <w:tblPr>
        <w:tblW w:w="6518" w:type="dxa"/>
        <w:jc w:val="left"/>
        <w:tblInd w:w="0" w:type="dxa"/>
        <w:tblLayout w:type="fixed"/>
        <w:tblCellMar>
          <w:top w:w="28" w:type="dxa"/>
          <w:left w:w="28" w:type="dxa"/>
          <w:bottom w:w="28" w:type="dxa"/>
          <w:right w:w="28" w:type="dxa"/>
        </w:tblCellMar>
      </w:tblPr>
      <w:tblGrid>
        <w:gridCol w:w="1398"/>
        <w:gridCol w:w="1225"/>
        <w:gridCol w:w="1231"/>
        <w:gridCol w:w="211"/>
        <w:gridCol w:w="826"/>
        <w:gridCol w:w="109"/>
        <w:gridCol w:w="109"/>
        <w:gridCol w:w="109"/>
        <w:gridCol w:w="109"/>
        <w:gridCol w:w="211"/>
        <w:gridCol w:w="82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within the Company’s consolidated statements of operations and comprehensive loss (in thousands):</w:t>
      </w:r>
    </w:p>
    <w:tbl>
      <w:tblPr>
        <w:tblW w:w="6296" w:type="dxa"/>
        <w:jc w:val="left"/>
        <w:tblInd w:w="0" w:type="dxa"/>
        <w:tblLayout w:type="fixed"/>
        <w:tblCellMar>
          <w:top w:w="28" w:type="dxa"/>
          <w:left w:w="28" w:type="dxa"/>
          <w:bottom w:w="28" w:type="dxa"/>
          <w:right w:w="28" w:type="dxa"/>
        </w:tblCellMar>
      </w:tblPr>
      <w:tblGrid>
        <w:gridCol w:w="896"/>
        <w:gridCol w:w="786"/>
        <w:gridCol w:w="792"/>
        <w:gridCol w:w="211"/>
        <w:gridCol w:w="721"/>
        <w:gridCol w:w="109"/>
        <w:gridCol w:w="109"/>
        <w:gridCol w:w="109"/>
        <w:gridCol w:w="109"/>
        <w:gridCol w:w="211"/>
        <w:gridCol w:w="721"/>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expense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Excluded short-term leases, which were not material.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where the Company is the lessee was as follows:</w:t>
      </w:r>
    </w:p>
    <w:tbl>
      <w:tblPr>
        <w:tblW w:w="7267" w:type="dxa"/>
        <w:jc w:val="left"/>
        <w:tblInd w:w="0" w:type="dxa"/>
        <w:tblLayout w:type="fixed"/>
        <w:tblCellMar>
          <w:top w:w="28" w:type="dxa"/>
          <w:left w:w="28" w:type="dxa"/>
          <w:bottom w:w="28" w:type="dxa"/>
          <w:right w:w="28" w:type="dxa"/>
        </w:tblCellMar>
      </w:tblPr>
      <w:tblGrid>
        <w:gridCol w:w="1603"/>
        <w:gridCol w:w="1408"/>
        <w:gridCol w:w="1413"/>
        <w:gridCol w:w="308"/>
        <w:gridCol w:w="308"/>
        <w:gridCol w:w="607"/>
        <w:gridCol w:w="109"/>
        <w:gridCol w:w="109"/>
        <w:gridCol w:w="109"/>
        <w:gridCol w:w="308"/>
        <w:gridCol w:w="308"/>
        <w:gridCol w:w="677"/>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where the Company is the lessee was as follows (in thousands):</w:t>
      </w:r>
    </w:p>
    <w:tbl>
      <w:tblPr>
        <w:tblW w:w="9882" w:type="dxa"/>
        <w:jc w:val="left"/>
        <w:tblInd w:w="0" w:type="dxa"/>
        <w:tblLayout w:type="fixed"/>
        <w:tblCellMar>
          <w:top w:w="28" w:type="dxa"/>
          <w:left w:w="28" w:type="dxa"/>
          <w:bottom w:w="28" w:type="dxa"/>
          <w:right w:w="28" w:type="dxa"/>
        </w:tblCellMar>
      </w:tblPr>
      <w:tblGrid>
        <w:gridCol w:w="2196"/>
        <w:gridCol w:w="1927"/>
        <w:gridCol w:w="1937"/>
        <w:gridCol w:w="211"/>
        <w:gridCol w:w="721"/>
        <w:gridCol w:w="109"/>
        <w:gridCol w:w="109"/>
        <w:gridCol w:w="109"/>
        <w:gridCol w:w="109"/>
        <w:gridCol w:w="211"/>
        <w:gridCol w:w="721"/>
        <w:gridCol w:w="109"/>
        <w:gridCol w:w="109"/>
        <w:gridCol w:w="109"/>
        <w:gridCol w:w="109"/>
        <w:gridCol w:w="211"/>
        <w:gridCol w:w="72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 (interest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finance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maturities of the Company’s operating and finance lease liabilities (excluding short-term leases) were as follows (in thousands):</w:t>
      </w:r>
    </w:p>
    <w:tbl>
      <w:tblPr>
        <w:tblW w:w="6176" w:type="dxa"/>
        <w:jc w:val="left"/>
        <w:tblInd w:w="0" w:type="dxa"/>
        <w:tblLayout w:type="fixed"/>
        <w:tblCellMar>
          <w:top w:w="28" w:type="dxa"/>
          <w:left w:w="28" w:type="dxa"/>
          <w:bottom w:w="28" w:type="dxa"/>
          <w:right w:w="28" w:type="dxa"/>
        </w:tblCellMar>
      </w:tblPr>
      <w:tblGrid>
        <w:gridCol w:w="1177"/>
        <w:gridCol w:w="1032"/>
        <w:gridCol w:w="1046"/>
        <w:gridCol w:w="251"/>
        <w:gridCol w:w="984"/>
        <w:gridCol w:w="129"/>
        <w:gridCol w:w="109"/>
        <w:gridCol w:w="109"/>
        <w:gridCol w:w="109"/>
        <w:gridCol w:w="239"/>
        <w:gridCol w:w="817"/>
        <w:gridCol w:w="174"/>
      </w:tblGrid>
      <w:tr>
        <w:trPr/>
        <w:tc>
          <w:tcPr>
            <w:tcW w:w="117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397,490 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obligations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272,553 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lease obligations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entered into additional leases for facilities and equipment that have not yet commenced with undiscounted future lease payments of $11.5 million. The leases are expected to commence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16 - COMMITMENTS AND 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$270.2 million and $593.9 million, respectively, in commitments related to AMP-1 and AMP-2 plant and equipment. These commitments represent future expected payments on open purchase orders entered into as of December 31, 2023 and 2022.</w:t>
      </w:r>
    </w:p>
    <w:p>
      <w:pPr>
        <w:pStyle w:val="TextBody"/>
        <w:bidi w:val="0"/>
        <w:spacing w:lineRule="auto" w:line="288" w:before="240" w:after="283"/>
        <w:jc w:val="left"/>
        <w:rPr/>
      </w:pPr>
      <w:r>
        <w:rPr>
          <w:rFonts w:ascii="Times New Roman;sans-serif" w:hAnsi="Times New Roman;sans-serif"/>
          <w:b w:val="false"/>
          <w:color w:val="000000"/>
          <w:sz w:val="22"/>
        </w:rPr>
        <w:t>T</w:t>
      </w:r>
      <w:r>
        <w:rPr>
          <w:rFonts w:ascii="Times New Roman;sans-serif" w:hAnsi="Times New Roman;sans-serif"/>
          <w:b w:val="false"/>
          <w:color w:val="000000"/>
          <w:sz w:val="20"/>
        </w:rPr>
        <w:t>he Company’s non-cancellable long-term commitments primarily related to certain inventory component purchases. The estimated future payments having a remaining term in excess of one year as of December 31, 2023 were as follows (in thousands):</w:t>
      </w:r>
    </w:p>
    <w:tbl>
      <w:tblPr>
        <w:tblW w:w="3606" w:type="dxa"/>
        <w:jc w:val="left"/>
        <w:tblInd w:w="0" w:type="dxa"/>
        <w:tblLayout w:type="fixed"/>
        <w:tblCellMar>
          <w:top w:w="28" w:type="dxa"/>
          <w:left w:w="28" w:type="dxa"/>
          <w:bottom w:w="28" w:type="dxa"/>
          <w:right w:w="28" w:type="dxa"/>
        </w:tblCellMar>
      </w:tblPr>
      <w:tblGrid>
        <w:gridCol w:w="821"/>
        <w:gridCol w:w="720"/>
        <w:gridCol w:w="724"/>
        <w:gridCol w:w="211"/>
        <w:gridCol w:w="976"/>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Minimum</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w:t>
            </w:r>
          </w:p>
          <w:p>
            <w:pPr>
              <w:pStyle w:val="TableContents"/>
              <w:bidi w:val="0"/>
              <w:spacing w:lineRule="auto" w:line="240" w:before="0" w:after="0"/>
              <w:jc w:val="center"/>
              <w:rPr/>
            </w:pPr>
            <w:r>
              <w:rPr>
                <w:rFonts w:ascii="Times New Roman;sans-serif" w:hAnsi="Times New Roman;sans-serif"/>
                <w:b/>
                <w:color w:val="000000"/>
                <w:sz w:val="16"/>
              </w:rPr>
              <w:t>Commitment</w:t>
            </w:r>
            <w:r>
              <w:rPr>
                <w:rFonts w:ascii="Times New Roman;sans-serif" w:hAnsi="Times New Roman;sans-serif"/>
                <w:b/>
                <w:color w:val="000000"/>
                <w:sz w:val="10"/>
              </w:rPr>
              <w:t>(1)</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Included minimum purchase commitment of approximately $4.9 billion of battery cells from Panasonic Energy Co., Ltd. and certain of its affiliates.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time-to-time,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District Court granted defendants’ motion to dismiss on January 11, 2023, with plaintiffs being provided the ability to seek leave to amend. On June 29, 2023, the District Court denied plaintiff’s motion for leave to amend, dismissed the lawsuit and terminated the case. On July 28, 2023, plaintiffs appealed the District Court’s decisions to the Ninth Circuit Court of Appeals. Currently, the parties are litigating the case on appeal.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 2021, the Company received a subpoena from the SEC requesting the production of certain documents related to an investigation by the SEC related to the business combination between the Company (f/k/a Churchill Capital Corp IV) and Legacy Lucid and certain projections and statements. The Company responded and fully cooperated with the SEC in its review. On April 27, 2023, SEC staff informed the Company that the SEC has concluded this matter and it does not intend to recommend an enforcement action by the SEC against the Company.</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w:t>
      </w:r>
      <w:r>
        <w:rPr>
          <w:rFonts w:ascii="Times New Roman;sans-serif" w:hAnsi="Times New Roman;sans-serif"/>
          <w:b w:val="false"/>
          <w:i/>
          <w:color w:val="000000"/>
          <w:sz w:val="20"/>
        </w:rPr>
        <w:t>Zsata Williams-Spinks v. Peter Rawlinson, et al.</w:t>
      </w:r>
      <w:r>
        <w:rPr>
          <w:rFonts w:ascii="Times New Roman;sans-serif" w:hAnsi="Times New Roman;sans-serif"/>
          <w:b w:val="false"/>
          <w:color w:val="000000"/>
          <w:sz w:val="20"/>
        </w:rPr>
        <w:t>,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pStyle w:val="TextBody"/>
        <w:bidi w:val="0"/>
        <w:spacing w:lineRule="auto" w:line="288" w:before="240" w:after="283"/>
        <w:jc w:val="left"/>
        <w:rPr/>
      </w:pPr>
      <w:r>
        <w:rPr>
          <w:rFonts w:ascii="Times New Roman;sans-serif" w:hAnsi="Times New Roman;sans-serif"/>
          <w:b w:val="false"/>
          <w:color w:val="000000"/>
          <w:sz w:val="20"/>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Times New Roman;sans-serif" w:hAnsi="Times New Roman;sans-serif"/>
          <w:b w:val="false"/>
          <w:i/>
          <w:color w:val="000000"/>
          <w:sz w:val="20"/>
        </w:rPr>
        <w:t>Victor W. Mangino v. Lucid Group, Inc., et al.</w:t>
      </w:r>
      <w:r>
        <w:rPr>
          <w:rFonts w:ascii="Times New Roman;sans-serif" w:hAnsi="Times New Roman;sans-serif"/>
          <w:b w:val="false"/>
          <w:color w:val="000000"/>
          <w:sz w:val="20"/>
        </w:rPr>
        <w:t xml:space="preserve">, Case No. 3:22-cv-02094-JD, and </w:t>
      </w:r>
      <w:r>
        <w:rPr>
          <w:rFonts w:ascii="Times New Roman;sans-serif" w:hAnsi="Times New Roman;sans-serif"/>
          <w:b w:val="false"/>
          <w:i/>
          <w:color w:val="000000"/>
          <w:sz w:val="20"/>
        </w:rPr>
        <w:t>Anant Goel v. Lucid Group, Inc., et al.</w:t>
      </w:r>
      <w:r>
        <w:rPr>
          <w:rFonts w:ascii="Times New Roman;sans-serif" w:hAnsi="Times New Roman;sans-serif"/>
          <w:b w:val="false"/>
          <w:color w:val="000000"/>
          <w:sz w:val="20"/>
        </w:rPr>
        <w:t xml:space="preserve">, Case No. 3:22-cv-03176-JD. The two matters were consolidated into one action, entitled </w:t>
      </w:r>
      <w:r>
        <w:rPr>
          <w:rFonts w:ascii="Times New Roman;sans-serif" w:hAnsi="Times New Roman;sans-serif"/>
          <w:b w:val="false"/>
          <w:i/>
          <w:color w:val="000000"/>
          <w:sz w:val="20"/>
        </w:rPr>
        <w:t>In re Lucid Group, Inc. Securities Litigation</w:t>
      </w:r>
      <w:r>
        <w:rPr>
          <w:rFonts w:ascii="Times New Roman;sans-serif" w:hAnsi="Times New Roman;sans-serif"/>
          <w:b w:val="false"/>
          <w:color w:val="000000"/>
          <w:sz w:val="20"/>
        </w:rPr>
        <w:t>, Case No. 22-cv-02094-JD. The consolidated complaint names as defendants Lucid Group, Inc. and the Company’s chief executive officer and chief financial officer, and generally allege that defendants purportedly made false or misleading statements regarding delivery and revenue projections and related matters between November 15, 2021 and August 3, 2022. The consolidated complaint seeks certification of the action as a class action, as well as compensatory damages, interest thereon, and attorneys’ fees and expenses. Defendants filed a Motion to Dismiss on February 23, 2023, which is pending before the court. Defendants believe that the plaintiffs’ claims are without merit and intends to defend themselves vigorously, but they cannot ensure that their efforts to dismiss the consolidated complaint will be successful or that they will avoid liability in this matter.</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Times New Roman;sans-serif" w:hAnsi="Times New Roman;sans-serif"/>
          <w:b w:val="false"/>
          <w:i/>
          <w:color w:val="000000"/>
          <w:sz w:val="20"/>
        </w:rPr>
        <w:t>Floyd Taylor v. Glenn August, et al.</w:t>
      </w:r>
      <w:r>
        <w:rPr>
          <w:rFonts w:ascii="Times New Roman;sans-serif" w:hAnsi="Times New Roman;sans-serif"/>
          <w:b w:val="false"/>
          <w:color w:val="000000"/>
          <w:sz w:val="20"/>
        </w:rPr>
        <w:t xml:space="preserve">, Superior Court, Alameda County, Case No. 22CV014130. The complaint also names the Company as a nominal defendant. Based on allegations that are similar to those in the </w:t>
      </w:r>
      <w:r>
        <w:rPr>
          <w:rFonts w:ascii="Times New Roman;sans-serif" w:hAnsi="Times New Roman;sans-serif"/>
          <w:b w:val="false"/>
          <w:i/>
          <w:color w:val="000000"/>
          <w:sz w:val="20"/>
        </w:rPr>
        <w:t xml:space="preserve">In re Lucid Group, Inc. Securities Litigation </w:t>
      </w:r>
      <w:r>
        <w:rPr>
          <w:rFonts w:ascii="Times New Roman;sans-serif" w:hAnsi="Times New Roman;sans-serif"/>
          <w:b w:val="false"/>
          <w:color w:val="000000"/>
          <w:sz w:val="20"/>
        </w:rPr>
        <w:t xml:space="preserve">action, the </w:t>
      </w:r>
      <w:r>
        <w:rPr>
          <w:rFonts w:ascii="Times New Roman;sans-serif" w:hAnsi="Times New Roman;sans-serif"/>
          <w:b w:val="false"/>
          <w:i/>
          <w:color w:val="000000"/>
          <w:sz w:val="20"/>
        </w:rPr>
        <w:t>Taylor</w:t>
      </w:r>
      <w:r>
        <w:rPr>
          <w:color w:val="000000"/>
        </w:rPr>
        <w:t xml:space="preserve"> </w:t>
      </w:r>
      <w:r>
        <w:rPr>
          <w:rFonts w:ascii="Times New Roman;sans-serif" w:hAnsi="Times New Roman;sans-serif"/>
          <w:b w:val="false"/>
          <w:color w:val="000000"/>
          <w:sz w:val="20"/>
        </w:rPr>
        <w:t>complaint asserts claims for breach of fiduciary duty, unjust enrichment, waste of corporate assets and aiding and abetting breach of fiduciary duty. The complaint seeks compensatory damages, punitive damages, interest, and attorneys’ fees and expenses. The Company is advancing defendants’ fees and expenses incurred in their defense of the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Moreover, on March 25, 2021, the Illinois Automobile Dealers Association, Chicago Automobile Trade Association, Peoria Metro New Car Dealers Association, Illinois Motorcycle Dealers Association, and 241 individual motor vehicle dealers filed an action against the Office of the Illinois Secretary of State (“SOS”), Jesse White, in his official capacity as the Illinois Secretary of State; Lucid USA, Inc. (“Lucid USA”); and other defendants, in the Circuit Court of Cook County, Illinois, County Department, Chancery Division, Case No. 2021CH01438. The suit generally alleges that Illinois law does not permit manufacturers to obtain licenses as motor vehicle dealers. Plaintiffs seek to prevent Lucid from engaging in the sale of motor vehicles directly to consumers. The SOS granted Lucid USA a dealer’s license on June 3, 2021.</w:t>
      </w:r>
      <w:r>
        <w:rPr>
          <w:color w:val="000000"/>
        </w:rPr>
        <w:t xml:space="preserve"> </w:t>
      </w:r>
      <w:r>
        <w:rPr>
          <w:rFonts w:ascii="Times New Roman;sans-serif" w:hAnsi="Times New Roman;sans-serif"/>
          <w:b w:val="false"/>
          <w:color w:val="000000"/>
          <w:sz w:val="20"/>
        </w:rPr>
        <w:t xml:space="preserve">In December 2022, the Court granted Defendants’ Motion to Dismiss. Plaintiffs subsequently appealed to the Illinois First District Appellate Court and the parties are currently litigating the case on appeal. </w:t>
      </w:r>
    </w:p>
    <w:p>
      <w:pPr>
        <w:pStyle w:val="TextBody"/>
        <w:bidi w:val="0"/>
        <w:spacing w:lineRule="auto" w:line="288" w:before="240" w:after="283"/>
        <w:jc w:val="left"/>
        <w:rPr/>
      </w:pPr>
      <w:r>
        <w:rPr>
          <w:rFonts w:ascii="Times New Roman;sans-serif" w:hAnsi="Times New Roman;sans-serif"/>
          <w:b w:val="false"/>
          <w:color w:val="000000"/>
          <w:sz w:val="20"/>
        </w:rPr>
        <w:t>Furthermore, while we have registered and applied for trademarks in an effort to protect our brand and goodwill with customers, competitors or other third parties are,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w:t>
      </w:r>
      <w:r>
        <w:rPr>
          <w:color w:val="000000"/>
        </w:rPr>
        <w:t xml:space="preserve"> </w:t>
      </w:r>
      <w:r>
        <w:rPr>
          <w:rFonts w:ascii="Times New Roman;sans-serif" w:hAnsi="Times New Roman;sans-serif"/>
          <w:b w:val="false"/>
          <w:color w:val="000000"/>
          <w:sz w:val="20"/>
        </w:rPr>
        <w:t>In addition, we may lose our trademark or are unable to submit specimens of use by the applicable deadline to perfect such trademark rights. For instance, we are evaluating and responding to a claim in a United States Patent and Trademark Office administrative hearing opposing and requesting cancellation of our trademark application and registration for the use of “Gravity”.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$56.3 million and $52.5 million as of December 31, 2023 and 2022, respectively, for which no liabilities are recorded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17 -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loss before provision for income taxes for the years ended December 31, 2023, 2022 and 2021, were as follows (in thousands): </w:t>
      </w:r>
    </w:p>
    <w:tbl>
      <w:tblPr>
        <w:tblW w:w="8037" w:type="dxa"/>
        <w:jc w:val="left"/>
        <w:tblInd w:w="0" w:type="dxa"/>
        <w:tblLayout w:type="fixed"/>
        <w:tblCellMar>
          <w:top w:w="28" w:type="dxa"/>
          <w:left w:w="28" w:type="dxa"/>
          <w:bottom w:w="28" w:type="dxa"/>
          <w:right w:w="28" w:type="dxa"/>
        </w:tblCellMar>
      </w:tblPr>
      <w:tblGrid>
        <w:gridCol w:w="1168"/>
        <w:gridCol w:w="1025"/>
        <w:gridCol w:w="1032"/>
        <w:gridCol w:w="211"/>
        <w:gridCol w:w="1051"/>
        <w:gridCol w:w="109"/>
        <w:gridCol w:w="109"/>
        <w:gridCol w:w="109"/>
        <w:gridCol w:w="109"/>
        <w:gridCol w:w="211"/>
        <w:gridCol w:w="1051"/>
        <w:gridCol w:w="109"/>
        <w:gridCol w:w="109"/>
        <w:gridCol w:w="109"/>
        <w:gridCol w:w="109"/>
        <w:gridCol w:w="211"/>
        <w:gridCol w:w="1051"/>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subject to domestic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(2,580,324)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subject to foreign income taxes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(2,827,394)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provision for income taxes in connection with its domestic, state, and foreign subsidiaries for the years ended December 31, 2023, 2022 and 2021, respectively, as follows (in thousands):</w:t>
      </w:r>
    </w:p>
    <w:tbl>
      <w:tblPr>
        <w:tblW w:w="5906" w:type="dxa"/>
        <w:jc w:val="left"/>
        <w:tblInd w:w="0" w:type="dxa"/>
        <w:tblLayout w:type="fixed"/>
        <w:tblCellMar>
          <w:top w:w="28" w:type="dxa"/>
          <w:left w:w="28" w:type="dxa"/>
          <w:bottom w:w="28" w:type="dxa"/>
          <w:right w:w="28" w:type="dxa"/>
        </w:tblCellMar>
      </w:tblPr>
      <w:tblGrid>
        <w:gridCol w:w="998"/>
        <w:gridCol w:w="876"/>
        <w:gridCol w:w="885"/>
        <w:gridCol w:w="211"/>
        <w:gridCol w:w="616"/>
        <w:gridCol w:w="109"/>
        <w:gridCol w:w="109"/>
        <w:gridCol w:w="109"/>
        <w:gridCol w:w="109"/>
        <w:gridCol w:w="211"/>
        <w:gridCol w:w="466"/>
        <w:gridCol w:w="109"/>
        <w:gridCol w:w="109"/>
        <w:gridCol w:w="109"/>
        <w:gridCol w:w="109"/>
        <w:gridCol w:w="211"/>
        <w:gridCol w:w="406"/>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taxes at the federal statutory rate to our provision for income taxes for the years ended December 31, 2023, 2022 and 2021 were as follows:</w:t>
      </w:r>
    </w:p>
    <w:tbl>
      <w:tblPr>
        <w:tblW w:w="6054" w:type="dxa"/>
        <w:jc w:val="left"/>
        <w:tblInd w:w="0" w:type="dxa"/>
        <w:tblLayout w:type="fixed"/>
        <w:tblCellMar>
          <w:top w:w="28" w:type="dxa"/>
          <w:left w:w="28" w:type="dxa"/>
          <w:bottom w:w="28" w:type="dxa"/>
          <w:right w:w="28" w:type="dxa"/>
        </w:tblCellMar>
      </w:tblPr>
      <w:tblGrid>
        <w:gridCol w:w="1204"/>
        <w:gridCol w:w="1059"/>
        <w:gridCol w:w="1066"/>
        <w:gridCol w:w="209"/>
        <w:gridCol w:w="209"/>
        <w:gridCol w:w="211"/>
        <w:gridCol w:w="132"/>
        <w:gridCol w:w="132"/>
        <w:gridCol w:w="132"/>
        <w:gridCol w:w="209"/>
        <w:gridCol w:w="209"/>
        <w:gridCol w:w="211"/>
        <w:gridCol w:w="132"/>
        <w:gridCol w:w="132"/>
        <w:gridCol w:w="132"/>
        <w:gridCol w:w="197"/>
        <w:gridCol w:w="197"/>
        <w:gridCol w:w="281"/>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federal income tax rate</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Tax-exempt interest</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provision for income taxes differs from the expected benefit due to the impact of the U.S. valuation allowance, as well as income taxes associated with foreign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2023 and 2022,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before="0" w:after="0"/>
        <w:jc w:val="left"/>
        <w:rPr/>
      </w:pPr>
      <w:r>
        <w:rPr/>
      </w:r>
    </w:p>
    <w:tbl>
      <w:tblPr>
        <w:tblW w:w="7642" w:type="dxa"/>
        <w:jc w:val="left"/>
        <w:tblInd w:w="0" w:type="dxa"/>
        <w:tblLayout w:type="fixed"/>
        <w:tblCellMar>
          <w:top w:w="28" w:type="dxa"/>
          <w:left w:w="28" w:type="dxa"/>
          <w:bottom w:w="28" w:type="dxa"/>
          <w:right w:w="28" w:type="dxa"/>
        </w:tblCellMar>
      </w:tblPr>
      <w:tblGrid>
        <w:gridCol w:w="1741"/>
        <w:gridCol w:w="1532"/>
        <w:gridCol w:w="1542"/>
        <w:gridCol w:w="211"/>
        <w:gridCol w:w="976"/>
        <w:gridCol w:w="109"/>
        <w:gridCol w:w="109"/>
        <w:gridCol w:w="109"/>
        <w:gridCol w:w="109"/>
        <w:gridCol w:w="213"/>
        <w:gridCol w:w="837"/>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research and development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1,484,071 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accounting method change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(liabilities), net of valuation allowance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anticipate foreign earnings would be subject to U.S. taxation upon repatriation. However, distributions of unremitted foreign earnings may be subject to foreign withholding taxes. Accordingly, provisions have not been made on the Company’s basis differences in investments that primarily result from earnings in foreign subsidiaries which are indefinitely reinvested. If recorded, the deferred tax liability associated with indefinitely reinvested basis differences would be immaterial to the financial statements.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 Based on the weight of the available evidence, which includes the Company’s historical operating losses, lack of taxable income, and the accumulated deficit, as of December 31, 2023 and 2022, the Company provided a full valuation allowance against its U.S. and state deferred tax assets. The valuation allowance for deferred tax assets was $2,137.9 million and $1,374.3 million, as of December 31, 2023 and 2022, respectively. The valuation allowance on our net deferred taxes increased by $763.6 million and $701.4 million during the years ended December 31, 2023 and 2022,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federal, state, and foreign net operating loss carryforwards of $4,471.1 million, $3,980.4 million, and $1.7 million, respectively, as of December 31, 2023, which will begin to expire at various dates beginning in 2024. The Company also had federal and state tax research and development tax credit carryforwards of $158.2 million and $121.2 million, respectively. The federal research and development tax credit carryforwards will expire at various dates beginning in 2036, if not utilized. The state research and development tax credit carryforwards do not expire.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 The Company has completed a formal Section 382 study of our equity transactions through December 31, 2020. The study determined that the Company experienced an “ownership change” in 2016, and the Company will not be able to utilize $12.0 million of our U.S. federal net operating loss and $3.0 million of U.S. federal research and development tax credit carryforwards.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Uncertain Tax Positions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unrecognized tax benefits for the years ended December 31, 2023, 2022 and 2021 (in thousands):</w:t>
      </w:r>
    </w:p>
    <w:tbl>
      <w:tblPr>
        <w:tblW w:w="7827" w:type="dxa"/>
        <w:jc w:val="left"/>
        <w:tblInd w:w="0" w:type="dxa"/>
        <w:tblLayout w:type="fixed"/>
        <w:tblCellMar>
          <w:top w:w="28" w:type="dxa"/>
          <w:left w:w="28" w:type="dxa"/>
          <w:bottom w:w="28" w:type="dxa"/>
          <w:right w:w="28" w:type="dxa"/>
        </w:tblCellMar>
      </w:tblPr>
      <w:tblGrid>
        <w:gridCol w:w="1375"/>
        <w:gridCol w:w="1207"/>
        <w:gridCol w:w="1213"/>
        <w:gridCol w:w="211"/>
        <w:gridCol w:w="826"/>
        <w:gridCol w:w="109"/>
        <w:gridCol w:w="109"/>
        <w:gridCol w:w="109"/>
        <w:gridCol w:w="109"/>
        <w:gridCol w:w="211"/>
        <w:gridCol w:w="826"/>
        <w:gridCol w:w="109"/>
        <w:gridCol w:w="109"/>
        <w:gridCol w:w="109"/>
        <w:gridCol w:w="109"/>
        <w:gridCol w:w="211"/>
        <w:gridCol w:w="721"/>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benefit—beginning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increases—prior-period tax positions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decreases—prior-period tax positions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increases—current-period tax positions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decrease—current-period tax positions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Statute lapse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benefit—end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2022 and 2021, the total amount of unrecognized tax benefits was $140.8 million, $105.2 million, and $72.3 million, respectively, of which $1.1 million, $0.6 million and $0.5 million, if recognized for respective periods, would favorably impact the Company's effective tax rate. The Company does not anticipate a significant change in the total amount of unrecognized tax benefits within the next 12 months.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Related to the unrecognized tax benefits above, the interest expense and penalty expense recognized as part of provision for income taxes in the consolidated statements of operations and comprehensive loss for the years ended December 31, 2023, 2022 and 2021 were not material. As of December 31, 2023 and 2022, the Company recorded immaterial liability for interest expense and penalties, which was included within other long-term liabilities in the consolidated balance sheets.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U.S., state, and foreign income tax returns with varying statutes of limitations. The federal, state, and foreign returns statutes of limitations remains open for all years. There are currently no income tax audits underway by U.S., state, or foreign tax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18 - NET LOSS PER SHARE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number of shares of common stock outstanding prior to the Merger have been retroactively adjusted by the Exchange Ratio to give effect to the reverse recapitalization treatment of the Merger. Shares of common stock issued as a result of the conversion of Legacy Lucid convertible preferred stock in connection with the Closing have been included in the basic net loss per share calculation on a prospective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are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993"/>
        <w:gridCol w:w="1616"/>
        <w:gridCol w:w="1650"/>
        <w:gridCol w:w="234"/>
        <w:gridCol w:w="1102"/>
        <w:gridCol w:w="109"/>
        <w:gridCol w:w="109"/>
        <w:gridCol w:w="109"/>
        <w:gridCol w:w="109"/>
        <w:gridCol w:w="234"/>
        <w:gridCol w:w="1102"/>
        <w:gridCol w:w="109"/>
        <w:gridCol w:w="109"/>
        <w:gridCol w:w="109"/>
        <w:gridCol w:w="109"/>
        <w:gridCol w:w="211"/>
        <w:gridCol w:w="1035"/>
        <w:gridCol w:w="156"/>
      </w:tblGrid>
      <w:tr>
        <w:trPr/>
        <w:tc>
          <w:tcPr>
            <w:tcW w:w="1993"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(2,579,761)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 related to the issuance of Series E convertible preferred stock</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(2,167,332)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(4,747,093)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dilutive warrants</w:t>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diluted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(4,747,093)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outstanding, basic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2,081,772,622 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1,678,346,079 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740,393,759 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using the treasury stock method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diluted</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2,081,772,622 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1,693,258,608 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740,393,759 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because including them would have had an anti-dilutive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before="0" w:after="0"/>
        <w:jc w:val="left"/>
        <w:rPr/>
      </w:pPr>
      <w:r>
        <w:rPr/>
      </w:r>
    </w:p>
    <w:tbl>
      <w:tblPr>
        <w:tblW w:w="9281" w:type="dxa"/>
        <w:jc w:val="left"/>
        <w:tblInd w:w="0" w:type="dxa"/>
        <w:tblLayout w:type="fixed"/>
        <w:tblCellMar>
          <w:top w:w="28" w:type="dxa"/>
          <w:left w:w="28" w:type="dxa"/>
          <w:bottom w:w="28" w:type="dxa"/>
          <w:right w:w="28" w:type="dxa"/>
        </w:tblCellMar>
      </w:tblPr>
      <w:tblGrid>
        <w:gridCol w:w="1642"/>
        <w:gridCol w:w="1446"/>
        <w:gridCol w:w="1456"/>
        <w:gridCol w:w="592"/>
        <w:gridCol w:w="594"/>
        <w:gridCol w:w="156"/>
        <w:gridCol w:w="109"/>
        <w:gridCol w:w="109"/>
        <w:gridCol w:w="109"/>
        <w:gridCol w:w="592"/>
        <w:gridCol w:w="594"/>
        <w:gridCol w:w="156"/>
        <w:gridCol w:w="109"/>
        <w:gridCol w:w="109"/>
        <w:gridCol w:w="109"/>
        <w:gridCol w:w="592"/>
        <w:gridCol w:w="594"/>
        <w:gridCol w:w="213"/>
      </w:tblGrid>
      <w:tr>
        <w:trPr/>
        <w:tc>
          <w:tcPr>
            <w:tcW w:w="16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Excluded Securities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to purchase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32,911,135 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39,011,116 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64,119,902 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57,124,659 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38,570,298 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32,210,200 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14,111,934 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11,826,419 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185,235,513 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126,145,618 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177,417,887 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6,880,905, 2,090,140, and 16,024,411 shares of common stock equivalents subject to RSUs are excluded from the anti-dilutive table above as the underlying shares remain contingently issuable since the market or corporate and individual performance conditions have not been satisfied as of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19 - EMPLOYEE BENEFIT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years ended December 31,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20 - RELATED PARTY TRANSACTIONS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Public Investment Fund Internship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entered into an agreement with PIF, which is an affiliate of Ayar, to implement a recruitment and talent development program pursuant to which the Company agreed to evaluate, employ and train participants nominated by PIF during six-month internships, and PIF agreed to reimburse us for expenses related to participant wages, visa fees, medical insurance, airfare and housing incurred by us. The program ended during the year ended December 31, 2022. The expenses incurred under the agreement were nil, $1.0 million, and nil for the years ended December 31, 2023, 2022 and 2021, respectively. The amount due from PIF was nil and $1.0 million as of December 31, 2023 and 2022,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entered into a lease agreement with KAEC, a related party of PIF, which is an affiliate of Ayar, for its first international manufacturing plant in Saudi Arabia. The lease has an initial term of 25 years expiring in Year 2047. The right-of-use asset related to this lease was $4.5 million and $4.8 million as of December 31, 2023 and 2022, respectively. The lease liability was $5.7 million and $5.4 million as of December 31, 2023 and 2022, respectively. The right-of-use asset and lease liability were recorded in right-of-use assets and other current liabilities in the consolidated balance sheets, respectively. The lease expense recorded for the years ended December 31, 2023 and 2022 was immaterial.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the Company entered into a lease agreement with King Abdullah Financial District Development and Management Company, a subsidiary of PIF, which is an affiliate of Ayar, for its corporate office in Saudi Arabia. The lease has an initial term of six years expiring in Year 2029. The right-of-use asset and lease liability related to this lease were $2.3 million as of December 31, 2023. The right-of-use asset and lease liability were recorded in right-of-use assets and other current liabilities in the consolidated balance sheet, respectively. The lease expense recorded for the year ended December 31, 2023 was immaterial.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SIDF Loan Agreement</w:t>
      </w:r>
    </w:p>
    <w:p>
      <w:pPr>
        <w:pStyle w:val="TextBody"/>
        <w:bidi w:val="0"/>
        <w:spacing w:lineRule="auto" w:line="288" w:before="240" w:after="283"/>
        <w:jc w:val="left"/>
        <w:rPr/>
      </w:pPr>
      <w:r>
        <w:rPr>
          <w:rFonts w:ascii="Times New Roman;sans-serif" w:hAnsi="Times New Roman;sans-serif"/>
          <w:b w:val="false"/>
          <w:color w:val="000000"/>
          <w:sz w:val="20"/>
        </w:rPr>
        <w:t>In February 2022, Lucid LLC entered into the SIDF Loan Agreement with the SIDF, a related party of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w:t>
      </w:r>
      <w:r>
        <w:rPr>
          <w:color w:val="242424"/>
          <w:shd w:fill="FFFFFF" w:val="clear"/>
        </w:rPr>
        <w:t xml:space="preserve"> </w:t>
      </w:r>
      <w:r>
        <w:rPr>
          <w:rFonts w:ascii="Times New Roman;sans-serif" w:hAnsi="Times New Roman;sans-serif"/>
          <w:b w:val="false"/>
          <w:color w:val="000000"/>
          <w:sz w:val="20"/>
        </w:rPr>
        <w:t>See Note 7 “Debt” for more information.</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MISA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During the year ended December 31, 2022, the Company received support of SAR 366 million (approximately $97.3 million) in cash, of which $64.0 million was recorded as deferred liability within other long-term liabilities and $33.3 million was recorded as a deduction in calculating the carrying amount of the related assets in the consolidated balance sheet as of December 31, 2022. Subsequently, the Company recorded $64.0 million as a deduction in calculating the carrying amount of the related assets in the consolidated balance sheet as of December 31, 2023. There were no unfulfilled conditions and contingencies attached to the payments received. In 2023 and 2022, payment receipts were classified as investing cash inflows in the consolidated statements of cash flows.</w:t>
      </w:r>
    </w:p>
    <w:p>
      <w:pPr>
        <w:pStyle w:val="TextBody"/>
        <w:bidi w:val="0"/>
        <w:spacing w:lineRule="auto" w:line="268" w:before="240" w:after="283"/>
        <w:jc w:val="left"/>
        <w:rPr>
          <w:rFonts w:ascii="Times New Roman;sans-serif" w:hAnsi="Times New Roman;sans-serif"/>
          <w:b/>
          <w:i/>
          <w:color w:val="242424"/>
          <w:sz w:val="20"/>
          <w:shd w:fill="FFFFFF" w:val="clear"/>
        </w:rPr>
      </w:pPr>
      <w:r>
        <w:rPr>
          <w:rFonts w:ascii="Times New Roman;sans-serif" w:hAnsi="Times New Roman;sans-serif"/>
          <w:b/>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Lucid LLC entered into the GIB Facility Agreement with GIB. GIB is a related party of PIF, which is an affiliate of Ayar. The GIB Facility Agreement provided for two committed revolving credit facilities in an aggregate principal amount of SAR 1 billion (approximately $266.1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an amendment of the GIB Facility Agreement to combine the Bridge Facility and the Working Capital Facility into a committed SAR 1 billion (approximately $266.7 million) GIB Credit Facility which may be used for general corporate purposes. See Note 7 “Debt” for more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Construction Service Contract </w:t>
      </w:r>
    </w:p>
    <w:p>
      <w:pPr>
        <w:pStyle w:val="TextBody"/>
        <w:bidi w:val="0"/>
        <w:spacing w:lineRule="auto" w:line="288" w:before="240" w:after="283"/>
        <w:jc w:val="left"/>
        <w:rPr/>
      </w:pPr>
      <w:r>
        <w:rPr>
          <w:rFonts w:ascii="Times New Roman;sans-serif" w:hAnsi="Times New Roman;sans-serif"/>
          <w:b w:val="false"/>
          <w:color w:val="000000"/>
          <w:sz w:val="20"/>
        </w:rPr>
        <w:t xml:space="preserve">Lucid LLC entered into agreements with Al Bawani Company Limited (“Al Bawani”), an </w:t>
      </w:r>
      <w:r>
        <w:rPr>
          <w:rFonts w:ascii="Times New Roman;sans-serif" w:hAnsi="Times New Roman;sans-serif"/>
          <w:b w:val="false"/>
          <w:color w:val="000000"/>
          <w:sz w:val="20"/>
          <w:shd w:fill="FFFFFF" w:val="clear"/>
        </w:rPr>
        <w:t xml:space="preserve">affiliate of </w:t>
      </w:r>
      <w:r>
        <w:rPr>
          <w:rFonts w:ascii="Times New Roman;sans-serif" w:hAnsi="Times New Roman;sans-serif"/>
          <w:b w:val="false"/>
          <w:color w:val="000000"/>
          <w:sz w:val="20"/>
        </w:rPr>
        <w:t xml:space="preserve">PIF, which is an affiliate of Ayar, for certain design and construction services in connection with the development of AMP-2. The capital expenditures incurred under these agreements were SAR 444.6 million (approximately $118.6 million) and SAR 109.5 million (approximately $29.1 million) as of December 31, 2023 and 2022, respectively. Amounts due to Al Bawani under these agreements were SAR 74.0 million (approximately $19.7 million) and SAR 42.1 million (approximately $11.2 million) as of December 31, 2023 and 2022, respectively, and were recorded within other current liabilities in the consolidated balance sheets.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Subscription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8, 2022, the Company entered into a subscription agreement (the “2022 Subscription Agreement”) with Ayar, pursuant to which Ayar agreed to purchase from the Company, up to $915.0 million shares of its common stock in one or more private placements through March 31, 2023. In December 2022, the Company issued 85,712,679 shares at a weighted average price per share of $10.68, and received aggregate proceeds of $915.0 million.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2023, the Company entered into the 2023 Subscription Agreement with Ayar, pursuant to which Ayar agreed to purchase from the Company 265,693,703 shares of the Company’s common stock at a price per share of $6.83 in a private placement for aggregate net proceeds of $1.8 billion. In June 2023, the Company issued the shares to Ayar pursuant to the 2023 Subscription Agreement and received aggregate net proceeds of $1.8 billion after deducting issuance costs of $2.0 million. See Note 12 “Stockholders’ Equity”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acquired by Ayar under the 2022 Subscription Agreement and 2023 Subscription Agreement is subject to the Investor Rights Agreement dated February 22, 2021 (as amended from time-to-time, the “Investor Rights Agreement”), which governs the registration for resale of such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Human Resources Development Fund (“HRDF”) Joint Cooperation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Lucid LLC entered into a joint cooperation agreement with HRDF, a related party of PIF, which is an affiliate of Ayar. Pursuant to the agreement, Lucid LLC will train and develop local personnel in Saudi Arabia, and HRDF agreed to reimburse the Company training related costs in an aggregate of SAR 29.3 million (approximately $7.8 million) during a one-year program.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received a payment of SAR 8.8 million (approximately $2.3 million) in cash. The Company recorded $1.8 million as deferred liability within other current liabilities in the consolidated balance sheet as of December 31, 2023. The deduction recorded to operating expenses in the consolidated statement of operations and comprehensive loss was immaterial, for the year ended December 31,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EV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Lucid LLC entered into the EV Purchase Agreement with the Government of Saudi Arabia, a related party of PIF, which is an affiliate of Ayar, as represented by the Ministry of Finance.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Lucid LLC fails to deliver within six months from the date of the applicable purchase order. The Purchaser also has absolute discretion to decide whether to exercise the option to purchase the additional 50,000 vehicles. The Company recognized net vehicle sales amount of $43.7 million during the year ended December 31, 2023. Accounts receivable balance of $35.5 million from the Purchaser was recorded within accounts receivable, net in the consolidated balance sheet as of December 31,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Implementation Agreement with Aston Martin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the Company entered into an agreement (the “Implementation Agreement”) with Aston Martin, a related party of PIF, which is an affiliate of Ayar, under which the Company and Aston Martin have established a long-term strategic technology and supply arrangement. On November 6, 2023, pursuant to the terms of the Implementation Agreement, integration and supply arrangements became effective, under which the Company will provide Aston Martin access to its powertrain, battery system, and software technologies, work with Aston Martin to integrate its powertrain and battery components with Aston Martin’s battery electric vehicle chassis, and supply powertrain and battery components to Aston Martin (collectively, the “Strategic Technology Arrangement”). In connection with the commencement of the Strategic Technology Arrangement, the Company received technology access fees in 28,352,273 ordinary shares of Aston Martin (subject to a lock-up provision of 365 days from its issuance) and the first cash installment of $33 million. These shares were initially measured at a fair value of $73.2 million and subsequently remeasured to fair value of $81.5 million as of December 31, 2023. The Company will receive the remaining cash payments of $99 million phased over a period of three years. In connection with the Strategic Technology Arrangement, the Company will also receive an aggregate of $10 million for integration service fees phased over a period of three years, of which the Company received $1.6 million during the year ended December 31, 2023. The Company accounts for technology access, integration service, and supply arrangement as a single performance obligation and recognizes revenue related to technology access and integration service based on estimated units of delivery under the supply arrangement. As of December 31, 2023, the Company recorded $107.8 million as deferred revenue within other long-term liabilities, in the consolidated balance sheets. Aston Martin has also committed to an effective minimum spend with the Company on powertrain components of $225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Annual Report on Form 10-K.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their evaluation, our principal executive officer and principal financial officer concluded that as of December 31, 2023,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 in the United States (“U.S. GAAP”).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under the supervision of our principal executive officer and principal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2023, to provide reasonable assurance regarding the reliability of our financial reporting and the preparation of consolidated financial statements for external reporting purposes in accordance with U.S. GAAP.</w:t>
      </w:r>
    </w:p>
    <w:p>
      <w:pPr>
        <w:pStyle w:val="TextBody"/>
        <w:bidi w:val="0"/>
        <w:spacing w:lineRule="auto" w:line="288" w:before="240" w:after="283"/>
        <w:jc w:val="left"/>
        <w:rPr/>
      </w:pPr>
      <w:r>
        <w:rPr>
          <w:rFonts w:ascii="Times New Roman;sans-serif" w:hAnsi="Times New Roman;sans-serif"/>
          <w:b w:val="false"/>
          <w:color w:val="000000"/>
          <w:sz w:val="20"/>
        </w:rPr>
        <w:t xml:space="preserve">The effectiveness of our internal control over financial reporting as of December 31, 2023 has been audited by </w:t>
      </w:r>
      <w:r>
        <w:rPr>
          <w:rFonts w:ascii="Times New Roman;sans-serif" w:hAnsi="Times New Roman;sans-serif"/>
          <w:b w:val="false"/>
          <w:color w:val="000000"/>
          <w:sz w:val="19"/>
        </w:rPr>
        <w:t>KPMG LLP</w:t>
      </w:r>
      <w:r>
        <w:rPr>
          <w:rFonts w:ascii="Times New Roman;sans-serif" w:hAnsi="Times New Roman;sans-serif"/>
          <w:b w:val="false"/>
          <w:color w:val="000000"/>
          <w:sz w:val="20"/>
        </w:rPr>
        <w:t>, an independent registered public accounting firm, as stated in their report, which is included in Item 8 of Part II of this Annual Report on Form 10-K.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under the Exchange Act) that occurred during the fiscal quarter ended December 31, 2023,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quarter ended December 31, 2023, as such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10.</w:t>
      </w:r>
      <w:r>
        <w:rPr>
          <w:color w:val="000000"/>
        </w:rPr>
        <w:t xml:space="preserve"> </w:t>
      </w:r>
      <w:r>
        <w:rPr>
          <w:rFonts w:ascii="Times New Roman;sans-serif" w:hAnsi="Times New Roman;sans-serif"/>
          <w:b/>
          <w:color w:val="000000"/>
          <w:sz w:val="20"/>
        </w:rPr>
        <w:t xml:space="preserve">Directors, Executive Officers and Corporate Governance.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Company’s Proxy Statement to be filed with the SEC within 120 days after December 31, 2023 in connection with the solicitation of proxies for the Company’s 2024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Company’s Proxy Statement to be filed with the SEC within 120 days after December 31, 2023,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12.</w:t>
      </w:r>
      <w:r>
        <w:rPr>
          <w:color w:val="000000"/>
        </w:rPr>
        <w:t xml:space="preserve"> </w:t>
      </w:r>
      <w:r>
        <w:rPr>
          <w:rFonts w:ascii="Times New Roman;sans-serif" w:hAnsi="Times New Roman;sans-serif"/>
          <w:b/>
          <w:color w:val="000000"/>
          <w:sz w:val="20"/>
        </w:rPr>
        <w:t xml:space="preserve">Security Ownership of Certain Beneficial Owners and Management and Related Stockholder Matters.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Company’s Proxy Statement to be filed with the SEC within 120 days after December 31, 2023,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13.</w:t>
      </w:r>
      <w:r>
        <w:rPr>
          <w:color w:val="000000"/>
        </w:rPr>
        <w:t xml:space="preserve"> </w:t>
      </w:r>
      <w:r>
        <w:rPr>
          <w:rFonts w:ascii="Times New Roman;sans-serif" w:hAnsi="Times New Roman;sans-serif"/>
          <w:b/>
          <w:color w:val="000000"/>
          <w:sz w:val="20"/>
        </w:rPr>
        <w:t xml:space="preserve">Certain Relationships and Related Transactions, and Director Independence.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Company’s Proxy Statement to be filed with the SEC within 120 days after December 31, 2023,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14.</w:t>
      </w:r>
      <w:r>
        <w:rPr>
          <w:color w:val="000000"/>
        </w:rPr>
        <w:t xml:space="preserve"> </w:t>
      </w:r>
      <w:r>
        <w:rPr>
          <w:rFonts w:ascii="Times New Roman;sans-serif" w:hAnsi="Times New Roman;sans-serif"/>
          <w:b/>
          <w:color w:val="000000"/>
          <w:sz w:val="20"/>
        </w:rPr>
        <w:t xml:space="preserve">Principal Accountant Fees and Services.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included in the Company’s Proxy Statement to be filed with the SEC within 120 days after December 31, 2023,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15.</w:t>
      </w:r>
      <w:r>
        <w:rPr>
          <w:color w:val="000000"/>
        </w:rPr>
        <w:t xml:space="preserve"> </w:t>
      </w:r>
      <w:r>
        <w:rPr>
          <w:rFonts w:ascii="Times New Roman;sans-serif" w:hAnsi="Times New Roman;sans-serif"/>
          <w:b/>
          <w:color w:val="000000"/>
          <w:sz w:val="20"/>
        </w:rPr>
        <w:t>Exhibits and Financial Statement Schedules.</w:t>
      </w:r>
    </w:p>
    <w:tbl>
      <w:tblPr>
        <w:tblW w:w="10205" w:type="dxa"/>
        <w:jc w:val="left"/>
        <w:tblInd w:w="0" w:type="dxa"/>
        <w:tblLayout w:type="fixed"/>
        <w:tblCellMar>
          <w:top w:w="28" w:type="dxa"/>
          <w:left w:w="28" w:type="dxa"/>
          <w:bottom w:w="28" w:type="dxa"/>
          <w:right w:w="28" w:type="dxa"/>
        </w:tblCellMar>
      </w:tblPr>
      <w:tblGrid>
        <w:gridCol w:w="147"/>
        <w:gridCol w:w="129"/>
        <w:gridCol w:w="129"/>
        <w:gridCol w:w="2951"/>
        <w:gridCol w:w="2826"/>
        <w:gridCol w:w="4023"/>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4023" w:type="dxa"/>
            <w:tcBorders/>
            <w:vAlign w:val="center"/>
          </w:tcPr>
          <w:p>
            <w:pPr>
              <w:pStyle w:val="TableContents"/>
              <w:bidi w:val="0"/>
              <w:spacing w:before="0" w:after="283"/>
              <w:jc w:val="left"/>
              <w:rPr>
                <w:sz w:val="4"/>
                <w:szCs w:val="4"/>
              </w:rPr>
            </w:pPr>
            <w:r>
              <w:rPr>
                <w:sz w:val="4"/>
                <w:szCs w:val="4"/>
              </w:rPr>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(a)(1)</w:t>
            </w:r>
          </w:p>
        </w:tc>
        <w:tc>
          <w:tcPr>
            <w:tcW w:w="9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filed as part of this Annual Report are listed in Item 8 of this Annual Report.</w:t>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9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financial statement schedules are required to be filed as part of this Annual Report because all such schedules have been omitted. Such omission has been made on the basis that information is provided in the financial statements, or in the related notes thereto, in Item 8 of this Annual Report or is not required to be filed as the information is not applicable.</w:t>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(a)(3)</w:t>
            </w:r>
          </w:p>
        </w:tc>
        <w:tc>
          <w:tcPr>
            <w:tcW w:w="9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on the Exhibit Index to this Annual Report are incorporated herein by reference.</w:t>
            </w:r>
          </w:p>
        </w:tc>
      </w:tr>
    </w:tbl>
    <w:p>
      <w:pPr>
        <w:pStyle w:val="TextBody"/>
        <w:bidi w:val="0"/>
        <w:spacing w:before="0" w:after="0"/>
        <w:jc w:val="both"/>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14"/>
        <w:gridCol w:w="1688"/>
        <w:gridCol w:w="1694"/>
        <w:gridCol w:w="172"/>
        <w:gridCol w:w="172"/>
        <w:gridCol w:w="174"/>
        <w:gridCol w:w="259"/>
        <w:gridCol w:w="259"/>
        <w:gridCol w:w="260"/>
        <w:gridCol w:w="454"/>
        <w:gridCol w:w="325"/>
        <w:gridCol w:w="278"/>
        <w:gridCol w:w="230"/>
        <w:gridCol w:w="230"/>
        <w:gridCol w:w="231"/>
        <w:gridCol w:w="242"/>
        <w:gridCol w:w="242"/>
        <w:gridCol w:w="34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w:t>
              <w:br/>
              <w:t>Number</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Filing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 xml:space="preserve">Agreement and Plan of Merger, dated as of February 22, 2021, by and among Churchill Capital Corp IV, Air Merger Sub, Inc., and Atieva, Inc. </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Third Amended and Restated Certificate of Incorporation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April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80"/>
                  <w:sz w:val="18"/>
                  <w:u w:val="single"/>
                </w:rPr>
                <w:t>Second Amended</w:t>
              </w:r>
            </w:hyperlink>
            <w:hyperlink r:id="rId6">
              <w:r>
                <w:rPr>
                  <w:rStyle w:val="InternetLink"/>
                  <w:rFonts w:ascii="Times New Roman;sans-serif" w:hAnsi="Times New Roman;sans-serif"/>
                  <w:b w:val="false"/>
                  <w:color w:val="000080"/>
                  <w:sz w:val="18"/>
                  <w:u w:val="single"/>
                </w:rPr>
                <w:t xml:space="preserve"> and </w:t>
              </w:r>
            </w:hyperlink>
            <w:hyperlink r:id="rId7">
              <w:r>
                <w:rPr>
                  <w:rStyle w:val="InternetLink"/>
                  <w:rFonts w:ascii="Times New Roman;sans-serif" w:hAnsi="Times New Roman;sans-serif"/>
                  <w:b w:val="false"/>
                  <w:color w:val="000080"/>
                  <w:sz w:val="18"/>
                  <w:u w:val="single"/>
                </w:rPr>
                <w:t>Restated Bylaws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8"/>
                  <w:u w:val="single"/>
                </w:rPr>
                <w:t xml:space="preserve">Specimen Class A Common Stock Certificate of Lucid Group, Inc. </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Specimen Warrant Certificate</w:t>
              </w:r>
            </w:hyperlink>
            <w:r>
              <w:rPr>
                <w:color w:val="000000"/>
              </w:rPr>
              <w:t xml:space="preserve"> </w:t>
            </w:r>
            <w:r>
              <w:rPr>
                <w:rFonts w:ascii="Times New Roman;sans-serif" w:hAnsi="Times New Roman;sans-serif"/>
                <w:b w:val="false"/>
                <w:color w:val="000000"/>
                <w:sz w:val="18"/>
              </w:rPr>
              <w:t>(included as Exhibit A to Exhibit 4.2 herewith)</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4, 2020</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ans-serif" w:hAnsi="Times New Roman;sans-serif"/>
                  <w:b w:val="false"/>
                  <w:color w:val="000080"/>
                  <w:sz w:val="18"/>
                  <w:u w:val="single"/>
                </w:rPr>
                <w:t xml:space="preserve">Warrant Agreement, dated July 29, 2020, between Continental Stock Transfer &amp; </w:t>
              </w:r>
            </w:hyperlink>
            <w:hyperlink r:id="rId11">
              <w:r>
                <w:rPr>
                  <w:rStyle w:val="InternetLink"/>
                  <w:rFonts w:ascii="Times New Roman;sans-serif" w:hAnsi="Times New Roman;sans-serif"/>
                  <w:b w:val="false"/>
                  <w:color w:val="000080"/>
                  <w:sz w:val="18"/>
                  <w:u w:val="single"/>
                </w:rPr>
                <w:t>Trust Company and Churchill Capital Corp IV</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4, 2020</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ans-serif" w:hAnsi="Times New Roman;sans-serif"/>
                  <w:b w:val="false"/>
                  <w:color w:val="000080"/>
                  <w:sz w:val="18"/>
                  <w:u w:val="single"/>
                </w:rPr>
                <w:t xml:space="preserve">Indenture, dated as of December 14, 2021, between Lucid Group, Inc. and U.S. </w:t>
              </w:r>
            </w:hyperlink>
            <w:hyperlink r:id="rId13">
              <w:r>
                <w:rPr>
                  <w:rStyle w:val="InternetLink"/>
                  <w:rFonts w:ascii="Times New Roman;sans-serif" w:hAnsi="Times New Roman;sans-serif"/>
                  <w:b w:val="false"/>
                  <w:color w:val="000080"/>
                  <w:sz w:val="18"/>
                  <w:u w:val="single"/>
                </w:rPr>
                <w:t>Bank National Association, as trustee</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14,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8"/>
                  <w:u w:val="single"/>
                </w:rPr>
                <w:t>Form of certificate representing the 1.25% Convertible Senior Notes due 2026</w:t>
              </w:r>
            </w:hyperlink>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(included as Exhibit A to Exhibit 4.5 herewith)</w:t>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14,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8"/>
                  <w:u w:val="single"/>
                </w:rPr>
                <w:t>Description of Registrant’s Securities</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28, 2022</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18"/>
                  <w:u w:val="single"/>
                </w:rPr>
                <w:t>Form of Indemnification Agreement</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14,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8"/>
                  <w:u w:val="single"/>
                </w:rPr>
                <w:t>Lucid Group, Inc. 2021. Performance Bonus Plan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8"/>
                  <w:u w:val="single"/>
                </w:rPr>
                <w:t xml:space="preserve">Lucid Group, Inc. 2021 Executive Severance Benefit Plan and Summary Plan Description </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8"/>
                  <w:u w:val="single"/>
                </w:rPr>
                <w:t xml:space="preserve">Form of Participation Agreement under the Lucid Group, Inc. 2021 Executive Severance Benefit Plan </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26,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8"/>
                  <w:u w:val="single"/>
                </w:rPr>
                <w:t>Lucid Group, Inc. Second Amended and Restated 2021 Stock Incentive Plan (including the Lucid Group, Inc. 2021 Employee Stock Purchase Plan, attached thereto)</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8"/>
                  <w:u w:val="single"/>
                </w:rPr>
                <w:t>Form of Stock Option Agreement under the Second Amended and Restated 2021 Stock Incentive Plan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7,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8"/>
                  <w:u w:val="single"/>
                </w:rPr>
                <w:t>Form of PSU Agreement under the Second Amended and Restated 2021 Stock Incentive Plan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November 7,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8"/>
                  <w:u w:val="single"/>
                </w:rPr>
                <w:t>Form of RSU Agreement under the Second Amended and Restated 2021 Stock Incentive Plan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7,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18"/>
                  <w:u w:val="single"/>
                </w:rPr>
                <w:t>Investor Rights Agreement, dated as of February 22, 2021, by and among Churchill Capital Corp IV, Ayar Third Investment Company, Churchill Sponsor IV LLC and the other parties named therein</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18"/>
                  <w:u w:val="single"/>
                </w:rPr>
                <w:t xml:space="preserve">Amendment No. 1 to the Investor Rights Agreement, dated November 8, 2022, between Lucid Group, Inc., Ayar Third Investment Company and the other parties thereto </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November 8, 2022</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8"/>
                  <w:u w:val="single"/>
                </w:rPr>
                <w:t>Amendment No. 2 to the Investor Rights Agreement, dated May 31, 2023, between Lucid Group, Inc., Ayar Third Investment Company and the other parties thereto</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5,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18"/>
                  <w:u w:val="single"/>
                </w:rPr>
                <w:t>Form of Subscription Agreement</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8"/>
        <w:gridCol w:w="174"/>
        <w:gridCol w:w="176"/>
        <w:gridCol w:w="109"/>
        <w:gridCol w:w="109"/>
        <w:gridCol w:w="109"/>
        <w:gridCol w:w="2226"/>
        <w:gridCol w:w="2038"/>
        <w:gridCol w:w="2044"/>
        <w:gridCol w:w="141"/>
        <w:gridCol w:w="127"/>
        <w:gridCol w:w="127"/>
        <w:gridCol w:w="287"/>
        <w:gridCol w:w="221"/>
        <w:gridCol w:w="222"/>
        <w:gridCol w:w="387"/>
        <w:gridCol w:w="309"/>
        <w:gridCol w:w="311"/>
        <w:gridCol w:w="169"/>
        <w:gridCol w:w="169"/>
        <w:gridCol w:w="173"/>
        <w:gridCol w:w="109"/>
        <w:gridCol w:w="109"/>
        <w:gridCol w:w="161"/>
      </w:tblGrid>
      <w:tr>
        <w:trPr/>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18"/>
                  <w:u w:val="single"/>
                </w:rPr>
                <w:t>Amended and Restated Sponsor Agreement, dated as of February 22, 2021, by and among Churchill Capital Corp IV, Churchill Sponsor IV LLC, and Michael Klein, Lee Jay Taragin, Glenn R. August, William J. Bynum, Bonnie Jonas, Mark Klein, Malcom S. McDermid and Karen G. Mills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18"/>
                  <w:u w:val="single"/>
                </w:rPr>
                <w:t>Promissory Note, dated as of February 22, 2021, by and between Churchill Capital Corp IV and Churchill Sponsor IV LLC</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18"/>
                  <w:u w:val="single"/>
                </w:rPr>
                <w:t>Form of Option Agreement under the Lucid Group, Inc. 2021 Stock Incentive Plan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18"/>
                  <w:u w:val="single"/>
                </w:rPr>
                <w:t>Form of RSU Agreement under the Lucid Group, Inc. 2021 Stock Incentive Plan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18"/>
                  <w:u w:val="single"/>
                </w:rPr>
                <w:t>Atieva, Inc. 2009 Share Plan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18"/>
                  <w:u w:val="single"/>
                </w:rPr>
                <w:t>Form of Amended and Restated Notice of Share Option Grant under the Atieva, Inc. 2009 Share Plan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18"/>
                  <w:u w:val="single"/>
                </w:rPr>
                <w:t>Atieva, Inc. 2014 Share Plan, as amended January 11, 2021</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18"/>
                  <w:u w:val="single"/>
                </w:rPr>
                <w:t>Form of Amended and Restated Notice of Share Option Grant under the Atieva, Inc. 2014 Share Plan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18"/>
                  <w:u w:val="single"/>
                </w:rPr>
                <w:t>Atieva, Inc. 2021 Stock Incentive Plan, as amended February 22, 2021</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18"/>
                  <w:u w:val="single"/>
                </w:rPr>
                <w:t>Form of Stock Option Agreement under the Atieva, Inc. 2021 Stock Incentive Plan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8">
              <w:r>
                <w:rPr>
                  <w:rStyle w:val="InternetLink"/>
                  <w:rFonts w:ascii="Times New Roman;sans-serif" w:hAnsi="Times New Roman;sans-serif"/>
                  <w:b w:val="false"/>
                  <w:color w:val="0000FF"/>
                  <w:sz w:val="18"/>
                  <w:u w:val="single"/>
                </w:rPr>
                <w:t xml:space="preserve">Form of RSU Agreement under the Atieva, Inc. 2021 Stock Incentive Plan </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9">
              <w:r>
                <w:rPr>
                  <w:rStyle w:val="InternetLink"/>
                  <w:rFonts w:ascii="Times New Roman;sans-serif" w:hAnsi="Times New Roman;sans-serif"/>
                  <w:b w:val="false"/>
                  <w:color w:val="0000FF"/>
                  <w:sz w:val="18"/>
                  <w:u w:val="single"/>
                </w:rPr>
                <w:t>Form of RSU Agreement under the Atieva, Inc. 2021 Stock Incentive Plan (for Rule 144 Affiliates)</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18"/>
                  <w:u w:val="single"/>
                </w:rPr>
                <w:t>Atieva USA, Inc. Severance Benefit Plan</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18"/>
                  <w:u w:val="single"/>
                </w:rPr>
                <w:t>Lease by and between CADC Partners, LLC and Atieva USA, Inc., dated January 17, 2020</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22,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18"/>
                  <w:u w:val="single"/>
                </w:rPr>
                <w:t>Transaction Bonus Letter Agreement, dated March 29, 2021</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14,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18"/>
                  <w:u w:val="single"/>
                </w:rPr>
                <w:t>Notice of Restricted Stock Unit Grant, dated March 27, 2021</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14,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18"/>
                  <w:u w:val="single"/>
                </w:rPr>
                <w:t>Offer of Employment to Sherry House, dated April 1, 2021</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333-254543</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14, 2021</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18"/>
                  <w:u w:val="single"/>
                </w:rPr>
                <w:t>Offer of Employment to Gagan Dhingra, dated October 29, 2021</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28,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ex1031.htm">
              <w:r>
                <w:rPr>
                  <w:rStyle w:val="InternetLink"/>
                  <w:rFonts w:ascii="Times New Roman;sans-serif" w:hAnsi="Times New Roman;sans-serif"/>
                  <w:b w:val="false"/>
                  <w:color w:val="000080"/>
                  <w:sz w:val="18"/>
                  <w:u w:val="single"/>
                </w:rPr>
                <w:t xml:space="preserve">Offer of Employment to Marc Winterhoff, dated </w:t>
              </w:r>
            </w:hyperlink>
            <w:hyperlink w:anchor="fy2310k-ex1031.htm">
              <w:r>
                <w:rPr>
                  <w:rStyle w:val="InternetLink"/>
                  <w:rFonts w:ascii="Times New Roman;sans-serif" w:hAnsi="Times New Roman;sans-serif"/>
                  <w:b w:val="false"/>
                  <w:color w:val="000080"/>
                  <w:sz w:val="18"/>
                  <w:u w:val="single"/>
                </w:rPr>
                <w:t>November 7</w:t>
              </w:r>
            </w:hyperlink>
            <w:hyperlink w:anchor="fy2310k-ex1031.htm">
              <w:r>
                <w:rPr>
                  <w:rStyle w:val="InternetLink"/>
                  <w:rFonts w:ascii="Times New Roman;sans-serif" w:hAnsi="Times New Roman;sans-serif"/>
                  <w:b w:val="false"/>
                  <w:color w:val="000080"/>
                  <w:sz w:val="18"/>
                  <w:u w:val="single"/>
                </w:rPr>
                <w:t>, 2023</w:t>
              </w:r>
            </w:hyperlink>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ex1032.htm">
              <w:r>
                <w:rPr>
                  <w:rStyle w:val="InternetLink"/>
                  <w:rFonts w:ascii="Times New Roman;sans-serif" w:hAnsi="Times New Roman;sans-serif"/>
                  <w:b w:val="false"/>
                  <w:color w:val="000080"/>
                  <w:sz w:val="18"/>
                  <w:u w:val="single"/>
                </w:rPr>
                <w:t xml:space="preserve">Separation Agreement between Lucid Group, Inc. and Sherry House, dated December </w:t>
              </w:r>
            </w:hyperlink>
            <w:hyperlink w:anchor="fy2310k-ex1032.htm">
              <w:r>
                <w:rPr>
                  <w:rStyle w:val="InternetLink"/>
                  <w:rFonts w:ascii="Times New Roman;sans-serif" w:hAnsi="Times New Roman;sans-serif"/>
                  <w:b w:val="false"/>
                  <w:color w:val="000080"/>
                  <w:sz w:val="18"/>
                  <w:u w:val="single"/>
                </w:rPr>
                <w:t>11</w:t>
              </w:r>
            </w:hyperlink>
            <w:hyperlink w:anchor="fy2310k-ex1032.htm">
              <w:r>
                <w:rPr>
                  <w:rStyle w:val="InternetLink"/>
                  <w:rFonts w:ascii="Times New Roman;sans-serif" w:hAnsi="Times New Roman;sans-serif"/>
                  <w:b w:val="false"/>
                  <w:color w:val="000080"/>
                  <w:sz w:val="18"/>
                  <w:u w:val="single"/>
                </w:rPr>
                <w:t>, 2023</w:t>
              </w:r>
            </w:hyperlink>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18"/>
                  <w:u w:val="single"/>
                </w:rPr>
                <w:t>Loan Agreement, dated as of February 27, 2022, between Lucid LLC and Saudi Industrial Development Fund (English version only)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5,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18"/>
                  <w:u w:val="single"/>
                </w:rPr>
                <w:t>Side Letter to Loan Agreement, dated as of February 27, 2022, between Lucid LLC and Saudi Industrial Development Fund (English version only)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5,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18"/>
                  <w:u w:val="single"/>
                </w:rPr>
                <w:t>Letter of Undertaking, dated as of April 20, 2022, between Lucid LLC and Ministry of Finance of the Kingdom of Saudi Arabia (English version only)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5,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18"/>
                  <w:u w:val="single"/>
                </w:rPr>
                <w:t>Credit Agreement, dated as of June 9, 2022, by and among Lucid Group, Inc., as the Borrower Representative, the other Borrowers party thereto from time to time, the Lenders and Issuing Banks from time to time party thereto and Bank of America, N.A., as Administrative Agent</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15,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18"/>
                  <w:u w:val="single"/>
                </w:rPr>
                <w:t>Facilities Letter, entered into as of April 29, 2022, between Lucid LLC and Gulf International Bank Saudi Arabia (English version only)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3,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18"/>
                  <w:u w:val="single"/>
                </w:rPr>
                <w:t>Lease and Option to Purchase between Pinal County, as landlord, and Lucid USA, Inc., as tenant, dated August 10, 2022</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8,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18"/>
                  <w:u w:val="single"/>
                </w:rPr>
                <w:t>Subscription Agreement, dated November 8, 2022, between Lucid Group, Inc. and Ayar Third Investment Company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8, 2022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18"/>
                  <w:u w:val="single"/>
                </w:rPr>
                <w:t>Subscription Agreement, dated May 31, 2023, between Lucid Group, Inc. and Ayar Third Investment Company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5,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18"/>
                  <w:u w:val="single"/>
                </w:rPr>
                <w:t>Amendment to the Credit Facility Agreement, entered into on March 12, 2023, between Lucid LLC and Gulf International Bank Saudi Arabia (English version only)</w:t>
              </w:r>
            </w:hyperlink>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8,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3"/>
        <w:gridCol w:w="195"/>
        <w:gridCol w:w="198"/>
        <w:gridCol w:w="109"/>
        <w:gridCol w:w="109"/>
        <w:gridCol w:w="109"/>
        <w:gridCol w:w="2106"/>
        <w:gridCol w:w="2076"/>
        <w:gridCol w:w="2081"/>
        <w:gridCol w:w="129"/>
        <w:gridCol w:w="129"/>
        <w:gridCol w:w="131"/>
        <w:gridCol w:w="222"/>
        <w:gridCol w:w="222"/>
        <w:gridCol w:w="223"/>
        <w:gridCol w:w="429"/>
        <w:gridCol w:w="322"/>
        <w:gridCol w:w="302"/>
        <w:gridCol w:w="169"/>
        <w:gridCol w:w="169"/>
        <w:gridCol w:w="173"/>
        <w:gridCol w:w="109"/>
        <w:gridCol w:w="109"/>
        <w:gridCol w:w="161"/>
      </w:tblGrid>
      <w:tr>
        <w:trPr/>
        <w:tc>
          <w:tcPr>
            <w:tcW w:w="2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18"/>
                  <w:u w:val="single"/>
                </w:rPr>
                <w:t>Implementation Agreement, dated June 26, 2023, by and among Lucid Group, Inc., Atieva, Inc., Lucid Group Technologies, LLC, Aston Martin Lagonda Global Holdings plc and Aston Martin Lagonda Limited</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7,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18"/>
                  <w:u w:val="single"/>
                </w:rPr>
                <w:t>Electric Vehicle Purchase Agreement, dated August 7, 2023, between the Government of the Kingdom of Saudi Arabia (as Represented by the Ministry of Finance) and Lucid LLC.</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7,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18"/>
                  <w:u w:val="single"/>
                </w:rPr>
                <w:t>General Terms and Conditions for Prototype and Production Parts and Services, effective as of December 1, 2022, by and between Lucid USA, Inc. and Panasonic Energy Co., Ltd.</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28,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10.34</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18"/>
                  <w:u w:val="single"/>
                </w:rPr>
                <w:t>Production Pricing Agreement, effective as of December 1, 2022, by and between Lucid USA, Inc. and Panasonic Corporation of North America doing business as Panasonic Industrial Devices Sales Company of America</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28,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18"/>
                  <w:u w:val="single"/>
                </w:rPr>
                <w:t>Production Pricing Agreement, effective as of December 1, 2022, by and between Lucid USA, Inc. and Panasonic Energy Corporation of North America</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28,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10.36</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18"/>
                  <w:u w:val="single"/>
                </w:rPr>
                <w:t>Affiliate Participation Agreement, effective as of December 1, 2022, by and between Panasonic Corporation of North America doing business as Panasonic Industrial Devices Sales Company of America and Lucid USA, Inc.</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28,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10.37</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18"/>
                  <w:u w:val="single"/>
                </w:rPr>
                <w:t>Affiliate Participation Agreement, effective as of December 1, 2022, by and between Panasonic Energy Corporation of North America and Lucid USA, Inc.</w:t>
              </w:r>
            </w:hyperlink>
          </w:p>
        </w:tc>
        <w:tc>
          <w:tcPr>
            <w:tcW w:w="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28, 2023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10.38</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ex1049.htm">
              <w:r>
                <w:rPr>
                  <w:rStyle w:val="InternetLink"/>
                  <w:rFonts w:ascii="Times New Roman;sans-serif" w:hAnsi="Times New Roman;sans-serif"/>
                  <w:b w:val="false"/>
                  <w:color w:val="0000FF"/>
                  <w:sz w:val="18"/>
                  <w:u w:val="single"/>
                </w:rPr>
                <w:t>Interim Supply Agreement, dated June 26, 2023, by and among Lucid Group Technologies, LLC, Atieva, Inc., and Aston Martin Lagonda Limited.</w:t>
              </w:r>
            </w:hyperlink>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ex211.htm">
              <w:r>
                <w:rPr>
                  <w:rStyle w:val="InternetLink"/>
                  <w:rFonts w:ascii="Times New Roman;sans-serif" w:hAnsi="Times New Roman;sans-serif"/>
                  <w:b w:val="false"/>
                  <w:color w:val="0000FF"/>
                  <w:sz w:val="18"/>
                  <w:u w:val="single"/>
                </w:rPr>
                <w:t>List of Significant Subsidiaries of Lucid Group, Inc.</w:t>
              </w:r>
            </w:hyperlink>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ex231.htm">
              <w:r>
                <w:rPr>
                  <w:rStyle w:val="InternetLink"/>
                  <w:rFonts w:ascii="Times New Roman;sans-serif" w:hAnsi="Times New Roman;sans-serif"/>
                  <w:b w:val="false"/>
                  <w:color w:val="000080"/>
                  <w:sz w:val="18"/>
                  <w:u w:val="single"/>
                </w:rPr>
                <w:t>Consent of Independent Registered Public Accounting Firm</w:t>
              </w:r>
            </w:hyperlink>
            <w:hyperlink w:anchor="fy2310k-ex231.htm">
              <w:r>
                <w:rPr>
                  <w:rStyle w:val="InternetLink"/>
                  <w:rFonts w:ascii="Times New Roman;sans-serif" w:hAnsi="Times New Roman;sans-serif"/>
                  <w:b w:val="false"/>
                  <w:color w:val="000080"/>
                  <w:sz w:val="18"/>
                  <w:u w:val="single"/>
                </w:rPr>
                <w:t xml:space="preserve"> (KPMG LLP).</w:t>
              </w:r>
            </w:hyperlink>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ex232.htm">
              <w:r>
                <w:rPr>
                  <w:rStyle w:val="InternetLink"/>
                  <w:rFonts w:ascii="Times New Roman;sans-serif" w:hAnsi="Times New Roman;sans-serif"/>
                  <w:b w:val="false"/>
                  <w:color w:val="0000FF"/>
                  <w:sz w:val="18"/>
                  <w:u w:val="single"/>
                </w:rPr>
                <w:t>Consent of Independent Registered Public Accounting Firm (Grant Thornton LLP).</w:t>
              </w:r>
            </w:hyperlink>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ex311.htm">
              <w:r>
                <w:rPr>
                  <w:rStyle w:val="InternetLink"/>
                  <w:rFonts w:ascii="Times New Roman;sans-serif" w:hAnsi="Times New Roman;sans-serif"/>
                  <w:b w:val="false"/>
                  <w:color w:val="0000FF"/>
                  <w:sz w:val="18"/>
                  <w:u w:val="single"/>
                </w:rPr>
                <w:t>Certification of Principal Executive Officer Required Under Rule 13a-14(a) and 15d-14(a) of the Securities Exchange Act of 1934, as amended</w:t>
              </w:r>
            </w:hyperlink>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ex312.htm">
              <w:r>
                <w:rPr>
                  <w:rStyle w:val="InternetLink"/>
                  <w:rFonts w:ascii="Times New Roman;sans-serif" w:hAnsi="Times New Roman;sans-serif"/>
                  <w:b w:val="false"/>
                  <w:color w:val="000080"/>
                  <w:sz w:val="18"/>
                  <w:u w:val="single"/>
                </w:rPr>
                <w:t xml:space="preserve">Certification of </w:t>
              </w:r>
            </w:hyperlink>
            <w:hyperlink w:anchor="fy2310k-ex312.htm">
              <w:r>
                <w:rPr>
                  <w:rStyle w:val="InternetLink"/>
                  <w:rFonts w:ascii="Times New Roman;sans-serif" w:hAnsi="Times New Roman;sans-serif"/>
                  <w:b w:val="false"/>
                  <w:color w:val="000080"/>
                  <w:sz w:val="18"/>
                  <w:u w:val="single"/>
                </w:rPr>
                <w:t>Princip</w:t>
              </w:r>
            </w:hyperlink>
            <w:hyperlink w:anchor="fy2310k-ex312.htm">
              <w:r>
                <w:rPr>
                  <w:rStyle w:val="InternetLink"/>
                  <w:rFonts w:ascii="Times New Roman;sans-serif" w:hAnsi="Times New Roman;sans-serif"/>
                  <w:b w:val="false"/>
                  <w:color w:val="000080"/>
                  <w:sz w:val="18"/>
                  <w:u w:val="single"/>
                </w:rPr>
                <w:t>a</w:t>
              </w:r>
            </w:hyperlink>
            <w:hyperlink w:anchor="fy2310k-ex312.htm">
              <w:r>
                <w:rPr>
                  <w:rStyle w:val="InternetLink"/>
                  <w:rFonts w:ascii="Times New Roman;sans-serif" w:hAnsi="Times New Roman;sans-serif"/>
                  <w:b w:val="false"/>
                  <w:color w:val="000080"/>
                  <w:sz w:val="18"/>
                  <w:u w:val="single"/>
                </w:rPr>
                <w:t>l</w:t>
              </w:r>
            </w:hyperlink>
            <w:hyperlink w:anchor="fy2310k-ex312.htm">
              <w:r>
                <w:rPr>
                  <w:rStyle w:val="InternetLink"/>
                  <w:rFonts w:ascii="Times New Roman;sans-serif" w:hAnsi="Times New Roman;sans-serif"/>
                  <w:b w:val="false"/>
                  <w:color w:val="000080"/>
                  <w:sz w:val="18"/>
                  <w:u w:val="single"/>
                </w:rPr>
                <w:t xml:space="preserve"> Financial Officer Required Under Rule 13a-14(a) and 15d-14(a) of the Securities Exchange Act of 1934, as amended</w:t>
              </w:r>
            </w:hyperlink>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ex321.htm">
              <w:r>
                <w:rPr>
                  <w:rStyle w:val="InternetLink"/>
                  <w:rFonts w:ascii="Times New Roman;sans-serif" w:hAnsi="Times New Roman;sans-serif"/>
                  <w:b w:val="false"/>
                  <w:color w:val="000080"/>
                  <w:sz w:val="18"/>
                  <w:u w:val="single"/>
                </w:rPr>
                <w:t xml:space="preserve">Certification of </w:t>
              </w:r>
            </w:hyperlink>
            <w:hyperlink w:anchor="fy2310k-ex321.htm">
              <w:r>
                <w:rPr>
                  <w:rStyle w:val="InternetLink"/>
                  <w:rFonts w:ascii="Times New Roman;sans-serif" w:hAnsi="Times New Roman;sans-serif"/>
                  <w:b w:val="false"/>
                  <w:color w:val="000080"/>
                  <w:sz w:val="18"/>
                  <w:u w:val="single"/>
                </w:rPr>
                <w:t>C</w:t>
              </w:r>
            </w:hyperlink>
            <w:hyperlink w:anchor="fy2310k-ex321.htm">
              <w:r>
                <w:rPr>
                  <w:rStyle w:val="InternetLink"/>
                  <w:rFonts w:ascii="Times New Roman;sans-serif" w:hAnsi="Times New Roman;sans-serif"/>
                  <w:b w:val="false"/>
                  <w:color w:val="000080"/>
                  <w:sz w:val="18"/>
                  <w:u w:val="single"/>
                </w:rPr>
                <w:t>hief</w:t>
              </w:r>
            </w:hyperlink>
            <w:hyperlink w:anchor="fy2310k-ex321.htm">
              <w:r>
                <w:rPr>
                  <w:rStyle w:val="InternetLink"/>
                  <w:rFonts w:ascii="Times New Roman;sans-serif" w:hAnsi="Times New Roman;sans-serif"/>
                  <w:b w:val="false"/>
                  <w:color w:val="000080"/>
                  <w:sz w:val="18"/>
                  <w:u w:val="single"/>
                </w:rPr>
                <w:t xml:space="preserve"> Executive Officer pursuant to 18 U.S.C. Section 1350, as adopted pursuant to Section 906 of the Sarbanes-Oxley Act of 2002</w:t>
              </w:r>
            </w:hyperlink>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ex322.htm">
              <w:r>
                <w:rPr>
                  <w:rStyle w:val="InternetLink"/>
                  <w:rFonts w:ascii="Times New Roman;sans-serif" w:hAnsi="Times New Roman;sans-serif"/>
                  <w:b w:val="false"/>
                  <w:color w:val="000080"/>
                  <w:sz w:val="18"/>
                  <w:u w:val="single"/>
                </w:rPr>
                <w:t xml:space="preserve">Certification of </w:t>
              </w:r>
            </w:hyperlink>
            <w:hyperlink w:anchor="fy2310k-ex322.htm">
              <w:r>
                <w:rPr>
                  <w:rStyle w:val="InternetLink"/>
                  <w:rFonts w:ascii="Times New Roman;sans-serif" w:hAnsi="Times New Roman;sans-serif"/>
                  <w:b w:val="false"/>
                  <w:color w:val="000080"/>
                  <w:sz w:val="18"/>
                  <w:u w:val="single"/>
                </w:rPr>
                <w:t>Chief</w:t>
              </w:r>
            </w:hyperlink>
            <w:hyperlink w:anchor="fy2310k-ex322.htm">
              <w:r>
                <w:rPr>
                  <w:rStyle w:val="InternetLink"/>
                  <w:rFonts w:ascii="Times New Roman;sans-serif" w:hAnsi="Times New Roman;sans-serif"/>
                  <w:b w:val="false"/>
                  <w:color w:val="000080"/>
                  <w:sz w:val="18"/>
                  <w:u w:val="single"/>
                </w:rPr>
                <w:t xml:space="preserve"> Financial Officer pursuant to 18 U.S.C. Section 1350, as adopted pursuant to Section 906 of the Sarbanes-Oxley Act of 2002</w:t>
              </w:r>
            </w:hyperlink>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310k-ex971.htm">
              <w:r>
                <w:rPr>
                  <w:rStyle w:val="InternetLink"/>
                  <w:rFonts w:ascii="Times New Roman;sans-serif" w:hAnsi="Times New Roman;sans-serif"/>
                  <w:b w:val="false"/>
                  <w:color w:val="0000FF"/>
                  <w:sz w:val="18"/>
                  <w:u w:val="single"/>
                </w:rPr>
                <w:t>Lucid Group, Inc. Compensation Recoupment Policy</w:t>
              </w:r>
            </w:hyperlink>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Schema Linkbase Document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Definition Linkbase Document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Labels Linkbase Document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Presentation Linkbase Document</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pStyle w:val="TextBody"/>
        <w:bidi w:val="0"/>
        <w:spacing w:lineRule="auto" w:line="288" w:before="60" w:after="283"/>
        <w:ind w:left="0" w:right="0" w:hanging="720"/>
        <w:jc w:val="left"/>
        <w:rPr/>
      </w:pPr>
      <w:r>
        <w:rPr>
          <w:rFonts w:ascii="Times New Roman;sans-serif" w:hAnsi="Times New Roman;sans-serif"/>
          <w:b w:val="false"/>
          <w:color w:val="000000"/>
          <w:sz w:val="20"/>
        </w:rPr>
        <w:t>#    </w:t>
      </w:r>
      <w:r>
        <w:rPr>
          <w:rFonts w:ascii="Times New Roman;sans-serif" w:hAnsi="Times New Roman;sans-serif"/>
          <w:b w:val="false"/>
          <w:color w:val="000000"/>
          <w:sz w:val="20"/>
          <w:shd w:fill="FFFFFF" w:val="clear"/>
        </w:rPr>
        <w:t>Portions of this exhibit have been redacted in compliance with Regulation S-K Item 601(b)(10)(iv).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648" w:type="dxa"/>
        <w:jc w:val="left"/>
        <w:tblInd w:w="0" w:type="dxa"/>
        <w:tblLayout w:type="fixed"/>
        <w:tblCellMar>
          <w:top w:w="28" w:type="dxa"/>
          <w:left w:w="28" w:type="dxa"/>
          <w:bottom w:w="28" w:type="dxa"/>
          <w:right w:w="28" w:type="dxa"/>
        </w:tblCellMar>
      </w:tblPr>
      <w:tblGrid>
        <w:gridCol w:w="754"/>
        <w:gridCol w:w="664"/>
        <w:gridCol w:w="667"/>
        <w:gridCol w:w="308"/>
        <w:gridCol w:w="308"/>
        <w:gridCol w:w="308"/>
        <w:gridCol w:w="771"/>
        <w:gridCol w:w="771"/>
        <w:gridCol w:w="109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LUCID GROUP,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692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301"/>
        <w:gridCol w:w="1301"/>
        <w:gridCol w:w="183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tbl>
      <w:tblPr>
        <w:tblW w:w="10205" w:type="dxa"/>
        <w:jc w:val="left"/>
        <w:tblInd w:w="0" w:type="dxa"/>
        <w:tblLayout w:type="fixed"/>
        <w:tblCellMar>
          <w:top w:w="28" w:type="dxa"/>
          <w:left w:w="28" w:type="dxa"/>
          <w:bottom w:w="28" w:type="dxa"/>
          <w:right w:w="28" w:type="dxa"/>
        </w:tblCellMar>
      </w:tblPr>
      <w:tblGrid>
        <w:gridCol w:w="713"/>
        <w:gridCol w:w="628"/>
        <w:gridCol w:w="631"/>
        <w:gridCol w:w="146"/>
        <w:gridCol w:w="146"/>
        <w:gridCol w:w="148"/>
        <w:gridCol w:w="2286"/>
        <w:gridCol w:w="2274"/>
        <w:gridCol w:w="3233"/>
      </w:tblGrid>
      <w:tr>
        <w:trPr/>
        <w:tc>
          <w:tcPr>
            <w:tcW w:w="71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4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 (Interim Principal Financial Officer and Principal Accounting Officer)</w:t>
            </w:r>
          </w:p>
        </w:tc>
      </w:tr>
    </w:tbl>
    <w:tbl>
      <w:tblPr>
        <w:tblW w:w="4334"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527"/>
        <w:gridCol w:w="527"/>
        <w:gridCol w:w="74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Turqi Alnowaiser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Turqi Alnowaiser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tbl>
      <w:tblPr>
        <w:tblW w:w="4273"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508"/>
        <w:gridCol w:w="508"/>
        <w:gridCol w:w="72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Glenn R. August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Glenn R. August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tbl>
      <w:tblPr>
        <w:tblW w:w="4168"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478"/>
        <w:gridCol w:w="478"/>
        <w:gridCol w:w="67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Liveris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Liveris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tbl>
      <w:tblPr>
        <w:tblW w:w="4183"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482"/>
        <w:gridCol w:w="482"/>
        <w:gridCol w:w="68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Sherif Marakby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Sherif Marakby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tbl>
      <w:tblPr>
        <w:tblW w:w="4978"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716"/>
        <w:gridCol w:w="716"/>
        <w:gridCol w:w="101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Nichelle Maynard-Elliott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Nichelle Maynard-Elliott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tbl>
      <w:tblPr>
        <w:tblW w:w="3928"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407"/>
        <w:gridCol w:w="407"/>
        <w:gridCol w:w="58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Chabi Nouri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Chabi Nouri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tbl>
      <w:tblPr>
        <w:tblW w:w="3928"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407"/>
        <w:gridCol w:w="407"/>
        <w:gridCol w:w="58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Ori Winitzer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Ori Winitzer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before="0" w:after="0"/>
        <w:jc w:val="left"/>
        <w:rPr/>
      </w:pPr>
      <w:r>
        <w:rPr/>
      </w:r>
    </w:p>
    <w:tbl>
      <w:tblPr>
        <w:tblW w:w="4079" w:type="dxa"/>
        <w:jc w:val="left"/>
        <w:tblInd w:w="0" w:type="dxa"/>
        <w:tblLayout w:type="fixed"/>
        <w:tblCellMar>
          <w:top w:w="28" w:type="dxa"/>
          <w:left w:w="28" w:type="dxa"/>
          <w:bottom w:w="28" w:type="dxa"/>
          <w:right w:w="28" w:type="dxa"/>
        </w:tblCellMar>
      </w:tblPr>
      <w:tblGrid>
        <w:gridCol w:w="754"/>
        <w:gridCol w:w="664"/>
        <w:gridCol w:w="667"/>
        <w:gridCol w:w="149"/>
        <w:gridCol w:w="149"/>
        <w:gridCol w:w="151"/>
        <w:gridCol w:w="452"/>
        <w:gridCol w:w="452"/>
        <w:gridCol w:w="64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Janet S. Wong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Janet S. Wong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120" w:after="283"/>
        <w:jc w:val="right"/>
        <w:rPr>
          <w:rFonts w:ascii="Times New Roman;sans-serif" w:hAnsi="Times New Roman;sans-serif"/>
          <w:b/>
          <w:color w:val="000000"/>
          <w:sz w:val="20"/>
        </w:rPr>
      </w:pPr>
      <w:r>
        <w:rPr>
          <w:rFonts w:ascii="Times New Roman;sans-serif" w:hAnsi="Times New Roman;sans-serif"/>
          <w:b/>
          <w:color w:val="000000"/>
          <w:sz w:val="20"/>
        </w:rPr>
        <w:t>EXHIBIT 10.31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before="120" w:after="283"/>
        <w:jc w:val="righ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November 7,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Marc Winterhoff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 Offer of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Dear Marc,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It gives me great pleasure to offer you the exempt position with Lucid USA, Inc. (doing business as Lucid Motors) (the “Company”) as Chief Operating Officer, reporting to Peter Rawlinson, CEO and CTO. Unless otherwise mutually agreed by you and the Company, you will begin your position on December 4, 2023 (“Hire Date”). The terms and conditions of your employment with the Company will be as set forth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Base Salary and Other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will be paid the following compensation during your employment: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You will be paid a base salary of $22,884.61 per bi-weekly pay period ($595,000 annualized), less applicable tax and other withholdings.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In addition to your base salary, you will be eligible to earn a target incentive bonus of 90% of your base salary, less applicable tax and other withholdings, as determined by the Company in its discretion based upon the Company's performance and your individual performance. The bonus will be paid in the first quarter of the following year on a date determined by the Company in its sole discretion. You must be employed on the date the bonus is paid to be eligible to receive the bonus. Your eligibility for this bonus will begin on your start date for the performance year of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Company is pleased to offer you a one-time sign-on bonus of $3,350,000 less applicable taxes and other withholdings. This sign-on bonus will be advanced within 30 days following your Hire Date but will only become earned in the event that you (i) successfully continue employment with the Company in good standing (as determined by the Company in its sole discretion) through August 1, 2027, (ii) are terminated without Cause or experience a Constructive Termination (each as defined in the Lucid Group, Inc. Executive Severance Benefit Plan (the “Severance Plan”)) prior to August 1, 2027 (subject to your satisfaction of the release requirement set forth in the Severance Plan) or (iii) are terminated due to death or Disability (as defined in the Lucid Group, Inc. Amended and Restated 2021 Stock Incentive Plan (the “Stock Plan”)) prior to August 1, 2027. If you resign from your employment with the Company other than due to a Constructive Termination or if you are terminated for Cause, in each case, before August 1, 2027, you will immediately repay the Company the following (gross) amount of this sign-on bonus: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1"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tbl>
      <w:tblPr>
        <w:tblW w:w="8234" w:type="dxa"/>
        <w:jc w:val="left"/>
        <w:tblInd w:w="0" w:type="dxa"/>
        <w:tblLayout w:type="fixed"/>
        <w:tblCellMar>
          <w:top w:w="28" w:type="dxa"/>
          <w:left w:w="28" w:type="dxa"/>
          <w:bottom w:w="28" w:type="dxa"/>
          <w:right w:w="28" w:type="dxa"/>
        </w:tblCellMar>
      </w:tblPr>
      <w:tblGrid>
        <w:gridCol w:w="2271"/>
        <w:gridCol w:w="1995"/>
        <w:gridCol w:w="2003"/>
        <w:gridCol w:w="574"/>
        <w:gridCol w:w="574"/>
        <w:gridCol w:w="817"/>
      </w:tblGrid>
      <w:tr>
        <w:trPr/>
        <w:tc>
          <w:tcPr>
            <w:tcW w:w="2271"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D9D9D9"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2"/>
              </w:rPr>
            </w:pPr>
            <w:r>
              <w:rPr>
                <w:rFonts w:ascii="Times New Roman;sans-serif" w:hAnsi="Times New Roman;sans-serif"/>
                <w:b/>
                <w:color w:val="000000"/>
                <w:sz w:val="22"/>
              </w:rPr>
              <w:t>Termination Date</w:t>
            </w:r>
          </w:p>
        </w:tc>
        <w:tc>
          <w:tcPr>
            <w:tcW w:w="1965" w:type="dxa"/>
            <w:gridSpan w:val="3"/>
            <w:tcBorders/>
            <w:shd w:fill="D9D9D9"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2"/>
              </w:rPr>
            </w:pPr>
            <w:r>
              <w:rPr>
                <w:rFonts w:ascii="Times New Roman;sans-serif" w:hAnsi="Times New Roman;sans-serif"/>
                <w:b/>
                <w:color w:val="000000"/>
                <w:sz w:val="22"/>
              </w:rPr>
              <w:t>Clawback Amount</w:t>
            </w:r>
          </w:p>
        </w:tc>
      </w:tr>
      <w:tr>
        <w:trPr/>
        <w:tc>
          <w:tcPr>
            <w:tcW w:w="62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or prior to November 30, 2024</w:t>
            </w:r>
          </w:p>
        </w:tc>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$3,350,000</w:t>
            </w:r>
          </w:p>
        </w:tc>
      </w:tr>
      <w:tr>
        <w:trPr/>
        <w:tc>
          <w:tcPr>
            <w:tcW w:w="62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or after December 1, 2024 but on or prior to July 31, 2025</w:t>
            </w:r>
          </w:p>
        </w:tc>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$2,100,000</w:t>
            </w:r>
          </w:p>
        </w:tc>
      </w:tr>
      <w:tr>
        <w:trPr/>
        <w:tc>
          <w:tcPr>
            <w:tcW w:w="62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or after August 1, 2025 but on or prior to November 31, 2025</w:t>
            </w:r>
          </w:p>
        </w:tc>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$1,800,000</w:t>
            </w:r>
          </w:p>
        </w:tc>
      </w:tr>
      <w:tr>
        <w:trPr/>
        <w:tc>
          <w:tcPr>
            <w:tcW w:w="62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or after December 1, 2025 but on or prior to July 31, 2026</w:t>
            </w:r>
          </w:p>
        </w:tc>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$550,000</w:t>
            </w:r>
          </w:p>
        </w:tc>
      </w:tr>
      <w:tr>
        <w:trPr/>
        <w:tc>
          <w:tcPr>
            <w:tcW w:w="62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or after August 1, 2026 and on or prior to July 31, 2027</w:t>
            </w:r>
          </w:p>
        </w:tc>
        <w:tc>
          <w:tcPr>
            <w:tcW w:w="19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$250,000</w:t>
            </w:r>
          </w:p>
        </w:tc>
      </w:tr>
    </w:tbl>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Your place of employment will be the Newark, CA headquarters for Lucid Motors, provided that you will be required to travel as needed for business purposes.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You will be expected to relocate to the Newark, CA area by September 2, 2024. In connection with your relocation, you will be provided senior executive relocation support. The Company is pleased to offer employee relocation support through a managed service. Any advanced relocation costs will only become earned as follows: in the event that you (i) successfully remain employed through September 1, 2025, (ii) are terminated without Cause or experience a Constructive Termination prior to September 1, 2025 (subject to your satisfaction of the release requirement set forth in the Severance Plan) or (iii) are terminated due to death or Disability prior to September 1, 2025, one hundred percent (100%) of the advanced relocation costs will become earned. If you resign from your employment with the Company other than due to a Constructive Termination or if you are terminated for Cause, in each case, before September 1, 2025, you will immediately repay the Company the full (gross) amount of any advanced relocation costs.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Severance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You will be eligible to participate in the Severance Plan. Upon your acceptance of this offer and after your start of employment with the Company and the successful completion (as determined by the Company in its sole discretion) of your background check, you will receive a Participation Agreement substantially in the form attached hereto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for your review and signature. Subject to your acceptance of this Participation Agreement under the Severance Plan and the successful completion (as determined by the Company in its sole discretion) of your background check, you will be eligible for the severance benefits described in the Severance Plan and your Participation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to any severance that you may be eligible to receive under the Severance Plan, and unless it would be duplicative of any other benefit that you may become entitled to, if you are terminated without Cause or experience a Constructive Termination, subject to your satisfaction of the release requirement set forth in the Severance Plan, you will receive an amount equal to your incentive bonus for the year in which your employment terminates based on projected actual Company performance at the time of your termination as determined in the Board’s sole discretion, prorated based on the number of full months that you were employed during the year in which your employment terminates.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2"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Employee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will be eligible to participate in the Company employee benefit plans that the Company makes available to similarly situated employees. The Company provides a competitive benefit package that currently includes major medical, vision, and dental insurance plans, paid time off, flexible spending account and a 401(k) program. The eligibility dates of the benefits are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Group health insurance benefits: commence on hire date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Vacation days and sick days: accrual starts on hire date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Flexible spending account: eligibility starts on hire date but can take up to 3 pay periods before any payroll deductions are actually deposited into account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401(k) program: eligibility starts on hire date but can take up to 3 pay periods before any payroll deductions are actually deposited into account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Equity-based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received approval from the Board of Directors of Lucid Group, Inc. (the “Board”) to provide you with new hire equity-based awards having a total grant value of $10,000,000. Such equity-based awards will be allocated through three awards as follows, subject to commencement of your employment with the Company (collectively, the “Sign-On Awards”):</w:t>
      </w:r>
    </w:p>
    <w:p>
      <w:pPr>
        <w:pStyle w:val="TextBody"/>
        <w:bidi w:val="0"/>
        <w:spacing w:before="0" w:after="0"/>
        <w:jc w:val="both"/>
        <w:rPr/>
      </w:pPr>
      <w:r>
        <w:rPr/>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2"/>
          <w:u w:val="single"/>
        </w:rPr>
        <w:t>RSUs</w:t>
      </w:r>
      <w:r>
        <w:rPr>
          <w:rFonts w:ascii="Times New Roman;sans-serif" w:hAnsi="Times New Roman;sans-serif"/>
          <w:b w:val="false"/>
          <w:color w:val="000000"/>
          <w:sz w:val="22"/>
        </w:rPr>
        <w:t>: An award of restricted stock units (“RSUs”) with a grant value of $3,000,000. The RSUs will generally be eligible to vest over four years as follows: 1/4 will be eligible to vest on the first Company Vesting Date (as defined below) to occur on or following the first anniversary of your Hire Date, and 1/16 of the total RSUs granted will vest quarterly thereafter on each subsequent Company Vesting Date, subject to your continued employment through each vesting date. “Company Vesting Date” means March 5, June 5, September 5, and December 5 of each calendar year.</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2"/>
          <w:u w:val="single"/>
        </w:rPr>
        <w:t>Premium-priced Options</w:t>
      </w:r>
      <w:r>
        <w:rPr>
          <w:rFonts w:ascii="Times New Roman;sans-serif" w:hAnsi="Times New Roman;sans-serif"/>
          <w:b w:val="false"/>
          <w:color w:val="000000"/>
          <w:sz w:val="22"/>
        </w:rPr>
        <w:t>: An award of premium-priced stock options to purchase shares of Lucid Group, Inc. stock with a grant value of $1,000,000. The exercise price of the stock options will be equal to 125% of the volume-weighted average closing stock price of Lucid Group, Inc. stock for the 30 trading days ending on the grant date (but no less than the closing price on the date of grant). The stock options will generally be eligible to vest over four years as follows: 1/4 will be eligible to vest on the first anniversary of the Hire Date, and 1/48 of the total options granted will vest on each subsequent monthly anniversary thereafter, subject to your continued employment through each vesting date.</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2"/>
          <w:u w:val="single"/>
        </w:rPr>
        <w:t>Performance-based restricted stock units (“PSUs”)</w:t>
      </w:r>
      <w:r>
        <w:rPr>
          <w:rFonts w:ascii="Times New Roman;sans-serif" w:hAnsi="Times New Roman;sans-serif"/>
          <w:b w:val="false"/>
          <w:color w:val="000000"/>
          <w:sz w:val="22"/>
        </w:rPr>
        <w:t>: The Company has received approval from the Board to provide you with an award, under the next performance cycle that is established by the Board, of PSUs with a grant value of $6,000,000. We expect the Board to approve PSU grants for the next performance cycle during the first quarter of 2024. The PSUs will generally provide you the opportunity to earn shares of Lucid Group, Inc. stock (and/or cash equivalent) based on the satisfaction of key financial corporate objectives and/or individual objectives for the performance cycle duration which will be established by the Board.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number of RSUs, premium-priced stock options and PSUs granted in respect of the Sign-On Awards will be determined using the Company’s standard conversion methodology. The Sign-On Awards are subject in all respects to approval by the Board and the terms and conditions of the applicable equity incentive plan and award agreements, which you will be required to enter into to receive the Sign-On Awards.</w:t>
      </w:r>
    </w:p>
    <w:p>
      <w:pPr>
        <w:pStyle w:val="TextBody"/>
        <w:bidi w:val="0"/>
        <w:jc w:val="both"/>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3"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respect to the Sign-On Awards only, to the extent that you have entered into the applicable award agreement, if you are terminated without Cause or experience a Constructive Termination, subject to your satisfaction of the release requirement set forth in the Severance Plan, (i) the RSUs and the premium-price stock options will vest in full and (ii) the PSUs will service-vest in full, but will remain subject to the applicable performance-vesting conditions based on actual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will be eligible to receive additional equity-based awards under the Company’s equity incentive plan from time to time, with any new awards made in the sole discretion of the Board and with the expectation that you will receive any such awards beginning in 2025. The amount of such periodic or annual equity-based awards may vary year-to-year based on performance or other considerations as may be determined by the Board in its discretion. In order to receive your awards, you will be required to enter into award agreements setting forth the terms and conditions that govern your grants.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Proof of Right to Work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Your employment is contingent upon providing appropriate documentation for the completion of your new hire forms, including proof that you are presently eligible to work in the United States for I-9 form purposes. Failure to provide appropriate documentation within three days of your hire date will result in immediate termination of employment in accordance with the terms of the Immigration Reform and Control Act.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Confidential Information and Invention Assignment Agreement; Arbitration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Your acceptance of this offer and commencement of employment with the Company is contingent upon the execution, and delivery to an officer of the Company, of the Company’s (i) Confidential Information and Invention Assignment Agreement and (ii) Arbitration Agreement, in each case, prior to or on your Hire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Background Checks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offer is contingent upon the successful completion (as determined by the Company) of any background or reference checks desired by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Release From Restrictive Covenants; No Other Restrictions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offer is contingent upon the Company obtaining any waiver from your current employer as the Company deems necessary to release you, the Company and/or its affiliates, as applicable, from any restrictive covenants that you, the Company and/or its affiliates is subject to with respect to your current employer that could prevent, hinder or interfere with your acceptance of this offer or the exercise of your best efforts in the performance of your duties to the Company or any of its affiliates.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hereby represent that you are otherwise not subject to any restrictive covenants that could prevent, hinder or interfere with your acceptance of this offer or the exercise of your best efforts in the performance of your duties to the Company or any of its affiliates.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4"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Driver’s License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driving will be one of the essential functions of your job, as a further condition of your employment, you must: (a) authorize the Company to conduct a DMV (or similar) check of your driving record; (b) have maintained an excellent driving record (as determined by the Company in its discretion) for at least the past five (5) years; ( c) currently have the appropriate license for the type of driving you will be doing on behalf of the Company; (d) maintain the appropriate license for the type of driving you will be doing on behalf of the Company at all times during your employment; and (e) maintain an excellent driving record (as determined by the Company in its discretion) at all times during your employment with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Return of Materials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Prior to your employment with the Company, you shall return all materials to your former employer or client, including any electronic storage devices, and ensure that you have not retained any files or records of your former employer or client on any media, including cloud-based storage systems.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Recoupment Policy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acknowledge and agree that any Covered Compensation (as defined in the Company’s Compensation Recoupment Policy (as may be amended from time to time, the “Recoupment Policy”)) that you receive in the future from the Company or its affiliates shall be subject to the Recoupment Policy.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At-Will Employment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Your employment with the Company is “at will,” and thus you or the Company may terminate our employment relationship at any time, with or without cause or advance notice. The Company reserves the right, in its sole discretion, to change your position, duties, compensation, and/or employee benefits at any time on a prospective basis. This offer shall be governed by and construed under the laws of the state of California.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Integration and Modification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offer, together with any other documents described herein, sets forth the terms and conditions of our offer of employment with the Company, and supersedes any prior representations or agreements concerning your employment with the Company, whether written or oral. You acknowledge and agree that you are not relying on any statements or representations concerning the Company or your employment with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welcome you to Lucid Motors and look forward to working with you. We trust that it will be a mutually rewarding experience. Please confirm your acceptance of this offer by signing and dating this offer on the spaces below and returning it to 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2264" w:type="dxa"/>
        <w:jc w:val="left"/>
        <w:tblInd w:w="0" w:type="dxa"/>
        <w:tblLayout w:type="fixed"/>
        <w:tblCellMar>
          <w:top w:w="28" w:type="dxa"/>
          <w:left w:w="28" w:type="dxa"/>
          <w:bottom w:w="28" w:type="dxa"/>
          <w:right w:w="28" w:type="dxa"/>
        </w:tblCellMar>
      </w:tblPr>
      <w:tblGrid>
        <w:gridCol w:w="723"/>
        <w:gridCol w:w="637"/>
        <w:gridCol w:w="904"/>
      </w:tblGrid>
      <w:tr>
        <w:trPr/>
        <w:tc>
          <w:tcPr>
            <w:tcW w:w="72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Gale Halsey</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Gale Halsey</w:t>
              <w:br/>
              <w:t>Vice President, People</w:t>
            </w:r>
          </w:p>
        </w:tc>
      </w:tr>
    </w:tbl>
    <w:p>
      <w:pPr>
        <w:pStyle w:val="TextBody"/>
        <w:bidi w:val="0"/>
        <w:spacing w:before="120" w:after="283"/>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5"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have read and understand the terms and conditions set forth in this offer. Furthermore, in choosing to accept this employment with Lucid USA, Inc. (dba Lucid Motors), I agree that I am not relying on any representations, whether verbal or written, except as specifically set forth in this offer.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3015" w:type="dxa"/>
        <w:jc w:val="left"/>
        <w:tblInd w:w="0" w:type="dxa"/>
        <w:tblLayout w:type="fixed"/>
        <w:tblCellMar>
          <w:top w:w="28" w:type="dxa"/>
          <w:left w:w="28" w:type="dxa"/>
          <w:bottom w:w="28" w:type="dxa"/>
          <w:right w:w="28" w:type="dxa"/>
        </w:tblCellMar>
      </w:tblPr>
      <w:tblGrid>
        <w:gridCol w:w="966"/>
        <w:gridCol w:w="849"/>
        <w:gridCol w:w="1200"/>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Marc Winterhoff 11/7/2023</w:t>
            </w:r>
          </w:p>
        </w:tc>
      </w:tr>
      <w:tr>
        <w:trPr/>
        <w:tc>
          <w:tcPr>
            <w:tcW w:w="3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Marc Winterhoff</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6"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7"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LUCID GROUP, INC.</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EXECUTIVE SEVERANCE BENEFIT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PARTICIPATION AGREEMENT - CHIEF OPERATING OFFICER</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To: </w:t>
      </w:r>
      <w:r>
        <w:rPr>
          <w:rFonts w:ascii="Times New Roman;sans-serif" w:hAnsi="Times New Roman;sans-serif"/>
          <w:b w:val="false"/>
          <w:color w:val="000000"/>
          <w:sz w:val="22"/>
          <w:u w:val="single"/>
        </w:rPr>
        <w:t>Marc Winterhoff</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Date: </w:t>
      </w:r>
      <w:r>
        <w:rPr>
          <w:rFonts w:ascii="Times New Roman;sans-serif" w:hAnsi="Times New Roman;sans-serif"/>
          <w:b w:val="false"/>
          <w:color w:val="000000"/>
          <w:sz w:val="22"/>
          <w:u w:val="single"/>
        </w:rPr>
        <w:t>December 4,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behalf of Lucid Group, Inc., I am pleased to inform you that you have been designated as eligible to be a Participant in the Lucid Group, Inc. Executive Severance Benefit Plan (the “Plan”). The consolidated Plan document and Summary Plan Description is attached to this Participation Agreement. The terms and conditions of your participation in the Plan are as set forth in the Plan and this Participation Agreement and this Participation Agreement is an integral part of the Plan.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designates the benefits that you are eligible to receive pursuant to the Plan if you otherwise meet the eligibility requirements.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6"/>
        <w:gridCol w:w="646"/>
        <w:gridCol w:w="474"/>
        <w:gridCol w:w="824"/>
        <w:gridCol w:w="824"/>
        <w:gridCol w:w="756"/>
        <w:gridCol w:w="875"/>
        <w:gridCol w:w="875"/>
        <w:gridCol w:w="612"/>
        <w:gridCol w:w="1120"/>
        <w:gridCol w:w="1120"/>
        <w:gridCol w:w="1323"/>
      </w:tblGrid>
      <w:tr>
        <w:trPr/>
        <w:tc>
          <w:tcPr>
            <w:tcW w:w="75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000000"/>
              <w:left w:val="single" w:sz="8" w:space="0" w:color="000000"/>
              <w:right w:val="single" w:sz="8" w:space="0" w:color="000000"/>
            </w:tcBorders>
            <w:shd w:fill="F2F2F2" w:val="clear"/>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SEVERANCE BENEFITS </w:t>
            </w:r>
          </w:p>
          <w:p>
            <w:pPr>
              <w:pStyle w:val="TableContents"/>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(Refer to the Plan document for specific definitions and terms)</w:t>
            </w:r>
          </w:p>
        </w:tc>
      </w:tr>
      <w:tr>
        <w:trPr/>
        <w:tc>
          <w:tcPr>
            <w:tcW w:w="1876" w:type="dxa"/>
            <w:gridSpan w:val="3"/>
            <w:tcBorders>
              <w:top w:val="single" w:sz="8" w:space="0" w:color="000000"/>
              <w:left w:val="single" w:sz="8" w:space="0" w:color="000000"/>
            </w:tcBorders>
            <w:shd w:fill="F2F2F2"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Termination Event</w:t>
            </w:r>
          </w:p>
        </w:tc>
        <w:tc>
          <w:tcPr>
            <w:tcW w:w="2404" w:type="dxa"/>
            <w:gridSpan w:val="3"/>
            <w:tcBorders>
              <w:top w:val="single" w:sz="8" w:space="0" w:color="000000"/>
              <w:left w:val="single" w:sz="8" w:space="0" w:color="000000"/>
            </w:tcBorders>
            <w:shd w:fill="F2F2F2"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Salary Continuation</w:t>
            </w:r>
          </w:p>
        </w:tc>
        <w:tc>
          <w:tcPr>
            <w:tcW w:w="2362" w:type="dxa"/>
            <w:gridSpan w:val="3"/>
            <w:tcBorders>
              <w:top w:val="single" w:sz="8" w:space="0" w:color="000000"/>
              <w:left w:val="single" w:sz="8" w:space="0" w:color="000000"/>
            </w:tcBorders>
            <w:shd w:fill="F2F2F2"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Maximum Duration of COBRA or COBRA Equivalent Payment Period</w:t>
            </w:r>
          </w:p>
        </w:tc>
        <w:tc>
          <w:tcPr>
            <w:tcW w:w="3563" w:type="dxa"/>
            <w:gridSpan w:val="3"/>
            <w:tcBorders>
              <w:top w:val="single" w:sz="8" w:space="0" w:color="000000"/>
              <w:left w:val="single" w:sz="8" w:space="0" w:color="000000"/>
              <w:right w:val="single" w:sz="8" w:space="0" w:color="000000"/>
            </w:tcBorders>
            <w:shd w:fill="F2F2F2" w:val="clear"/>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Percentage of Outstanding Unvested Equity Awards That Will Accelerate (to the extent eligible for acceleration under the Plan)</w:t>
            </w:r>
          </w:p>
        </w:tc>
      </w:tr>
      <w:tr>
        <w:trPr/>
        <w:tc>
          <w:tcPr>
            <w:tcW w:w="1876" w:type="dxa"/>
            <w:gridSpan w:val="3"/>
            <w:tcBorders>
              <w:top w:val="single" w:sz="8" w:space="0" w:color="000000"/>
              <w:left w:val="single" w:sz="8" w:space="0" w:color="000000"/>
            </w:tcBorders>
            <w:shd w:fill="F2F2F2" w:val="clear"/>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Non-Change of Control Termination</w:t>
            </w:r>
          </w:p>
        </w:tc>
        <w:tc>
          <w:tcPr>
            <w:tcW w:w="24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 months of your Monthly Base Salary</w:t>
            </w:r>
          </w:p>
        </w:tc>
        <w:tc>
          <w:tcPr>
            <w:tcW w:w="23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 months</w:t>
            </w:r>
          </w:p>
        </w:tc>
        <w:tc>
          <w:tcPr>
            <w:tcW w:w="35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tc>
      </w:tr>
      <w:tr>
        <w:trPr/>
        <w:tc>
          <w:tcPr>
            <w:tcW w:w="1876" w:type="dxa"/>
            <w:gridSpan w:val="3"/>
            <w:tcBorders>
              <w:top w:val="single" w:sz="8" w:space="0" w:color="000000"/>
              <w:left w:val="single" w:sz="8" w:space="0" w:color="000000"/>
              <w:bottom w:val="single" w:sz="8" w:space="0" w:color="000000"/>
            </w:tcBorders>
            <w:shd w:fill="F2F2F2" w:val="clear"/>
            <w:tcMar>
              <w:top w:w="3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Change of Control Termination</w:t>
            </w:r>
          </w:p>
        </w:tc>
        <w:tc>
          <w:tcPr>
            <w:tcW w:w="24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 months of your Monthly Base Salary and Monthly Bonus Amount</w:t>
            </w:r>
          </w:p>
        </w:tc>
        <w:tc>
          <w:tcPr>
            <w:tcW w:w="23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 months</w:t>
            </w:r>
          </w:p>
        </w:tc>
        <w:tc>
          <w:tcPr>
            <w:tcW w:w="356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in the Plan, the payments and benefits set forth in your offer letter dated November 7, 2023 (the “Offer Letter”) are not intended to be superseded by the terms of the Plan, and shall operate in addition to the Plan (subject to any reduction to avoid duplication of benefits).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Please refer to the consolidated Plan for an explanation of these benefits and the related defined terms, including, without limitation, “Non-Change of Control Termination” and “Change of Control Termination”.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appreciate your service to the Company. If you wish to participate in this Plan, please carefully review the terms of the Plan and this Participation Agreement (including the acknowledgement on the next page). You will not be considered a Participant in the Plan, unless and until you sign and return the unmodified and signed Participation Agreement no later than 30 days from the date set forth above and commence employment with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8"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tbl>
      <w:tblPr>
        <w:tblW w:w="4871" w:type="dxa"/>
        <w:jc w:val="left"/>
        <w:tblInd w:w="0" w:type="dxa"/>
        <w:tblLayout w:type="fixed"/>
        <w:tblCellMar>
          <w:top w:w="28" w:type="dxa"/>
          <w:left w:w="28" w:type="dxa"/>
          <w:bottom w:w="28" w:type="dxa"/>
          <w:right w:w="28" w:type="dxa"/>
        </w:tblCellMar>
      </w:tblPr>
      <w:tblGrid>
        <w:gridCol w:w="124"/>
        <w:gridCol w:w="109"/>
        <w:gridCol w:w="109"/>
        <w:gridCol w:w="1324"/>
        <w:gridCol w:w="1324"/>
        <w:gridCol w:w="18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LUCID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Benjamin Uy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Deputy General Counsel &amp; Assistant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01/03/2024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9"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LUCID GROUP, INC.</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EXECUTIVE SEVERANCE BENEFIT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PARTICIPATION AGREEMENT - CHIEF OPERATING OFFICER</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accepting participation in the Plan, based on the terms and conditions of the Plan and this Participation Agreement and as evidenced by my signature below, I represent, agree and acknowledge the following: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I have been provided with the consolidated Plan document and Summary Plan Description, have reviewed and had an opportunity to ask questions of the Company and agree to all terms and conditions,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I understand any dispute arising under the Plan is subject to binding arbitration as set forth in Section 13(g) of the Plan and, accordingly, I irrevocably waive my right, by participating in this Plan, to bring an action in court and agree to binding arbitration,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I have either consulted with my personal tax or financial planning advisor and/or lawyer regarding the legal and tax consequences of my participation in the Plan, or I knowingly decline to do so,</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I will rely solely on my advisors and not on any statements or representations of the Company or any of its agents regarding the tax consequences of my participation and, furthermore, I am solely responsible for any tax liability that may arise as a result of my participation in the Plan,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I irrevocably waive any and all rights related to severance or benefits provided in connection with my termination of employment or service under any and all prior agreements and plans sponsored or provided by the Company or any of its affiliates (other than the severance payments and benefits set forth in my Offer Letter, subject to any reduction to avoid duplication of benefits),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I find that the consideration offered to me in this Participation Agreement and the Plan is sufficient for me to waive such rights.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Please return this Participation Agreement signed by you by the deadline specified in the Participation Agreement and retain a copy, along with the Plan document, for your records.</w:t>
      </w:r>
    </w:p>
    <w:p>
      <w:pPr>
        <w:pStyle w:val="TextBody"/>
        <w:bidi w:val="0"/>
        <w:spacing w:before="0" w:after="0"/>
        <w:jc w:val="left"/>
        <w:rPr/>
      </w:pPr>
      <w:r>
        <w:rPr/>
      </w:r>
    </w:p>
    <w:tbl>
      <w:tblPr>
        <w:tblW w:w="2322" w:type="dxa"/>
        <w:jc w:val="left"/>
        <w:tblInd w:w="0" w:type="dxa"/>
        <w:tblLayout w:type="fixed"/>
        <w:tblCellMar>
          <w:top w:w="28" w:type="dxa"/>
          <w:left w:w="28" w:type="dxa"/>
          <w:bottom w:w="28" w:type="dxa"/>
          <w:right w:w="28" w:type="dxa"/>
        </w:tblCellMar>
      </w:tblPr>
      <w:tblGrid>
        <w:gridCol w:w="124"/>
        <w:gridCol w:w="109"/>
        <w:gridCol w:w="109"/>
        <w:gridCol w:w="580"/>
        <w:gridCol w:w="580"/>
        <w:gridCol w:w="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Marc Winterhoff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Marc Winterhoff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Print 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01/03/2024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Date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10.32</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0"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Separation Agreement</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2"/>
        </w:rPr>
        <w:t>This Separation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xml:space="preserve">) is between </w:t>
      </w:r>
      <w:r>
        <w:rPr>
          <w:rFonts w:ascii="Times New Roman;sans-serif" w:hAnsi="Times New Roman;sans-serif"/>
          <w:b w:val="false"/>
          <w:color w:val="000000"/>
          <w:sz w:val="22"/>
          <w:u w:val="single"/>
        </w:rPr>
        <w:t>Sherry House</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you</w:t>
      </w:r>
      <w:r>
        <w:rPr>
          <w:color w:val="000000"/>
        </w:rPr>
        <w:t>”</w:t>
      </w:r>
      <w:r>
        <w:rPr>
          <w:rFonts w:ascii="Times New Roman;sans-serif" w:hAnsi="Times New Roman;sans-serif"/>
          <w:b w:val="false"/>
          <w:color w:val="000000"/>
          <w:sz w:val="22"/>
        </w:rPr>
        <w:t>) and Lucid USA, Inc.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(collectively, the “</w:t>
      </w:r>
      <w:r>
        <w:rPr>
          <w:rFonts w:ascii="Times New Roman;sans-serif" w:hAnsi="Times New Roman;sans-serif"/>
          <w:b w:val="false"/>
          <w:color w:val="000000"/>
          <w:sz w:val="22"/>
          <w:u w:val="single"/>
        </w:rPr>
        <w:t>Parties</w:t>
      </w:r>
      <w:r>
        <w:rPr>
          <w:color w:val="000000"/>
        </w:rPr>
        <w:t>”</w:t>
      </w:r>
      <w:r>
        <w:rPr>
          <w:rFonts w:ascii="Times New Roman;sans-serif" w:hAnsi="Times New Roman;sans-serif"/>
          <w:b w:val="false"/>
          <w:color w:val="000000"/>
          <w:sz w:val="22"/>
        </w:rPr>
        <w:t xml:space="preserve">) as of the date signed below and is intended to provide you with enumerated benefits in exchange for your agreement on the terms set forth herein, and the other terms and conditions set forth in this Agreement.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2"/>
        </w:rPr>
        <w:t>1.</w:t>
      </w:r>
      <w:r>
        <w:rPr>
          <w:rFonts w:ascii="Times New Roman;sans-serif" w:hAnsi="Times New Roman;sans-serif"/>
          <w:b/>
          <w:color w:val="000000"/>
          <w:sz w:val="22"/>
        </w:rPr>
        <w:t>TRANSITION PERIOD.</w:t>
      </w:r>
      <w:r>
        <w:rPr>
          <w:color w:val="000000"/>
        </w:rPr>
        <w:t xml:space="preserve"> </w:t>
      </w:r>
      <w:r>
        <w:rPr>
          <w:rFonts w:ascii="Times New Roman;sans-serif" w:hAnsi="Times New Roman;sans-serif"/>
          <w:b w:val="false"/>
          <w:color w:val="000000"/>
          <w:sz w:val="22"/>
        </w:rPr>
        <w:t>You are resigning your positions as Chief Financial Officer of the Company effective immediately and will submit to the Company contemporaneously with this Agreement a resignation letter in the form attached hereto as Exhibit C. Provided you sign this Separation Agreement, and provided you comply with the terms of this Agreement, your last day of employment with the Company will be December 31, 2023 (the “</w:t>
      </w:r>
      <w:r>
        <w:rPr>
          <w:rFonts w:ascii="Times New Roman;sans-serif" w:hAnsi="Times New Roman;sans-serif"/>
          <w:b w:val="false"/>
          <w:color w:val="000000"/>
          <w:sz w:val="22"/>
          <w:u w:val="single"/>
        </w:rPr>
        <w:t>Separation Date</w:t>
      </w:r>
      <w:r>
        <w:rPr>
          <w:color w:val="000000"/>
        </w:rPr>
        <w:t>”</w:t>
      </w:r>
      <w:r>
        <w:rPr>
          <w:rFonts w:ascii="Times New Roman;sans-serif" w:hAnsi="Times New Roman;sans-serif"/>
          <w:b w:val="false"/>
          <w:color w:val="000000"/>
          <w:sz w:val="22"/>
        </w:rPr>
        <w:t xml:space="preserve">). All of your positions with the Company and its affiliates will terminate in all capacities as of the Separation Date. Whether or not you sign this Agreement, you will receive on the Separation Date all wages due to you through the Separation Date, your medical benefits will end on the last day of December 2023, all other benefits will end on the Separation Date and you will receive information from the Company regarding your ability to receive benefits under COBRA. You agree that you will not represent to anyone that you are still an employee of the Company, and you will not say or do anything purporting to bind the Company or any of its affiliates, after the Separation Date. During the period December 11, 2023, through December 31, 2023, (“Transition Period”) you will remain an employee of the Company and will continue to be paid your salary and benefits. Unless requested by the Company, you will not perform any services for the Company, and your access to the Company systems will be cut off. You agree to promptly cancel all outstanding business travel tickets, hotels, and any other reservations your have purchased for your employment with the Company.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2.</w:t>
      </w:r>
      <w:r>
        <w:rPr>
          <w:rFonts w:ascii="Times New Roman;sans-serif" w:hAnsi="Times New Roman;sans-serif"/>
          <w:b/>
          <w:color w:val="000000"/>
          <w:sz w:val="22"/>
        </w:rPr>
        <w:t>SEPARATION.</w:t>
      </w:r>
      <w:r>
        <w:rPr>
          <w:color w:val="000000"/>
        </w:rPr>
        <w:t xml:space="preserve"> </w:t>
      </w:r>
      <w:r>
        <w:rPr>
          <w:rFonts w:ascii="Times New Roman;sans-serif" w:hAnsi="Times New Roman;sans-serif"/>
          <w:b w:val="false"/>
          <w:color w:val="000000"/>
          <w:sz w:val="22"/>
        </w:rPr>
        <w:t>Subject to the conditions herein, and provided you sign the Supplemental Release attached hereto as Appendix A within 10 days after your Separation Date and do not revoke it as provided in the Supplemental Release, the parties agree as follows and the Company will provide, and you will be entitled to, the following consideration (collectively, “</w:t>
      </w:r>
      <w:r>
        <w:rPr>
          <w:rFonts w:ascii="Times New Roman;sans-serif" w:hAnsi="Times New Roman;sans-serif"/>
          <w:b w:val="false"/>
          <w:color w:val="000000"/>
          <w:sz w:val="22"/>
          <w:u w:val="single"/>
        </w:rPr>
        <w:t>Severance Benefits</w:t>
      </w:r>
      <w:r>
        <w:rPr>
          <w:color w:val="000000"/>
        </w:rPr>
        <w:t>”</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2.1</w:t>
      </w:r>
      <w:r>
        <w:rPr>
          <w:rFonts w:ascii="Times New Roman;sans-serif" w:hAnsi="Times New Roman;sans-serif"/>
          <w:b/>
          <w:color w:val="000000"/>
          <w:sz w:val="22"/>
        </w:rPr>
        <w:t>Qualifying Termination.</w:t>
      </w:r>
      <w:r>
        <w:rPr>
          <w:color w:val="000000"/>
        </w:rPr>
        <w:t xml:space="preserve"> </w:t>
      </w:r>
      <w:r>
        <w:rPr>
          <w:rFonts w:ascii="Times New Roman;sans-serif" w:hAnsi="Times New Roman;sans-serif"/>
          <w:b w:val="false"/>
          <w:color w:val="000000"/>
          <w:sz w:val="22"/>
        </w:rPr>
        <w:t>You and the Company agree that your separation as of the Separation Date shall be a Qualifying Termination under the terms of the Lucid Group, Inc. Executive Severance Benefit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and your Lucid Group, Inc. Executive Severance Benefit Plan Participation Agreement (“</w:t>
      </w:r>
      <w:r>
        <w:rPr>
          <w:rFonts w:ascii="Times New Roman;sans-serif" w:hAnsi="Times New Roman;sans-serif"/>
          <w:b w:val="false"/>
          <w:color w:val="000000"/>
          <w:sz w:val="22"/>
          <w:u w:val="single"/>
        </w:rPr>
        <w:t>Participation Agreement</w:t>
      </w:r>
      <w:r>
        <w:rPr>
          <w:color w:val="000000"/>
        </w:rPr>
        <w:t>”</w:t>
      </w:r>
      <w:r>
        <w:rPr>
          <w:rFonts w:ascii="Times New Roman;sans-serif" w:hAnsi="Times New Roman;sans-serif"/>
          <w:b w:val="false"/>
          <w:color w:val="000000"/>
          <w:sz w:val="22"/>
        </w:rPr>
        <w:t xml:space="preserve">); provided, that the payments and benefits under this Section 2 represent all of the payments and benefits to which you are entitled under the Plan and Participation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2.2</w:t>
      </w:r>
      <w:r>
        <w:rPr>
          <w:rFonts w:ascii="Times New Roman;sans-serif" w:hAnsi="Times New Roman;sans-serif"/>
          <w:b/>
          <w:color w:val="000000"/>
          <w:sz w:val="22"/>
        </w:rPr>
        <w:t>References.</w:t>
      </w:r>
      <w:r>
        <w:rPr>
          <w:color w:val="000000"/>
        </w:rPr>
        <w:t xml:space="preserve"> </w:t>
      </w:r>
      <w:r>
        <w:rPr>
          <w:rFonts w:ascii="Times New Roman;sans-serif" w:hAnsi="Times New Roman;sans-serif"/>
          <w:b w:val="false"/>
          <w:color w:val="000000"/>
          <w:sz w:val="22"/>
        </w:rPr>
        <w:t xml:space="preserve">If contacted by a potential future employer regarding you, the Company will provide only your dates of employment, last position held, and a statement that you were in good standing throughout your employment. You agree to refer all such requests for information solely to the Company’s HR department. </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ans-serif" w:hAnsi="Times New Roman;sans-serif"/>
          <w:b/>
          <w:color w:val="000000"/>
          <w:sz w:val="22"/>
        </w:rPr>
        <w:t>2.3</w:t>
      </w:r>
      <w:r>
        <w:rPr>
          <w:rFonts w:ascii="Times New Roman;sans-serif" w:hAnsi="Times New Roman;sans-serif"/>
          <w:b/>
          <w:color w:val="000000"/>
          <w:sz w:val="22"/>
        </w:rPr>
        <w:t>Salary Continuation.</w:t>
      </w:r>
      <w:r>
        <w:rPr>
          <w:color w:val="000000"/>
        </w:rPr>
        <w:t xml:space="preserve"> </w:t>
      </w:r>
      <w:r>
        <w:rPr>
          <w:rFonts w:ascii="Times New Roman;sans-serif" w:hAnsi="Times New Roman;sans-serif"/>
          <w:b w:val="false"/>
          <w:color w:val="000000"/>
          <w:sz w:val="22"/>
        </w:rPr>
        <w:t>The Company will, as cash severance, continue to pay you your current base salary for a period of nine (9) months following the Separation Date (the “</w:t>
      </w:r>
      <w:r>
        <w:rPr>
          <w:rFonts w:ascii="Times New Roman;sans-serif" w:hAnsi="Times New Roman;sans-serif"/>
          <w:b w:val="false"/>
          <w:color w:val="000000"/>
          <w:sz w:val="22"/>
          <w:u w:val="single"/>
        </w:rPr>
        <w:t>Salary Continuation Period</w:t>
      </w:r>
      <w:r>
        <w:rPr>
          <w:color w:val="000000"/>
        </w:rPr>
        <w:t>”</w:t>
      </w:r>
      <w:r>
        <w:rPr>
          <w:rFonts w:ascii="Times New Roman;sans-serif" w:hAnsi="Times New Roman;sans-serif"/>
          <w:b w:val="false"/>
          <w:color w:val="000000"/>
          <w:sz w:val="22"/>
        </w:rPr>
        <w:t xml:space="preserve">), equaling a total amount of Four Hundred and One Thousand, Two Hundred and Fifty Dollars </w:t>
      </w:r>
      <w:r>
        <w:rPr>
          <w:rFonts w:ascii="Times New Roman;sans-serif" w:hAnsi="Times New Roman;sans-serif"/>
          <w:b w:val="false"/>
          <w:color w:val="000000"/>
          <w:sz w:val="22"/>
          <w:u w:val="single"/>
        </w:rPr>
        <w:t>($401,250.00 USD)</w:t>
      </w:r>
      <w:r>
        <w:rPr>
          <w:rFonts w:ascii="Times New Roman;sans-serif" w:hAnsi="Times New Roman;sans-serif"/>
          <w:b w:val="false"/>
          <w:color w:val="000000"/>
          <w:sz w:val="22"/>
        </w:rPr>
        <w:t>, subject to standard payroll deductions and withholdings (“</w:t>
      </w:r>
      <w:r>
        <w:rPr>
          <w:rFonts w:ascii="Times New Roman;sans-serif" w:hAnsi="Times New Roman;sans-serif"/>
          <w:b w:val="false"/>
          <w:color w:val="000000"/>
          <w:sz w:val="22"/>
          <w:u w:val="single"/>
        </w:rPr>
        <w:t>Salary Continuation</w:t>
      </w:r>
      <w:r>
        <w:rPr>
          <w:color w:val="000000"/>
        </w:rPr>
        <w:t>”</w:t>
      </w:r>
      <w:r>
        <w:rPr>
          <w:rFonts w:ascii="Times New Roman;sans-serif" w:hAnsi="Times New Roman;sans-serif"/>
          <w:b w:val="false"/>
          <w:color w:val="000000"/>
          <w:sz w:val="22"/>
        </w:rPr>
        <w:t xml:space="preserve">). On the first payroll date on or after the sixtieth (60th) day following the Separation Date, the Company will make the first payment pursuant to this Section 2.3 equal to the aggregate amount of Salary Continuation that the Company would have paid through such date had such payments (if any) commenced on the Separation Date, and the balance of the Salary Continuation will be paid thereafter in monthly installments over the remainder of the Salary Continuation Period. </w:t>
      </w:r>
    </w:p>
    <w:p>
      <w:pPr>
        <w:pStyle w:val="TextBody"/>
        <w:bidi w:val="0"/>
        <w:spacing w:before="120" w:after="283"/>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2.4</w:t>
      </w:r>
      <w:r>
        <w:rPr>
          <w:rFonts w:ascii="Times New Roman;sans-serif" w:hAnsi="Times New Roman;sans-serif"/>
          <w:b/>
          <w:color w:val="000000"/>
          <w:sz w:val="22"/>
        </w:rPr>
        <w:t>Health Coverage Payment.</w:t>
      </w:r>
      <w:r>
        <w:rPr>
          <w:color w:val="000000"/>
        </w:rPr>
        <w:t xml:space="preserve"> </w:t>
      </w:r>
      <w:r>
        <w:rPr>
          <w:rFonts w:ascii="Times New Roman;sans-serif" w:hAnsi="Times New Roman;sans-serif"/>
          <w:b w:val="false"/>
          <w:color w:val="000000"/>
          <w:sz w:val="22"/>
        </w:rPr>
        <w:t>If you are eligible for and timely elect continued group health coverage under COBRA, the Company will pay you a monthly amount approximately equal to the full cost of your monthly COBRA premium payments for yourself and your eligible dependents, plus a tax gross-up payment for any taxes imposed on such COBRA premium payment amount (“</w:t>
      </w:r>
      <w:r>
        <w:rPr>
          <w:rFonts w:ascii="Times New Roman;sans-serif" w:hAnsi="Times New Roman;sans-serif"/>
          <w:b w:val="false"/>
          <w:color w:val="000000"/>
          <w:sz w:val="22"/>
          <w:u w:val="single"/>
        </w:rPr>
        <w:t>Severance Benefit Payments</w:t>
      </w:r>
      <w:r>
        <w:rPr>
          <w:color w:val="000000"/>
        </w:rPr>
        <w:t>”</w:t>
      </w:r>
      <w:r>
        <w:rPr>
          <w:rFonts w:ascii="Times New Roman;sans-serif" w:hAnsi="Times New Roman;sans-serif"/>
          <w:b w:val="false"/>
          <w:color w:val="000000"/>
          <w:sz w:val="22"/>
        </w:rPr>
        <w:t>). Your Severance Benefit Payments will be paid until the earliest to occur of (i) the end of nine (9) months following the Separation Date, (ii) the expiration of your eligibility for continuation coverage under COBRA, or (iii) the date when you become eligible for substantially equivalent group health coverage in connection with new employment or self-employment as contemplated below in this Section 2.4 (as applicable, the “</w:t>
      </w:r>
      <w:r>
        <w:rPr>
          <w:rFonts w:ascii="Times New Roman;sans-serif" w:hAnsi="Times New Roman;sans-serif"/>
          <w:b w:val="false"/>
          <w:color w:val="000000"/>
          <w:sz w:val="22"/>
          <w:u w:val="single"/>
        </w:rPr>
        <w:t>Severance Benefit Period</w:t>
      </w:r>
      <w:r>
        <w:rPr>
          <w:color w:val="000000"/>
        </w:rPr>
        <w:t>”</w:t>
      </w:r>
      <w:r>
        <w:rPr>
          <w:rFonts w:ascii="Times New Roman;sans-serif" w:hAnsi="Times New Roman;sans-serif"/>
          <w:b w:val="false"/>
          <w:color w:val="000000"/>
          <w:sz w:val="22"/>
        </w:rPr>
        <w:t>). On the first payroll date on or after the sixtieth (60th) day following the Separation Date, the Company will make the first payment pursuant to this Section 2.4 equal to the aggregate amount of Severance Benefit Payments that the Company would have paid through such date had such payments (if any) commenced on the Separation Date, and the balance of the Severance Benefit Payments will be paid thereafter in monthly installments over the remainder of the Severance Benefit Period. The Severance Benefit Payments will be subject to standard payroll deductions and withholdings. In addition, as a condition to receiving the Severance Benefit Payments you agree and acknowledge that if you become eligible for substantially equivalent coverage under another employer’s group health plan or otherwise cease to be eligible for COBRA during the Severance Benefit Period, you will immediately notify the Company of such event, and all payments and obligations under this Section 2.4 will cease. You acknowledge and agree that the Severance Benefit Payments do not include amounts, if any, payable by you under a health care reimbursement plan, which amounts are your sole responsibility.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2.5</w:t>
      </w:r>
      <w:r>
        <w:rPr>
          <w:rFonts w:ascii="Times New Roman;sans-serif" w:hAnsi="Times New Roman;sans-serif"/>
          <w:b/>
          <w:color w:val="000000"/>
          <w:sz w:val="22"/>
        </w:rPr>
        <w:t>2023 Annual Bonus.</w:t>
      </w:r>
      <w:r>
        <w:rPr>
          <w:color w:val="000000"/>
        </w:rPr>
        <w:t xml:space="preserve"> </w:t>
      </w:r>
      <w:r>
        <w:rPr>
          <w:rFonts w:ascii="Times New Roman;sans-serif" w:hAnsi="Times New Roman;sans-serif"/>
          <w:b w:val="false"/>
          <w:color w:val="000000"/>
          <w:sz w:val="22"/>
        </w:rPr>
        <w:t>You will receive an annual bonus for 2023 equal to $215,000 (the “</w:t>
      </w:r>
      <w:r>
        <w:rPr>
          <w:rFonts w:ascii="Times New Roman;sans-serif" w:hAnsi="Times New Roman;sans-serif"/>
          <w:b w:val="false"/>
          <w:color w:val="000000"/>
          <w:sz w:val="22"/>
          <w:u w:val="single"/>
        </w:rPr>
        <w:t>2023 Annual Bonus</w:t>
      </w:r>
      <w:r>
        <w:rPr>
          <w:color w:val="000000"/>
        </w:rPr>
        <w:t>”</w:t>
      </w:r>
      <w:r>
        <w:rPr>
          <w:rFonts w:ascii="Times New Roman;sans-serif" w:hAnsi="Times New Roman;sans-serif"/>
          <w:b w:val="false"/>
          <w:color w:val="000000"/>
          <w:sz w:val="22"/>
        </w:rPr>
        <w:t>). The 2023 Annual Bonus will be paid to you concurrently with the first installment of Salary Continuation as set forth in Section 2.3.</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2.6</w:t>
      </w:r>
      <w:r>
        <w:rPr>
          <w:rFonts w:ascii="Times New Roman;sans-serif" w:hAnsi="Times New Roman;sans-serif"/>
          <w:b/>
          <w:color w:val="000000"/>
          <w:sz w:val="22"/>
        </w:rPr>
        <w:t>Accelerated Vesting.</w:t>
      </w:r>
      <w:r>
        <w:rPr>
          <w:color w:val="000000"/>
        </w:rPr>
        <w:t xml:space="preserve"> </w:t>
      </w:r>
      <w:r>
        <w:rPr>
          <w:rFonts w:ascii="Times New Roman;sans-serif" w:hAnsi="Times New Roman;sans-serif"/>
          <w:b w:val="false"/>
          <w:color w:val="000000"/>
          <w:sz w:val="22"/>
        </w:rPr>
        <w:t>You were granted certain restricted stock units (“</w:t>
      </w:r>
      <w:r>
        <w:rPr>
          <w:rFonts w:ascii="Times New Roman;sans-serif" w:hAnsi="Times New Roman;sans-serif"/>
          <w:b w:val="false"/>
          <w:color w:val="000000"/>
          <w:sz w:val="22"/>
          <w:u w:val="single"/>
        </w:rPr>
        <w:t>RSUs</w:t>
      </w:r>
      <w:r>
        <w:rPr>
          <w:color w:val="000000"/>
        </w:rPr>
        <w:t>”</w:t>
      </w:r>
      <w:r>
        <w:rPr>
          <w:rFonts w:ascii="Times New Roman;sans-serif" w:hAnsi="Times New Roman;sans-serif"/>
          <w:b w:val="false"/>
          <w:color w:val="000000"/>
          <w:sz w:val="22"/>
        </w:rPr>
        <w:t>), performance stock units (“</w:t>
      </w:r>
      <w:r>
        <w:rPr>
          <w:rFonts w:ascii="Times New Roman;sans-serif" w:hAnsi="Times New Roman;sans-serif"/>
          <w:b w:val="false"/>
          <w:color w:val="000000"/>
          <w:sz w:val="22"/>
          <w:u w:val="single"/>
        </w:rPr>
        <w:t>PSUs</w:t>
      </w:r>
      <w:r>
        <w:rPr>
          <w:color w:val="000000"/>
        </w:rPr>
        <w:t>”</w:t>
      </w:r>
      <w:r>
        <w:rPr>
          <w:rFonts w:ascii="Times New Roman;sans-serif" w:hAnsi="Times New Roman;sans-serif"/>
          <w:b w:val="false"/>
          <w:color w:val="000000"/>
          <w:sz w:val="22"/>
        </w:rPr>
        <w:t>) and stock options with respect to shares of Atieva, Inc. and/or Lucid Group, Inc.’ s common stock (“</w:t>
      </w:r>
      <w:r>
        <w:rPr>
          <w:rFonts w:ascii="Times New Roman;sans-serif" w:hAnsi="Times New Roman;sans-serif"/>
          <w:b w:val="false"/>
          <w:color w:val="000000"/>
          <w:sz w:val="22"/>
          <w:u w:val="single"/>
        </w:rPr>
        <w:t>Lucid Group Common Stock</w:t>
      </w:r>
      <w:r>
        <w:rPr>
          <w:color w:val="000000"/>
        </w:rPr>
        <w:t>”</w:t>
      </w:r>
      <w:r>
        <w:rPr>
          <w:rFonts w:ascii="Times New Roman;sans-serif" w:hAnsi="Times New Roman;sans-serif"/>
          <w:b w:val="false"/>
          <w:color w:val="000000"/>
          <w:sz w:val="22"/>
        </w:rPr>
        <w:t>), which awards now represent the right to acquire Lucid Group Common Stock (collectively, your “</w:t>
      </w:r>
      <w:r>
        <w:rPr>
          <w:rFonts w:ascii="Times New Roman;sans-serif" w:hAnsi="Times New Roman;sans-serif"/>
          <w:b w:val="false"/>
          <w:color w:val="000000"/>
          <w:sz w:val="22"/>
          <w:u w:val="single"/>
        </w:rPr>
        <w:t>Equity Awards</w:t>
      </w:r>
      <w:r>
        <w:rPr>
          <w:color w:val="000000"/>
        </w:rPr>
        <w:t>”</w:t>
      </w:r>
      <w:r>
        <w:rPr>
          <w:rFonts w:ascii="Times New Roman;sans-serif" w:hAnsi="Times New Roman;sans-serif"/>
          <w:b w:val="false"/>
          <w:color w:val="000000"/>
          <w:sz w:val="22"/>
        </w:rPr>
        <w:t>). Under the terms of the plan governing your Equity Awards, and your Equity Award grant documents, vesting of all of your Equity Awards will cease as of the Separation Date (or earlier termination of employment). Notwithstanding the foregoing, (i) you will receive accelerated vesting of (x) 83,987 of your then-unvested RSUs and (y) 136,221 of your then-unvested PSUs (such accelerated Equity Awards, the “</w:t>
      </w:r>
      <w:r>
        <w:rPr>
          <w:rFonts w:ascii="Times New Roman;sans-serif" w:hAnsi="Times New Roman;sans-serif"/>
          <w:b w:val="false"/>
          <w:color w:val="000000"/>
          <w:sz w:val="22"/>
          <w:u w:val="single"/>
        </w:rPr>
        <w:t>Accelerated Awards</w:t>
      </w:r>
      <w:r>
        <w:rPr>
          <w:color w:val="000000"/>
        </w:rPr>
        <w:t>”</w:t>
      </w:r>
      <w:r>
        <w:rPr>
          <w:rFonts w:ascii="Times New Roman;sans-serif" w:hAnsi="Times New Roman;sans-serif"/>
          <w:b w:val="false"/>
          <w:color w:val="000000"/>
          <w:sz w:val="22"/>
        </w:rPr>
        <w:t>) and (ii) pursuant to the Plan and Participation Agreement, you will receive accelerated vesting of the Applicable Percentage (as defined below) of your then-unvested RSUs subject to your June 29, 2021 RSU award [(which unvested RSUs will not include any Accelerated Awards)] (such Applicable Percentage, the “</w:t>
      </w:r>
      <w:r>
        <w:rPr>
          <w:rFonts w:ascii="Times New Roman;sans-serif" w:hAnsi="Times New Roman;sans-serif"/>
          <w:b w:val="false"/>
          <w:color w:val="000000"/>
          <w:sz w:val="22"/>
          <w:u w:val="single"/>
        </w:rPr>
        <w:t>Eligible RSUs</w:t>
      </w:r>
      <w:r>
        <w:rPr>
          <w:color w:val="000000"/>
        </w:rPr>
        <w:t>”</w:t>
      </w:r>
      <w:r>
        <w:rPr>
          <w:rFonts w:ascii="Times New Roman;sans-serif" w:hAnsi="Times New Roman;sans-serif"/>
          <w:b w:val="false"/>
          <w:color w:val="000000"/>
          <w:sz w:val="22"/>
        </w:rPr>
        <w:t>). The “</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shall mean 25% plus 5% per Year of Service (as defined under the Plan), up to 50% maximum. No equity awards other than the Accelerated Awards and the Eligible RSUs are subject to acceleration. You acknowledge that the accelerated vesting of the Accelerated Awards and the Eligible RSUs may impact the tax treatment associated with the Accelerated Awards and the Eligible RSUs and the Company makes no representations or warranties as to the applicable tax treatment. Your Equity Awards will otherwise be subject to the terms of the plans and grant documents pursuant to which they were granted.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2.7</w:t>
      </w:r>
      <w:r>
        <w:rPr>
          <w:rFonts w:ascii="Times New Roman;sans-serif" w:hAnsi="Times New Roman;sans-serif"/>
          <w:b/>
          <w:color w:val="000000"/>
          <w:sz w:val="22"/>
        </w:rPr>
        <w:t>Tax Return Fees.</w:t>
      </w:r>
      <w:r>
        <w:rPr>
          <w:color w:val="000000"/>
        </w:rPr>
        <w:t xml:space="preserve"> </w:t>
      </w:r>
      <w:r>
        <w:rPr>
          <w:rFonts w:ascii="Times New Roman;sans-serif" w:hAnsi="Times New Roman;sans-serif"/>
          <w:b w:val="false"/>
          <w:color w:val="000000"/>
          <w:sz w:val="22"/>
        </w:rPr>
        <w:t>The Company agrees to pay you the sum of $12,500.00 USD to cover costs of preparation of your 2023 tax returns. The Company will pay such amount concurrently with the first installment of Salary Continuation as set forth in Section 2.3.</w:t>
      </w:r>
    </w:p>
    <w:p>
      <w:pPr>
        <w:pStyle w:val="TextBody"/>
        <w:bidi w:val="0"/>
        <w:spacing w:before="0" w:after="0"/>
        <w:ind w:left="0" w:right="0" w:firstLine="1080"/>
        <w:jc w:val="both"/>
        <w:rPr/>
      </w:pPr>
      <w:r>
        <w:rPr/>
      </w:r>
    </w:p>
    <w:p>
      <w:pPr>
        <w:pStyle w:val="TextBody"/>
        <w:bidi w:val="0"/>
        <w:ind w:left="0" w:right="0" w:firstLine="1080"/>
        <w:jc w:val="both"/>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2"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2.8</w:t>
      </w:r>
      <w:r>
        <w:rPr>
          <w:rFonts w:ascii="Times New Roman;sans-serif" w:hAnsi="Times New Roman;sans-serif"/>
          <w:b/>
          <w:color w:val="000000"/>
          <w:sz w:val="22"/>
        </w:rPr>
        <w:t>Company Vehicle.</w:t>
      </w:r>
      <w:r>
        <w:rPr>
          <w:color w:val="000000"/>
        </w:rPr>
        <w:t xml:space="preserve"> </w:t>
      </w:r>
      <w:r>
        <w:rPr>
          <w:rFonts w:ascii="Times New Roman;sans-serif" w:hAnsi="Times New Roman;sans-serif"/>
          <w:b w:val="false"/>
          <w:color w:val="000000"/>
          <w:sz w:val="22"/>
        </w:rPr>
        <w:t>With respect to the Company-owned Lucid Air that you have previously been provided with, as described in Exhibit B (the “Company Vehicle”), the Company will transfer ownership and title of the Company Vehicle to you and you will be entitled to keep the Company Vehicle. You acknowledge and agree that the transfer of ownership of the Company Vehicle to you will result in imputed taxable income to you. The Company will also pay you a cash amount intended to cover, on an after tax basis, the estimated state and Federal tax liability to you for the imputed income associated with the Company Vehicle, as determined by the Company in its sole discretion.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3.</w:t>
      </w:r>
      <w:r>
        <w:rPr>
          <w:rFonts w:ascii="Times New Roman;sans-serif" w:hAnsi="Times New Roman;sans-serif"/>
          <w:b/>
          <w:color w:val="000000"/>
          <w:sz w:val="22"/>
        </w:rPr>
        <w:t>RELEASE OF CLAIMS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3.1</w:t>
      </w:r>
      <w:r>
        <w:rPr>
          <w:rFonts w:ascii="Times New Roman;sans-serif" w:hAnsi="Times New Roman;sans-serif"/>
          <w:b/>
          <w:color w:val="000000"/>
          <w:sz w:val="22"/>
        </w:rPr>
        <w:t>General Release.</w:t>
      </w:r>
      <w:r>
        <w:rPr>
          <w:color w:val="000000"/>
        </w:rPr>
        <w:t xml:space="preserve"> </w:t>
      </w:r>
      <w:r>
        <w:rPr>
          <w:rFonts w:ascii="Times New Roman;sans-serif" w:hAnsi="Times New Roman;sans-serif"/>
          <w:b w:val="false"/>
          <w:color w:val="000000"/>
          <w:sz w:val="22"/>
        </w:rPr>
        <w:t>Subject to the Employee Protections set forth below, in consideration for the continued employment through December 31, 2023 and other terms and conditions offered to you under this Agreement, you hereby generally and completely release the Company, and its affiliated, related, parent, and subsidiary entities, and its and their current and former directors, officers, employees, shareholders, partners, agents, attorneys, predecessors, successors, insurers, affiliates, and assigns ( collectively, “Released Parties”) from any and all claims, liabilities and obligations, both known and unknown, that arise out of or are in any way related to events, acts, conduct, or omissions occurring prior to or on the date you sign this Agreement (collectively, “Released Claims”). For purposes of this Agreement, “affiliate” shall have the meaning set forth in Rule 405 of the rules and regulations promulgated under the Securities Act of 1933, as amended.</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3.2</w:t>
      </w:r>
      <w:r>
        <w:rPr>
          <w:rFonts w:ascii="Times New Roman;sans-serif" w:hAnsi="Times New Roman;sans-serif"/>
          <w:b/>
          <w:color w:val="000000"/>
          <w:sz w:val="22"/>
        </w:rPr>
        <w:t>Scope of Release.</w:t>
      </w:r>
      <w:r>
        <w:rPr>
          <w:color w:val="000000"/>
        </w:rPr>
        <w:t xml:space="preserve"> </w:t>
      </w:r>
      <w:r>
        <w:rPr>
          <w:rFonts w:ascii="Times New Roman;sans-serif" w:hAnsi="Times New Roman;sans-serif"/>
          <w:b w:val="false"/>
          <w:color w:val="000000"/>
          <w:sz w:val="22"/>
        </w:rPr>
        <w:t>The Released Claims include, but are not limited to: (i) all claims arising out of or in any way related to your employment with the Company and/or its affiliates, or the termination of that employment; (ii) all claims related to your compensation or benefits from the Company or its affiliates, including salary, bonuses, commissions, vacation, expense reimbursements, severance pay, fringe benefits, stock, stock options, or any other ownership, equity, or profits interests in the Company or its affiliates;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any and all laws, regulations, orders, or ordinances, including, but not limited to, the federal Civil Rights Act of 1964, the federal Americans with Disabilities Act of 1990, the Family and Medical Leave Act, California Labor Code (including, but not limited to, the Private Attorneys General Act (“PAGA”)), the Ralph Civil Rights Act, the Tom Bane Civil Rights Act, the Unruh Civil Rights Act, the California Business and Professions Code, the California Equal Pay Law, the California Whistleblower Protection Laws, the California Family Rights Act, the California Pregnancy Disability Leave Law, or the California Civil Code, all as amended from time to time.</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3.3</w:t>
      </w:r>
      <w:r>
        <w:rPr>
          <w:rFonts w:ascii="Times New Roman;sans-serif" w:hAnsi="Times New Roman;sans-serif"/>
          <w:b w:val="false"/>
          <w:color w:val="000000"/>
          <w:sz w:val="22"/>
        </w:rPr>
        <w:t>You further agree that you will not initiate a PAGA lawsuit against the Company or any of the Released Parties related to your employment or any other action, event, or incident that occurred prior to the Effective Date.</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3.4</w:t>
      </w:r>
      <w:r>
        <w:rPr>
          <w:rFonts w:ascii="Times New Roman;sans-serif" w:hAnsi="Times New Roman;sans-serif"/>
          <w:b/>
          <w:color w:val="000000"/>
          <w:sz w:val="22"/>
        </w:rPr>
        <w:t>Section 1542 Waiver.</w:t>
      </w:r>
      <w:r>
        <w:rPr>
          <w:color w:val="000000"/>
        </w:rPr>
        <w:t xml:space="preserve"> </w:t>
      </w:r>
      <w:r>
        <w:rPr>
          <w:rFonts w:ascii="Times New Roman;sans-serif" w:hAnsi="Times New Roman;sans-serif"/>
          <w:b w:val="false"/>
          <w:color w:val="000000"/>
          <w:sz w:val="22"/>
        </w:rPr>
        <w:t xml:space="preserve">YOU UNDERSTAND THAT THIS RELEASE INCLUDES A RELEASE OF ALL KNOWN AND UNKNOWN CLAIMS. In giving the release herein, which includes claims which may be unknown to you at present, you acknowledge that you have read and understand Section 1542 of the California Civil Code, which reads as follows: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3"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You hereby expressly waive and relinquish all rights and benefits under that section and any law of any other jurisdiction of similar effect with respect to your release of any unknown or unsuspected claims herein.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3.5</w:t>
      </w:r>
      <w:r>
        <w:rPr>
          <w:rFonts w:ascii="Times New Roman;sans-serif" w:hAnsi="Times New Roman;sans-serif"/>
          <w:b/>
          <w:color w:val="000000"/>
          <w:sz w:val="22"/>
        </w:rPr>
        <w:t>Excluded Claims.</w:t>
      </w:r>
      <w:r>
        <w:rPr>
          <w:color w:val="000000"/>
        </w:rPr>
        <w:t xml:space="preserve"> </w:t>
      </w:r>
      <w:r>
        <w:rPr>
          <w:rFonts w:ascii="Times New Roman;sans-serif" w:hAnsi="Times New Roman;sans-serif"/>
          <w:b w:val="false"/>
          <w:color w:val="000000"/>
          <w:sz w:val="22"/>
        </w:rPr>
        <w:t>Notwithstanding the foregoing, the following are not included in the Released Claims (“Excluded Claims”): (i) any of the Employee Protections described below, (ii) any rights or claims for indemnification you may have pursuant to California Labor Code §2802 or any written indemnification agreement with the Company to which you are a party, or under applicable law or the Company’s organizational documents (or any predecessor thereto); (iii) any rights which are not waivable as a matter of law; (iv) any rights you have to file or pursue a claim for workers’ compensation or unemployment insurance; (v) any benefit entitlements vested as of the Separation Date, pursuant to the written terms of any applicable benefit plan sponsored by the Company, (vi) claims under the Age Discrimination in Employment Act of 1967 (as amended by the Older Workers Benefit Protection Act) (“ADEA”) and the California Fair Employment and Housing Act, and (vii) any claims for breach of this Agreement. You hereby represent and warrant that, other than the Excluded Claims, you are not aware of any claims you have or might have against any of the Released Parties that are not included in the Released Claims.</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2"/>
        </w:rPr>
        <w:t>4.</w:t>
      </w:r>
      <w:r>
        <w:rPr>
          <w:rFonts w:ascii="Times New Roman;sans-serif" w:hAnsi="Times New Roman;sans-serif"/>
          <w:b/>
          <w:color w:val="000000"/>
          <w:sz w:val="22"/>
        </w:rPr>
        <w:t>Employee Protections.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4.1</w:t>
      </w:r>
      <w:r>
        <w:rPr>
          <w:rFonts w:ascii="Times New Roman;sans-serif" w:hAnsi="Times New Roman;sans-serif"/>
          <w:b w:val="false"/>
          <w:color w:val="000000"/>
          <w:sz w:val="22"/>
        </w:rPr>
        <w:t>Notwithstanding anything to the contrary in this Agreement, nothing herein or otherwise limits your ability to communicate directly with and provide information, including documents, not otherwise protected from disclosure by any applicable law or privilege to the Securities and Exchange Commission (the “SEC”), any other federal, state or local governmental agency or commission (“Government Agency”) or self-regulatory organization regarding possible legal violations, without disclosure to the Company. The Company may not retaliate against you for any of these activities, and nothing in the Agreement or otherwise requires you to waive any monetary award or other payment that you might become entitled to from the SEC or any other Government Agency or self-regulatory organization. Moreover, nothing in this Agreement or otherwise requires you to notify the Company that you are going to make a report or disclosure to law enforcement.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4.2</w:t>
      </w:r>
      <w:r>
        <w:rPr>
          <w:rFonts w:ascii="Times New Roman;sans-serif" w:hAnsi="Times New Roman;sans-serif"/>
          <w:b w:val="false"/>
          <w:color w:val="000000"/>
          <w:sz w:val="22"/>
        </w:rPr>
        <w:t>Further, nothing in this Agreement precludes you from filing a charge of discrimination or unfair labor practice with the Equal Employment Opportunity Commission or a like charge or complaint with a state or local fair employment or labor Government Agency. However, you may not receive a monetary award or any other form of personal relief from the Company or any other Released Party in connection with any such charge or complaint that you have filed or is filed on your behalf.</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4"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4.3</w:t>
      </w:r>
      <w:r>
        <w:rPr>
          <w:rFonts w:ascii="Times New Roman;sans-serif" w:hAnsi="Times New Roman;sans-serif"/>
          <w:b w:val="false"/>
          <w:color w:val="000000"/>
          <w:sz w:val="22"/>
        </w:rPr>
        <w:t>The Defend Trade Secrets Act Of 2016 provides immunity in certain circumstances to Company employees, contractors, and consultants for limited disclosures of Company trade secrets. Specifically, Company employees, contractors, and consultants may disclose trade secrets: (a) in confidence, either directly or indirectly, to a Federal, State, or local government official, or to an attorney, “solely for the purpose of reporting or investigating a suspected violation of law,” or (b) “in a complaint or other document filed in a lawsuit or other proceeding, if such filing is made under seal.” Additionally, Company employees, contractors, and consultants who file retaliation lawsuits for reporting a suspected violation of law may also use and disclose related Trade Secrets in the following manner: (c) the individual may disclose the trade secret to their attorney, and (d) the individual may use the information in related court proceeding, as long as the individual files documents containing the trade secret under seal, and does not otherwise disclose the trade secret “except pursuant to court order.” You shall not be held criminally or civilly liable under any Federal or State trade secret law for the disclosure of a Trade Secret that: (1) is made (a) in confidence to a Federal, State, or local government official, either directly or indirectly, or to an attorney, and (b) solely for the purpose of reporting or investigating a suspected violation of law; or (2) is made in a complaint or other document filed in a lawsuit or other proceeding, if such filing is made under seal. Disclosures to attorneys, made under seal, or pursuant to court order are also protected in certain circumstances under 18 U.S.C. 1833.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4.4</w:t>
      </w:r>
      <w:r>
        <w:rPr>
          <w:rFonts w:ascii="Times New Roman;sans-serif" w:hAnsi="Times New Roman;sans-serif"/>
          <w:b w:val="false"/>
          <w:color w:val="000000"/>
          <w:sz w:val="22"/>
        </w:rPr>
        <w:t>Nothing in this Agreement waives your right to testify in an administrative, legislative, or judicial proceeding when you have been required or requested to attend the proceeding pursuant to a court order, subpoena, or written request from an administrative agency or the legislature. Nothing in this Agreement prevents you from discussing or disclosing information about unlawful acts in the workplace, such as harassment or discrimination or any other conduct that you have reason to believe is unlawful.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4.5</w:t>
      </w:r>
      <w:r>
        <w:rPr>
          <w:rFonts w:ascii="Times New Roman;sans-serif" w:hAnsi="Times New Roman;sans-serif"/>
          <w:b w:val="false"/>
          <w:color w:val="000000"/>
          <w:sz w:val="22"/>
        </w:rPr>
        <w:t>The protections set forth in this Section 4 constitute the “Employee Protections”.</w:t>
      </w:r>
    </w:p>
    <w:p>
      <w:pPr>
        <w:pStyle w:val="TextBody"/>
        <w:bidi w:val="0"/>
        <w:spacing w:before="0" w:after="0"/>
        <w:ind w:left="0" w:right="0" w:firstLine="1080"/>
        <w:jc w:val="both"/>
        <w:rPr/>
      </w:pPr>
      <w:r>
        <w:rPr/>
      </w:r>
    </w:p>
    <w:p>
      <w:pPr>
        <w:pStyle w:val="TextBody"/>
        <w:bidi w:val="0"/>
        <w:spacing w:lineRule="auto" w:line="288" w:before="0" w:after="0"/>
        <w:jc w:val="both"/>
        <w:rPr/>
      </w:pPr>
      <w:r>
        <w:rPr>
          <w:rFonts w:ascii="Times New Roman;sans-serif" w:hAnsi="Times New Roman;sans-serif"/>
          <w:b/>
          <w:color w:val="000000"/>
          <w:sz w:val="22"/>
        </w:rPr>
        <w:t>5.</w:t>
      </w:r>
      <w:r>
        <w:rPr>
          <w:rFonts w:ascii="Times New Roman;sans-serif" w:hAnsi="Times New Roman;sans-serif"/>
          <w:b/>
          <w:color w:val="000000"/>
          <w:sz w:val="22"/>
        </w:rPr>
        <w:t>Non-Disparagement.</w:t>
      </w:r>
      <w:r>
        <w:rPr>
          <w:color w:val="000000"/>
        </w:rPr>
        <w:t xml:space="preserve"> </w:t>
      </w:r>
      <w:r>
        <w:rPr>
          <w:rFonts w:ascii="Times New Roman;sans-serif" w:hAnsi="Times New Roman;sans-serif"/>
          <w:b w:val="false"/>
          <w:color w:val="000000"/>
          <w:sz w:val="22"/>
        </w:rPr>
        <w:t>Subject to the Employee Protections, you agree that you shall not, from the date of this Agreement or at any time thereafter (the “</w:t>
      </w:r>
      <w:r>
        <w:rPr>
          <w:rFonts w:ascii="Times New Roman;sans-serif" w:hAnsi="Times New Roman;sans-serif"/>
          <w:b w:val="false"/>
          <w:color w:val="000000"/>
          <w:sz w:val="22"/>
          <w:u w:val="single"/>
        </w:rPr>
        <w:t>Non-Disparagement Period</w:t>
      </w:r>
      <w:r>
        <w:rPr>
          <w:color w:val="000000"/>
        </w:rPr>
        <w:t>”</w:t>
      </w:r>
      <w:r>
        <w:rPr>
          <w:rFonts w:ascii="Times New Roman;sans-serif" w:hAnsi="Times New Roman;sans-serif"/>
          <w:b w:val="false"/>
          <w:color w:val="000000"/>
          <w:sz w:val="22"/>
        </w:rPr>
        <w:t xml:space="preserve">), disparage the Company or the Company’s current officers, directors, employees, shareholders, parents, subsidiaries, affiliates and agents in any manner likely to be harmful to them or their business, business reputation or personal reputation;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i/>
          <w:color w:val="000000"/>
          <w:sz w:val="22"/>
        </w:rPr>
        <w:t>that</w:t>
      </w:r>
      <w:r>
        <w:rPr>
          <w:color w:val="000000"/>
        </w:rPr>
        <w:t xml:space="preserve"> </w:t>
      </w:r>
      <w:r>
        <w:rPr>
          <w:rFonts w:ascii="Times New Roman;sans-serif" w:hAnsi="Times New Roman;sans-serif"/>
          <w:b w:val="false"/>
          <w:color w:val="000000"/>
          <w:sz w:val="22"/>
        </w:rPr>
        <w:t xml:space="preserve">you may respond accurately and fully to any question, inquiry or request for information to the extent required by legal process. In addition, nothing in this paragraph or this Agreement is intended to prohibit or restrain you in any manner from making disclosures that are protected under the whistleblower provisions of federal law or regulation or under other applicable law or regulation. If contacted by a potential future employer regarding you, the Company will only provide dates of employment, positions held, and a statement that you were in good standing throughout your employment. You agree to refer all such requests for information solely to the Company’s HR department. The Company agrees that its current executive officers and directors will not, while serving as an executive officer or director of the Company, disparage you in any manner likely to be harmful to your business reputation or personal reputation;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i/>
          <w:color w:val="000000"/>
          <w:sz w:val="22"/>
        </w:rPr>
        <w:t>that</w:t>
      </w:r>
      <w:r>
        <w:rPr>
          <w:color w:val="000000"/>
        </w:rPr>
        <w:t xml:space="preserve"> </w:t>
      </w:r>
      <w:r>
        <w:rPr>
          <w:rFonts w:ascii="Times New Roman;sans-serif" w:hAnsi="Times New Roman;sans-serif"/>
          <w:b w:val="false"/>
          <w:color w:val="000000"/>
          <w:sz w:val="22"/>
        </w:rPr>
        <w:t>the Company may respond accurately and fully to any question, inquiry or request for information to the extent required by legal process.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6.</w:t>
      </w:r>
      <w:r>
        <w:rPr>
          <w:rFonts w:ascii="Times New Roman;sans-serif" w:hAnsi="Times New Roman;sans-serif"/>
          <w:b/>
          <w:color w:val="000000"/>
          <w:sz w:val="22"/>
        </w:rPr>
        <w:t>Covenant Not To Sue.</w:t>
      </w:r>
      <w:r>
        <w:rPr>
          <w:color w:val="000000"/>
        </w:rPr>
        <w:t xml:space="preserve"> </w:t>
      </w:r>
      <w:r>
        <w:rPr>
          <w:rFonts w:ascii="Times New Roman;sans-serif" w:hAnsi="Times New Roman;sans-serif"/>
          <w:b w:val="false"/>
          <w:color w:val="000000"/>
          <w:sz w:val="22"/>
        </w:rPr>
        <w:t>A “covenant not to sue” is a legal term which means you promise not to file a lawsuit in court. It is different from the release of claims covered above in this Agreement. Besides waiving and releasing the claims set forth above, you further agree, subject to the Employee Protections, never to sue Company or its affiliates in any forum for any reason or claim covered by the release of claims above. If you sue Company or its affiliates in violation of this covenant, you shall be liable to Company for its reasonable attorneys’ fees and other costs incurred in defending against such an action. Notwithstanding this covenant not to sue, you may bring a claim against Company or its affiliates if the claim is excluded from the releases herein.</w:t>
      </w:r>
    </w:p>
    <w:p>
      <w:pPr>
        <w:pStyle w:val="TextBody"/>
        <w:bidi w:val="0"/>
        <w:jc w:val="both"/>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5"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2"/>
        </w:rPr>
        <w:t>7.</w:t>
      </w:r>
      <w:r>
        <w:rPr>
          <w:rFonts w:ascii="Times New Roman;sans-serif" w:hAnsi="Times New Roman;sans-serif"/>
          <w:b/>
          <w:color w:val="000000"/>
          <w:sz w:val="22"/>
        </w:rPr>
        <w:t>Expense Reimbursements.</w:t>
      </w:r>
      <w:r>
        <w:rPr>
          <w:color w:val="000000"/>
        </w:rPr>
        <w:t xml:space="preserve"> </w:t>
      </w:r>
      <w:r>
        <w:rPr>
          <w:rFonts w:ascii="Times New Roman;sans-serif" w:hAnsi="Times New Roman;sans-serif"/>
          <w:b w:val="false"/>
          <w:color w:val="000000"/>
          <w:sz w:val="22"/>
        </w:rPr>
        <w:t>You agree that, prior to your Separation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8.</w:t>
      </w:r>
      <w:r>
        <w:rPr>
          <w:rFonts w:ascii="Times New Roman;sans-serif" w:hAnsi="Times New Roman;sans-serif"/>
          <w:b/>
          <w:color w:val="000000"/>
          <w:sz w:val="22"/>
        </w:rPr>
        <w:t>Return Of Company Property.</w:t>
      </w:r>
      <w:r>
        <w:rPr>
          <w:color w:val="000000"/>
        </w:rPr>
        <w:t xml:space="preserve"> </w:t>
      </w:r>
      <w:r>
        <w:rPr>
          <w:rFonts w:ascii="Times New Roman;sans-serif" w:hAnsi="Times New Roman;sans-serif"/>
          <w:b w:val="false"/>
          <w:color w:val="000000"/>
          <w:sz w:val="22"/>
        </w:rPr>
        <w:t xml:space="preserve">Subject to the Employee Protections, prior to your Separation Date and to the extent you have not already done so, you shall return to the Company all Company or its affiliates’ documents (and all copies thereof) and other Company or affiliate property in your possession or control, and you shall provide the Company with any passcodes or other means necessary to access any returned devices. You agree that you will make a diligent search to locate any such documents, property and information within the timeframe referenced above. In addition, subject to the Employee Protections, if you have used any personally owned computer, server, or e-mail system to receive, store, review, prepare or transmit any confidential or proprietary data, materials or information of the Company or its affiliates, then within five (5) business days from your termination of employment, you must provide the Company with a computer-useable copy of such information and then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 </w:t>
      </w:r>
      <w:r>
        <w:rPr>
          <w:rFonts w:ascii="Times New Roman;sans-serif" w:hAnsi="Times New Roman;sans-serif"/>
          <w:b/>
          <w:color w:val="000000"/>
          <w:sz w:val="22"/>
        </w:rPr>
        <w:t>Your timely compliance in all material respects with the provisions of this paragraph is a precondition to your receipt of the Severance Benefits as defined in the Agreement. To the extent that the Company is made aware that you failed to comply in all material respects, or intentionally failed to comply, with the provisions of this paragraph after the effectuation of the Severance Benefits, the failure to return shall be deemed a material breach of this Agreement and the Company shall have the right to demand and rescind the full value of the Severance Benefits.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9.</w:t>
      </w:r>
      <w:r>
        <w:rPr>
          <w:rFonts w:ascii="Times New Roman;sans-serif" w:hAnsi="Times New Roman;sans-serif"/>
          <w:b/>
          <w:color w:val="000000"/>
          <w:sz w:val="22"/>
        </w:rPr>
        <w:t>Confidential Information.</w:t>
      </w:r>
      <w:r>
        <w:rPr>
          <w:color w:val="000000"/>
        </w:rPr>
        <w:t xml:space="preserve"> </w:t>
      </w:r>
      <w:r>
        <w:rPr>
          <w:rFonts w:ascii="Times New Roman;sans-serif" w:hAnsi="Times New Roman;sans-serif"/>
          <w:b w:val="false"/>
          <w:color w:val="000000"/>
          <w:sz w:val="22"/>
        </w:rPr>
        <w:t>Subject to the Employee Protections, you acknowledge and reaffirm your continuing obligations under your Confidential Information and Invention Assignment Agreement (“</w:t>
      </w:r>
      <w:r>
        <w:rPr>
          <w:rFonts w:ascii="Times New Roman;sans-serif" w:hAnsi="Times New Roman;sans-serif"/>
          <w:b w:val="false"/>
          <w:color w:val="000000"/>
          <w:sz w:val="22"/>
          <w:u w:val="single"/>
        </w:rPr>
        <w:t>CIIAA</w:t>
      </w:r>
      <w:r>
        <w:rPr>
          <w:color w:val="000000"/>
        </w:rPr>
        <w:t>”</w:t>
      </w:r>
      <w:r>
        <w:rPr>
          <w:rFonts w:ascii="Times New Roman;sans-serif" w:hAnsi="Times New Roman;sans-serif"/>
          <w:b w:val="false"/>
          <w:color w:val="000000"/>
          <w:sz w:val="22"/>
        </w:rPr>
        <w:t xml:space="preserve">), including your obligations not to use or disclose any confidential or proprietary information of the Company. </w:t>
      </w:r>
      <w:r>
        <w:rPr>
          <w:rFonts w:ascii="Times New Roman;sans-serif" w:hAnsi="Times New Roman;sans-serif"/>
          <w:b/>
          <w:color w:val="000000"/>
          <w:sz w:val="22"/>
        </w:rPr>
        <w:t xml:space="preserve">A copy of your CIIAA is attached hereto as </w:t>
      </w:r>
      <w:r>
        <w:rPr>
          <w:rFonts w:ascii="Times New Roman;sans-serif" w:hAnsi="Times New Roman;sans-serif"/>
          <w:b/>
          <w:color w:val="000000"/>
          <w:sz w:val="22"/>
          <w:u w:val="single"/>
        </w:rPr>
        <w:t>Exhibit A</w:t>
      </w:r>
      <w:r>
        <w:rPr>
          <w:rFonts w:ascii="Times New Roman;sans-serif" w:hAnsi="Times New Roman;sans-serif"/>
          <w:b/>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10.</w:t>
      </w:r>
      <w:r>
        <w:rPr>
          <w:rFonts w:ascii="Times New Roman;sans-serif" w:hAnsi="Times New Roman;sans-serif"/>
          <w:b/>
          <w:color w:val="000000"/>
          <w:sz w:val="22"/>
        </w:rPr>
        <w:t>No Voluntary Adverse Action.</w:t>
      </w:r>
      <w:r>
        <w:rPr>
          <w:color w:val="000000"/>
        </w:rPr>
        <w:t xml:space="preserve"> </w:t>
      </w:r>
      <w:r>
        <w:rPr>
          <w:rFonts w:ascii="Times New Roman;sans-serif" w:hAnsi="Times New Roman;sans-serif"/>
          <w:b w:val="false"/>
          <w:color w:val="000000"/>
          <w:sz w:val="22"/>
        </w:rPr>
        <w:t>Subject to the Employee Protections, you agree that you will not voluntarily provide assistance, information, or advice, directly or indirectly (including through agents or attorneys), to any person or entity in connection with any proposed or pending litigation, arbitration, administrative claim, cause of action, or other formal proceeding of any kind brought against the Company, its parent or subsidiary entities, affiliates, officers, directors, employees, or agents, nor shall you induce or encourage any person or entity to bring any such claims; provided, however, that you must respond accurately and truthfully to any question, inquiry, or request for information to the extent required by legal process (e.g., a valid subpoena or other similar compulsion of law) or as part of a government investigation.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11.</w:t>
      </w:r>
      <w:r>
        <w:rPr>
          <w:rFonts w:ascii="Times New Roman;sans-serif" w:hAnsi="Times New Roman;sans-serif"/>
          <w:b/>
          <w:color w:val="000000"/>
          <w:sz w:val="22"/>
        </w:rPr>
        <w:t>Cooperation.</w:t>
      </w:r>
      <w:r>
        <w:rPr>
          <w:color w:val="000000"/>
        </w:rPr>
        <w:t xml:space="preserve"> </w:t>
      </w:r>
      <w:r>
        <w:rPr>
          <w:rFonts w:ascii="Times New Roman;sans-serif" w:hAnsi="Times New Roman;sans-serif"/>
          <w:b w:val="false"/>
          <w:color w:val="000000"/>
          <w:sz w:val="22"/>
        </w:rPr>
        <w:t>Subject to the Employee Protections, you agree to cooperate fully with the Company and its affiliates in connection with its actual or contemplated defense, prosecution, or investigation of any claims or demands by or against third parties, or other matters arising from events, acts, or failures to act that occurred during the period of your employment by the Company or its affiliates. Such cooperation includes, without limitation, making yourself available to the Company or its affiliates upon reasonable notice, without subpoena, to provide complete, truthful and accurate information in witness interviews, depositions, and trial testimony. The Company will reimburse you for reasonable out-of-pocket expenses you incur in connection with any such cooperation ( excluding foregone wages, salary, or other compensation) and will make reasonable efforts to accommodate your scheduling needs.</w:t>
      </w:r>
    </w:p>
    <w:p>
      <w:pPr>
        <w:pStyle w:val="TextBody"/>
        <w:bidi w:val="0"/>
        <w:jc w:val="both"/>
        <w:rPr/>
      </w:pPr>
      <w:r>
        <w:rPr/>
      </w:r>
    </w:p>
    <w:p>
      <w:pPr>
        <w:pStyle w:val="TextBody"/>
        <w:bidi w:val="0"/>
        <w:spacing w:before="120" w:after="283"/>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6"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2"/>
        </w:rPr>
        <w:t>12.</w:t>
      </w:r>
      <w:r>
        <w:rPr>
          <w:rFonts w:ascii="Times New Roman;sans-serif" w:hAnsi="Times New Roman;sans-serif"/>
          <w:b/>
          <w:color w:val="000000"/>
          <w:sz w:val="22"/>
        </w:rPr>
        <w:t>No Admissions.</w:t>
      </w:r>
      <w:r>
        <w:rPr>
          <w:color w:val="000000"/>
        </w:rPr>
        <w:t xml:space="preserve"> </w:t>
      </w:r>
      <w:r>
        <w:rPr>
          <w:rFonts w:ascii="Times New Roman;sans-serif" w:hAnsi="Times New Roman;sans-serif"/>
          <w:b w:val="false"/>
          <w:color w:val="000000"/>
          <w:sz w:val="22"/>
        </w:rPr>
        <w:t>You understand and agree that the promises and payments in consideration of the Agreement shall not be construed to be an admission of any liability or obligation by the Company to you or to any other person, and that the Company makes no such admission.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13.</w:t>
      </w:r>
      <w:r>
        <w:rPr>
          <w:rFonts w:ascii="Times New Roman;sans-serif" w:hAnsi="Times New Roman;sans-serif"/>
          <w:b/>
          <w:color w:val="000000"/>
          <w:sz w:val="22"/>
        </w:rPr>
        <w:t>ARBITRATION.</w:t>
      </w:r>
      <w:r>
        <w:rPr>
          <w:color w:val="000000"/>
        </w:rPr>
        <w:t xml:space="preserve"> </w:t>
      </w:r>
      <w:r>
        <w:rPr>
          <w:rFonts w:ascii="Times New Roman;sans-serif" w:hAnsi="Times New Roman;sans-serif"/>
          <w:b w:val="false"/>
          <w:color w:val="000000"/>
          <w:sz w:val="22"/>
        </w:rPr>
        <w:t>YOU AND THE COMPANY AGREE THAT ANY AND ALL DISPUTES ARISING OUT OF THE TERMS OF THIS AGREEMENT, ITS INTERPRETATION, AND ANY OF THE MATTERS HEREIN RELEASED, SHALL BE SUBJECT TO ARBITRATION IN ALAMEDA COUNTY, BEFORE JUDICIAL ARBITRATION &amp; MEDIATION SERVICES (“</w:t>
      </w:r>
      <w:r>
        <w:rPr>
          <w:rFonts w:ascii="Times New Roman;sans-serif" w:hAnsi="Times New Roman;sans-serif"/>
          <w:b w:val="false"/>
          <w:color w:val="000000"/>
          <w:sz w:val="22"/>
          <w:u w:val="single"/>
        </w:rPr>
        <w:t>JAMS</w:t>
      </w:r>
      <w:r>
        <w:rPr>
          <w:color w:val="000000"/>
        </w:rPr>
        <w:t>”</w:t>
      </w:r>
      <w:r>
        <w:rPr>
          <w:rFonts w:ascii="Times New Roman;sans-serif" w:hAnsi="Times New Roman;sans-serif"/>
          <w:b w:val="false"/>
          <w:color w:val="000000"/>
          <w:sz w:val="22"/>
        </w:rPr>
        <w:t>), PURSUANT TO ITS EMPLOYMENT ARBITRATION RULES &amp; PROCEDURES (“</w:t>
      </w:r>
      <w:r>
        <w:rPr>
          <w:rFonts w:ascii="Times New Roman;sans-serif" w:hAnsi="Times New Roman;sans-serif"/>
          <w:b w:val="false"/>
          <w:color w:val="000000"/>
          <w:sz w:val="22"/>
          <w:u w:val="single"/>
        </w:rPr>
        <w:t>JAMS RULES</w:t>
      </w:r>
      <w:r>
        <w:rPr>
          <w:color w:val="000000"/>
        </w:rPr>
        <w:t>”</w:t>
      </w:r>
      <w:r>
        <w:rPr>
          <w:rFonts w:ascii="Times New Roman;sans-serif" w:hAnsi="Times New Roman;sans-serif"/>
          <w:b w:val="false"/>
          <w:color w:val="000000"/>
          <w:sz w:val="22"/>
        </w:rPr>
        <w:t xml:space="preserve">). THE ARBITRATOR MAY GRANT INJUNCTIONS AND OTHER RELIEF IN SUCH DISPUTES. THE ARBITRATOR SHALL ADMINISTER AND CONDUCT ANY ARBITRATION IN ACCORDANCE WITH THE FEDERAL ARBITRATION ACT. THE DECISION OF THE ARBITRATOR SHALL BE FINAL, CONCLUSIVE, AND BINDING ON THE PARTIES TO THE ARBITRATION. THE PARTIES AGREE THAT THE PREVAILING PARTY IN ANY ARBITRATION SHALL BE ENTITLED TO INJUNCTIVE RELIEF IN ANY COURT OF COMPETENT JURISDICTION TO ENFORCE THE ARBITRATION AWARD. EACH PARTY SHALL SEPARATELY PAY FOR ITS RESPECTIVE COUNSEL FEES AND EXPENSES, THE ARBITRATOR SHALL AWARD ATTORNEYS’ FEES AND COSTS TO THE PREVAILING PARTY, EXCEPT AS PROHIBITED BY LAW. </w:t>
      </w:r>
      <w:r>
        <w:rPr>
          <w:rFonts w:ascii="Times New Roman;sans-serif" w:hAnsi="Times New Roman;sans-serif"/>
          <w:b/>
          <w:color w:val="000000"/>
          <w:sz w:val="22"/>
        </w:rPr>
        <w:t xml:space="preserve">THE PARTIES HEREBY AGREE TO WAIVE THEIR RIGHT TO HAVE ANY DISPUTE BETWEEN THEM RESOLVED IN A COURT OF LAW BY A JUDGE OR JURY. </w:t>
      </w:r>
      <w:r>
        <w:rPr>
          <w:rFonts w:ascii="Times New Roman;sans-serif" w:hAnsi="Times New Roman;sans-serif"/>
          <w:b w:val="false"/>
          <w:color w:val="000000"/>
          <w:sz w:val="22"/>
        </w:rPr>
        <w:t>NOTWITHSTANDING THE FOREGOING, THIS SECTION WILL NOT PREVENT EITHER PARTY FROM SEEKING PRELIMINARY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14.</w:t>
      </w:r>
      <w:r>
        <w:rPr>
          <w:rFonts w:ascii="Times New Roman;sans-serif" w:hAnsi="Times New Roman;sans-serif"/>
          <w:b/>
          <w:color w:val="000000"/>
          <w:sz w:val="22"/>
        </w:rPr>
        <w:t>Tax Consequences.</w:t>
      </w:r>
      <w:r>
        <w:rPr>
          <w:color w:val="000000"/>
        </w:rPr>
        <w:t xml:space="preserve"> </w:t>
      </w:r>
      <w:r>
        <w:rPr>
          <w:rFonts w:ascii="Times New Roman;sans-serif" w:hAnsi="Times New Roman;sans-serif"/>
          <w:b w:val="false"/>
          <w:color w:val="000000"/>
          <w:sz w:val="22"/>
        </w:rPr>
        <w:t>The Company makes no representations or warranties with respect to the tax consequences of the payments and any other consideration provided to you or made on your behalf under the terms of the Agreement. The Company will withhold the appropriate federal, state and local taxes and other withholding, as determined by the Company, from any Severance Benefits and any other amounts paid under this Agreement. You agree and understand that you are responsible for payment, if any, of local, state, and/or federal taxes on the payments and any other consideration provided hereunder by the Company and any penalties or assessments thereon. You further agree to indemnify and hold the Company and its affiliates harmless from any claims, demands, deficiencies, penalties, interest, assessments, executions, judgments, or recoveries by any government agency against the Company or its affiliates for any amounts claimed due on account of (a) your failure to pay or delayed payment of federal or state taxes, or (b) damages sustained by the Company or its affiliates by reason of any such claims, including attorneys’ fees and costs. The parties agree that the provisions of the Plan, including Section 7(c) thereof, will be applicable to any and all deferred compensation, as referenced in Section 409A, under this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15.</w:t>
      </w:r>
      <w:r>
        <w:rPr>
          <w:rFonts w:ascii="Times New Roman;sans-serif" w:hAnsi="Times New Roman;sans-serif"/>
          <w:b/>
          <w:color w:val="000000"/>
          <w:sz w:val="22"/>
        </w:rPr>
        <w:t>Miscellaneous.</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color w:val="000000"/>
          <w:sz w:val="22"/>
        </w:rPr>
        <w:t>15.1</w:t>
      </w:r>
      <w:r>
        <w:rPr>
          <w:rFonts w:ascii="Times New Roman;sans-serif" w:hAnsi="Times New Roman;sans-serif"/>
          <w:b w:val="false"/>
          <w:color w:val="000000"/>
          <w:sz w:val="22"/>
        </w:rPr>
        <w:t>No Other Compensation or Benefits. You acknowledge that, except as expressly provided in the Agreement, you did not earn by the date of the Agreement and will not receive from the Company or its affiliates any additional compensation ( e.g., salary, commissions, bonuses or equity), severance or benefits after the Separation Date, with the exception of any vested benefits you may have under the express terms of a written ERISA-qualified benefit plan that is not a severance plan (e.g., 401(k) account).</w:t>
      </w:r>
    </w:p>
    <w:p>
      <w:pPr>
        <w:pStyle w:val="TextBody"/>
        <w:bidi w:val="0"/>
        <w:spacing w:before="120" w:after="283"/>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7"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15.2</w:t>
      </w:r>
      <w:r>
        <w:rPr>
          <w:rFonts w:ascii="Times New Roman;sans-serif" w:hAnsi="Times New Roman;sans-serif"/>
          <w:b w:val="false"/>
          <w:color w:val="000000"/>
          <w:sz w:val="22"/>
        </w:rPr>
        <w:t>Attorneys’ Fees. In the event that either you or the Company brings an action to enforce or effect any rights under the Agreement, the prevailing party shall be entitled to recover its costs and expenses, including the costs of mediation, arbitration, litigation, court fees, and reasonable attorneys’ fees incurred in connection with such an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15.3</w:t>
      </w:r>
      <w:r>
        <w:rPr>
          <w:rFonts w:ascii="Times New Roman;sans-serif" w:hAnsi="Times New Roman;sans-serif"/>
          <w:b w:val="false"/>
          <w:color w:val="000000"/>
          <w:sz w:val="22"/>
        </w:rPr>
        <w:t>Representations. You hereby represent that you have been paid all compensation owed and for all hours worked, have received all the leave and leave benefits and protections for which you are eligible pursuant to the federal Family and Medical Leave Act, any applicable law or Company policy, and have not suffered any on-the-job injury for which you have not already filed a workers’ compensation claim.</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15.4</w:t>
      </w:r>
      <w:r>
        <w:rPr>
          <w:rFonts w:ascii="Times New Roman;sans-serif" w:hAnsi="Times New Roman;sans-serif"/>
          <w:b w:val="false"/>
          <w:color w:val="000000"/>
          <w:sz w:val="22"/>
        </w:rPr>
        <w:t>Final and Binding. This Agreement is binding on the Parties and their heirs, administrators, representatives, executors, successors, and assigns, and will benefit the Parties and their heirs, administrators, representatives, executors, successors, and assigns.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15.5</w:t>
      </w:r>
      <w:r>
        <w:rPr>
          <w:rFonts w:ascii="Times New Roman;sans-serif" w:hAnsi="Times New Roman;sans-serif"/>
          <w:b w:val="false"/>
          <w:color w:val="000000"/>
          <w:sz w:val="22"/>
        </w:rPr>
        <w:t>Plain Meaning. This Agreement will be interpreted according to its plain meaning, and not strictly for or against you or the Company.</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15.6</w:t>
      </w:r>
      <w:r>
        <w:rPr>
          <w:rFonts w:ascii="Times New Roman;sans-serif" w:hAnsi="Times New Roman;sans-serif"/>
          <w:b w:val="false"/>
          <w:color w:val="000000"/>
          <w:sz w:val="22"/>
        </w:rPr>
        <w:t>No Waiver. Your or the Company’s failure to insist on performance of any terms in the Agreement, or failure to prosecute a breach of the Agreement, will not be considered a waiver of those terms and conditions, and the Agreement will remain in full force and effect.</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15.7</w:t>
      </w:r>
      <w:r>
        <w:rPr>
          <w:rFonts w:ascii="Times New Roman;sans-serif" w:hAnsi="Times New Roman;sans-serif"/>
          <w:b w:val="false"/>
          <w:color w:val="000000"/>
          <w:sz w:val="22"/>
        </w:rPr>
        <w:t>No Oral Modification. Any change or additional obligation assumed in connection with the Agreement will be effective only if it is in writing and signed by both Parties or their authorized representatives. Nothing in the Agreement may be changed, altered, modified, or waived except in a writing that is signed by both of the Parties. This Agreement sets forth the entire agreement and understanding of the parties hereto with respect to the matters covered hereby and supersedes and replaces any express or implied prior agreement with respect to the terms of your employment and the termination thereof which you may have had with the Company or any of its affiliates (including, without limitation, the Plan and the Participation Agreement), and except as specifically set forth in this Agreement, you shall not have any further rights under the Plan or the Participation Agreement.</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15.8</w:t>
      </w:r>
      <w:r>
        <w:rPr>
          <w:rFonts w:ascii="Times New Roman;sans-serif" w:hAnsi="Times New Roman;sans-serif"/>
          <w:b w:val="false"/>
          <w:color w:val="000000"/>
          <w:sz w:val="22"/>
        </w:rPr>
        <w:t>Legal Costs. The Parties are each responsible for their own attorneys’ fees and any other costs that the Parties may incur in connection with the Agreement, including review of the Agreement.</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15.9</w:t>
      </w:r>
      <w:r>
        <w:rPr>
          <w:rFonts w:ascii="Times New Roman;sans-serif" w:hAnsi="Times New Roman;sans-serif"/>
          <w:b w:val="false"/>
          <w:color w:val="000000"/>
          <w:sz w:val="22"/>
        </w:rPr>
        <w:t>Severability. If any provision of the Agreement is declared by a court with jurisdiction or an arbitrator to be illegal, unenforceable or void, that part shall be modified, and the rest enforced. If a court (or an arbitrator) finds any such part incapable of being modified, it shall be severed and the rest of the Agreement enforced.</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15.10</w:t>
      </w:r>
      <w:r>
        <w:rPr>
          <w:rFonts w:ascii="Times New Roman;sans-serif" w:hAnsi="Times New Roman;sans-serif"/>
          <w:b w:val="false"/>
          <w:color w:val="000000"/>
          <w:sz w:val="22"/>
        </w:rPr>
        <w:t>Electronic Signature/Transmission. You acknowledge and agree that the Agreement may be executed by electronic signature, including but not limited to signature by DocuSign or similar service, which shall have the same legal validity and enforceability as a manually executed signature or use of a paper-based recordkeeping system to the fullest extent permitted by applicable law. You hereby waive any objection to the contrary. You understand and agree that without limitation, “electronic signature” shall include electronically scanned and transmitted versions of a signature, including but not limited to PDF versions. The Parties further agree that signatures may be delivered by facsimile or electronically and each such signature will be deemed an original.</w:t>
      </w:r>
    </w:p>
    <w:p>
      <w:pPr>
        <w:pStyle w:val="TextBody"/>
        <w:bidi w:val="0"/>
        <w:spacing w:before="0" w:after="0"/>
        <w:ind w:left="0" w:right="0" w:firstLine="1080"/>
        <w:jc w:val="both"/>
        <w:rPr/>
      </w:pPr>
      <w:r>
        <w:rPr/>
      </w:r>
    </w:p>
    <w:p>
      <w:pPr>
        <w:pStyle w:val="TextBody"/>
        <w:bidi w:val="0"/>
        <w:spacing w:lineRule="auto" w:line="288"/>
        <w:ind w:left="0" w:right="0" w:firstLine="720"/>
        <w:jc w:val="both"/>
        <w:rPr/>
      </w:pPr>
      <w:r>
        <w:rPr>
          <w:rFonts w:ascii="Times New Roman;sans-serif" w:hAnsi="Times New Roman;sans-serif"/>
          <w:b/>
          <w:color w:val="000000"/>
          <w:sz w:val="22"/>
        </w:rPr>
        <w:t>15.11</w:t>
      </w:r>
      <w:r>
        <w:rPr>
          <w:rFonts w:ascii="Times New Roman;sans-serif" w:hAnsi="Times New Roman;sans-serif"/>
          <w:b w:val="false"/>
          <w:color w:val="000000"/>
          <w:sz w:val="22"/>
        </w:rPr>
        <w:t>Counterparts. The Agreement may be signed in counterparts, and each counterpart will have the same effect as an original.</w:t>
      </w:r>
    </w:p>
    <w:p>
      <w:pPr>
        <w:pStyle w:val="TextBody"/>
        <w:bidi w:val="0"/>
        <w:spacing w:before="120" w:after="283"/>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8"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22"/>
        </w:rPr>
        <w:t>16.</w:t>
      </w:r>
      <w:r>
        <w:rPr>
          <w:rFonts w:ascii="Times New Roman;sans-serif" w:hAnsi="Times New Roman;sans-serif"/>
          <w:b/>
          <w:color w:val="000000"/>
          <w:sz w:val="22"/>
        </w:rPr>
        <w:t xml:space="preserve">Voluntary Execution Of Agreement. </w:t>
      </w:r>
      <w:r>
        <w:rPr>
          <w:rFonts w:ascii="Times New Roman;sans-serif" w:hAnsi="Times New Roman;sans-serif"/>
          <w:b w:val="false"/>
          <w:color w:val="000000"/>
          <w:sz w:val="22"/>
        </w:rPr>
        <w:t>You are signing the Agreement voluntarily and without threat or inappropriate influence by the Company, with the full intent of releasing all claims. You acknowledge that: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16.1</w:t>
      </w:r>
      <w:r>
        <w:rPr>
          <w:rFonts w:ascii="Times New Roman;sans-serif" w:hAnsi="Times New Roman;sans-serif"/>
          <w:b w:val="false"/>
          <w:color w:val="000000"/>
          <w:sz w:val="22"/>
        </w:rPr>
        <w:t>you have read the Agreement;</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16.2</w:t>
      </w:r>
      <w:r>
        <w:rPr>
          <w:rFonts w:ascii="Times New Roman;sans-serif" w:hAnsi="Times New Roman;sans-serif"/>
          <w:b w:val="false"/>
          <w:color w:val="000000"/>
          <w:sz w:val="22"/>
        </w:rPr>
        <w:t>you have been represented by legal counsel of your choice or have voluntarily declined to hire an attorney to represent you;</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16.3</w:t>
      </w:r>
      <w:r>
        <w:rPr>
          <w:rFonts w:ascii="Times New Roman;sans-serif" w:hAnsi="Times New Roman;sans-serif"/>
          <w:b w:val="false"/>
          <w:color w:val="000000"/>
          <w:sz w:val="22"/>
        </w:rPr>
        <w:t>you understand the terms and consequences of the Agreement and of the releases it contains;</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16.4</w:t>
      </w:r>
      <w:r>
        <w:rPr>
          <w:rFonts w:ascii="Times New Roman;sans-serif" w:hAnsi="Times New Roman;sans-serif"/>
          <w:b w:val="false"/>
          <w:color w:val="000000"/>
          <w:sz w:val="22"/>
        </w:rPr>
        <w:t>you are fully aware of the legal and binding effect of the Agreement; and</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16.5</w:t>
      </w:r>
      <w:r>
        <w:rPr>
          <w:rFonts w:ascii="Times New Roman;sans-serif" w:hAnsi="Times New Roman;sans-serif"/>
          <w:b w:val="false"/>
          <w:color w:val="000000"/>
          <w:sz w:val="22"/>
        </w:rPr>
        <w:t>this Agreement is a negotiated severance agreement because it is voluntary, deliberate, and informed, provides consideration of value to you, and you have been given notice and an opportunity to retain an attorney or are represented by an attorney.</w:t>
      </w:r>
    </w:p>
    <w:p>
      <w:pPr>
        <w:pStyle w:val="TextBody"/>
        <w:bidi w:val="0"/>
        <w:spacing w:before="0" w:after="0"/>
        <w:ind w:left="0" w:right="0" w:firstLine="1080"/>
        <w:jc w:val="both"/>
        <w:rPr/>
      </w:pPr>
      <w:r>
        <w:rPr/>
      </w:r>
    </w:p>
    <w:p>
      <w:pPr>
        <w:pStyle w:val="TextBody"/>
        <w:bidi w:val="0"/>
        <w:spacing w:lineRule="auto" w:line="288" w:before="0" w:after="0"/>
        <w:jc w:val="both"/>
        <w:rPr/>
      </w:pPr>
      <w:r>
        <w:rPr>
          <w:rFonts w:ascii="Times New Roman;sans-serif" w:hAnsi="Times New Roman;sans-serif"/>
          <w:b/>
          <w:color w:val="000000"/>
          <w:sz w:val="22"/>
        </w:rPr>
        <w:t>17.</w:t>
      </w:r>
      <w:r>
        <w:rPr>
          <w:rFonts w:ascii="Times New Roman;sans-serif" w:hAnsi="Times New Roman;sans-serif"/>
          <w:b/>
          <w:color w:val="000000"/>
          <w:sz w:val="22"/>
        </w:rPr>
        <w:t>Other Representations.</w:t>
      </w:r>
      <w:r>
        <w:rPr>
          <w:color w:val="000000"/>
        </w:rPr>
        <w:t xml:space="preserve"> </w:t>
      </w:r>
      <w:r>
        <w:rPr>
          <w:rFonts w:ascii="Times New Roman;sans-serif" w:hAnsi="Times New Roman;sans-serif"/>
          <w:b w:val="false"/>
          <w:color w:val="000000"/>
          <w:sz w:val="22"/>
        </w:rPr>
        <w:t>As of the Effective Date: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17.1</w:t>
      </w:r>
      <w:r>
        <w:rPr>
          <w:rFonts w:ascii="Times New Roman;sans-serif" w:hAnsi="Times New Roman;sans-serif"/>
          <w:b w:val="false"/>
          <w:color w:val="000000"/>
          <w:sz w:val="22"/>
        </w:rPr>
        <w:t>You have received all pay/compensation/benefits/leave/time off due to date, including for overtime or vacation;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17.2</w:t>
      </w:r>
      <w:r>
        <w:rPr>
          <w:rFonts w:ascii="Times New Roman;sans-serif" w:hAnsi="Times New Roman;sans-serif"/>
          <w:b w:val="false"/>
          <w:color w:val="000000"/>
          <w:sz w:val="22"/>
        </w:rPr>
        <w:t>You have not suffered any on-the-job injury for which you have not already filed a claim, and the end of your employment is not related to any such injury;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17.3</w:t>
      </w:r>
      <w:r>
        <w:rPr>
          <w:rFonts w:ascii="Times New Roman;sans-serif" w:hAnsi="Times New Roman;sans-serif"/>
          <w:b w:val="false"/>
          <w:color w:val="000000"/>
          <w:sz w:val="22"/>
        </w:rPr>
        <w:t>You do not have any pending lawsuits against any Released Party;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17.4</w:t>
      </w:r>
      <w:r>
        <w:rPr>
          <w:rFonts w:ascii="Times New Roman;sans-serif" w:hAnsi="Times New Roman;sans-serif"/>
          <w:b w:val="false"/>
          <w:color w:val="000000"/>
          <w:sz w:val="22"/>
        </w:rPr>
        <w:t>You were advised in writing, by getting a copy of the Agreement to consult with an attorney before signing below;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17.5</w:t>
      </w:r>
      <w:r>
        <w:rPr>
          <w:rFonts w:ascii="Times New Roman;sans-serif" w:hAnsi="Times New Roman;sans-serif"/>
          <w:b w:val="false"/>
          <w:color w:val="000000"/>
          <w:sz w:val="22"/>
        </w:rPr>
        <w:t>You are signing the Agreement knowingly and voluntarily.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18.</w:t>
      </w:r>
      <w:r>
        <w:rPr>
          <w:rFonts w:ascii="Times New Roman;sans-serif" w:hAnsi="Times New Roman;sans-serif"/>
          <w:b/>
          <w:color w:val="000000"/>
          <w:sz w:val="22"/>
        </w:rPr>
        <w:t>Choice of Law.</w:t>
      </w:r>
      <w:r>
        <w:rPr>
          <w:color w:val="000000"/>
        </w:rPr>
        <w:t xml:space="preserve"> </w:t>
      </w:r>
      <w:r>
        <w:rPr>
          <w:rFonts w:ascii="Times New Roman;sans-serif" w:hAnsi="Times New Roman;sans-serif"/>
          <w:b w:val="false"/>
          <w:color w:val="000000"/>
          <w:sz w:val="22"/>
        </w:rPr>
        <w:t>The Agreement shall be construed and enforced in accordance with the laws of the State of California without regard to conflicts of law principles.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PLEASE READ CAREFULLY. THE AGREEMENT INCLUDES THE RELEASE OF ALL KNOWN AND UNKNOWN CLAIMS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Agreed and signed as of the date last signed below.</w:t>
      </w:r>
    </w:p>
    <w:tbl>
      <w:tblPr>
        <w:tblW w:w="6786" w:type="dxa"/>
        <w:jc w:val="left"/>
        <w:tblInd w:w="0" w:type="dxa"/>
        <w:tblLayout w:type="fixed"/>
        <w:tblCellMar>
          <w:top w:w="28" w:type="dxa"/>
          <w:left w:w="28" w:type="dxa"/>
          <w:bottom w:w="28" w:type="dxa"/>
          <w:right w:w="28" w:type="dxa"/>
        </w:tblCellMar>
      </w:tblPr>
      <w:tblGrid>
        <w:gridCol w:w="162"/>
        <w:gridCol w:w="143"/>
        <w:gridCol w:w="145"/>
        <w:gridCol w:w="549"/>
        <w:gridCol w:w="549"/>
        <w:gridCol w:w="551"/>
        <w:gridCol w:w="314"/>
        <w:gridCol w:w="314"/>
        <w:gridCol w:w="316"/>
        <w:gridCol w:w="144"/>
        <w:gridCol w:w="144"/>
        <w:gridCol w:w="146"/>
        <w:gridCol w:w="652"/>
        <w:gridCol w:w="652"/>
        <w:gridCol w:w="655"/>
        <w:gridCol w:w="325"/>
        <w:gridCol w:w="325"/>
        <w:gridCol w:w="328"/>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Sherry House</w:t>
            </w:r>
          </w:p>
        </w:tc>
        <w:tc>
          <w:tcPr>
            <w:tcW w:w="94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12/11/23</w:t>
            </w:r>
          </w:p>
        </w:tc>
        <w:tc>
          <w:tcPr>
            <w:tcW w:w="43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5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Peter Rawlinson</w:t>
            </w:r>
          </w:p>
        </w:tc>
        <w:tc>
          <w:tcPr>
            <w:tcW w:w="978"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12/11/23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Sherry House </w:t>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(Date)</w:t>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Lucid USA, Inc. </w:t>
            </w:r>
          </w:p>
        </w:tc>
        <w:tc>
          <w:tcPr>
            <w:tcW w:w="9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Peter Rawlinson, CEO &amp; CTO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peter@lucidmotors.com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10.49</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Certain identified information has been omitted from this document because it is not material and is the type that the Company customarily and actually treats as private or confidential, and has been marked with “[***]” to indicate where omissions have been made.</w:t>
      </w:r>
    </w:p>
    <w:p>
      <w:pPr>
        <w:pStyle w:val="TextBody"/>
        <w:bidi w:val="0"/>
        <w:spacing w:lineRule="auto" w:line="240" w:before="24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Schedule 5</w:t>
      </w:r>
    </w:p>
    <w:p>
      <w:pPr>
        <w:pStyle w:val="TextBody"/>
        <w:bidi w:val="0"/>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defined in this Schedule 5 or, if not defined in this Schedule 5, in the Agreement, capitalized terms in this Schedule 5 shall carry the meanings ascribed to them in the draft Supply Agreement sent by Lucid to AML on May 10, 2023. As used herein:</w:t>
      </w:r>
    </w:p>
    <w:p>
      <w:pPr>
        <w:pStyle w:val="TextBody"/>
        <w:bidi w:val="0"/>
        <w:spacing w:lineRule="auto" w:line="240" w:before="240" w:after="283"/>
        <w:jc w:val="both"/>
        <w:rPr/>
      </w:pPr>
      <w:r>
        <w:rPr>
          <w:color w:val="000000"/>
        </w:rPr>
        <w:t>“</w:t>
      </w:r>
      <w:r>
        <w:rPr>
          <w:rFonts w:ascii="Times New Roman;sans-serif" w:hAnsi="Times New Roman;sans-serif"/>
          <w:b w:val="false"/>
          <w:color w:val="000000"/>
          <w:sz w:val="22"/>
          <w:u w:val="single"/>
        </w:rPr>
        <w:t>Goods</w:t>
      </w:r>
      <w:r>
        <w:rPr>
          <w:color w:val="000000"/>
        </w:rPr>
        <w:t xml:space="preserve">” </w:t>
      </w:r>
      <w:r>
        <w:rPr>
          <w:rFonts w:ascii="Times New Roman;sans-serif" w:hAnsi="Times New Roman;sans-serif"/>
          <w:b w:val="false"/>
          <w:color w:val="000000"/>
          <w:sz w:val="22"/>
        </w:rPr>
        <w:t xml:space="preserve">means the goods identified in </w:t>
      </w:r>
      <w:r>
        <w:rPr>
          <w:rFonts w:ascii="Times New Roman;sans-serif" w:hAnsi="Times New Roman;sans-serif"/>
          <w:b w:val="false"/>
          <w:color w:val="000000"/>
          <w:sz w:val="22"/>
          <w:u w:val="single"/>
        </w:rPr>
        <w:t>Exhibit A-4</w:t>
      </w:r>
      <w:r>
        <w:rPr>
          <w:rFonts w:ascii="Times New Roman;sans-serif" w:hAnsi="Times New Roman;sans-serif"/>
          <w:b w:val="false"/>
          <w:color w:val="000000"/>
          <w:sz w:val="22"/>
        </w:rPr>
        <w:t>, including any of Lucid’s software embedded in such goods and bug fixes and similar updates for such software provided by Lucid to AML, as such goods are modified or updated by the parties (or their Affiliates) in the final deliverables provided pursuant the initial statement of work of the Integration Agreement, or as such goods are otherwise modified from time to time in accordance with Sections 8 and 9 below.</w:t>
      </w:r>
    </w:p>
    <w:p>
      <w:pPr>
        <w:pStyle w:val="TextBody"/>
        <w:bidi w:val="0"/>
        <w:spacing w:lineRule="auto" w:line="240" w:before="240" w:after="283"/>
        <w:jc w:val="both"/>
        <w:rPr/>
      </w:pPr>
      <w:r>
        <w:rPr>
          <w:color w:val="000000"/>
        </w:rPr>
        <w:t>“</w:t>
      </w:r>
      <w:r>
        <w:rPr>
          <w:rFonts w:ascii="Times New Roman;sans-serif" w:hAnsi="Times New Roman;sans-serif"/>
          <w:b w:val="false"/>
          <w:color w:val="000000"/>
          <w:sz w:val="22"/>
          <w:u w:val="single"/>
        </w:rPr>
        <w:t>Integration Agreement</w:t>
      </w:r>
      <w:r>
        <w:rPr>
          <w:color w:val="000000"/>
        </w:rPr>
        <w:t xml:space="preserve">” </w:t>
      </w:r>
      <w:r>
        <w:rPr>
          <w:rFonts w:ascii="Times New Roman;sans-serif" w:hAnsi="Times New Roman;sans-serif"/>
          <w:b w:val="false"/>
          <w:color w:val="000000"/>
          <w:sz w:val="22"/>
        </w:rPr>
        <w:t>means the integration agreement entered into between AML and Atieva, Inc. in the form set forth in Schedule 4 to the Implementation Agreement.</w:t>
      </w:r>
    </w:p>
    <w:p>
      <w:pPr>
        <w:pStyle w:val="TextBody"/>
        <w:bidi w:val="0"/>
        <w:spacing w:lineRule="auto" w:line="240" w:before="240" w:after="283"/>
        <w:jc w:val="both"/>
        <w:rPr/>
      </w:pPr>
      <w:r>
        <w:rPr>
          <w:color w:val="000000"/>
        </w:rPr>
        <w:t>“</w:t>
      </w:r>
      <w:r>
        <w:rPr>
          <w:rFonts w:ascii="Times New Roman;sans-serif" w:hAnsi="Times New Roman;sans-serif"/>
          <w:b w:val="false"/>
          <w:color w:val="000000"/>
          <w:sz w:val="22"/>
          <w:u w:val="single"/>
        </w:rPr>
        <w:t>Lifecycle Forecast</w:t>
      </w:r>
      <w:r>
        <w:rPr>
          <w:color w:val="000000"/>
        </w:rPr>
        <w:t xml:space="preserve">” </w:t>
      </w:r>
      <w:r>
        <w:rPr>
          <w:rFonts w:ascii="Times New Roman;sans-serif" w:hAnsi="Times New Roman;sans-serif"/>
          <w:b w:val="false"/>
          <w:color w:val="000000"/>
          <w:sz w:val="22"/>
        </w:rPr>
        <w:t xml:space="preserve">means the yearly itemized volume forecast of complete vehicle sets of Goods for the Lifecycle as set forth in </w:t>
      </w:r>
      <w:r>
        <w:rPr>
          <w:rFonts w:ascii="Times New Roman;sans-serif" w:hAnsi="Times New Roman;sans-serif"/>
          <w:b w:val="false"/>
          <w:color w:val="000000"/>
          <w:sz w:val="22"/>
          <w:u w:val="single"/>
        </w:rPr>
        <w:t>Exhibit A-5</w:t>
      </w:r>
      <w:r>
        <w:rPr>
          <w:rFonts w:ascii="Times New Roman;sans-serif" w:hAnsi="Times New Roman;sans-serif"/>
          <w:b w:val="false"/>
          <w:color w:val="000000"/>
          <w:sz w:val="22"/>
        </w:rPr>
        <w:t>.</w:t>
      </w:r>
    </w:p>
    <w:p>
      <w:pPr>
        <w:pStyle w:val="TextBody"/>
        <w:bidi w:val="0"/>
        <w:spacing w:lineRule="auto" w:line="240" w:before="240" w:after="283"/>
        <w:jc w:val="both"/>
        <w:rPr/>
      </w:pPr>
      <w:r>
        <w:rPr>
          <w:color w:val="000000"/>
        </w:rPr>
        <w:t>“</w:t>
      </w:r>
      <w:r>
        <w:rPr>
          <w:rFonts w:ascii="Times New Roman;sans-serif" w:hAnsi="Times New Roman;sans-serif"/>
          <w:b w:val="false"/>
          <w:color w:val="000000"/>
          <w:sz w:val="22"/>
          <w:u w:val="single"/>
        </w:rPr>
        <w:t>Lucid</w:t>
      </w:r>
      <w:r>
        <w:rPr>
          <w:color w:val="000000"/>
        </w:rPr>
        <w:t xml:space="preserve">” </w:t>
      </w:r>
      <w:r>
        <w:rPr>
          <w:rFonts w:ascii="Times New Roman;sans-serif" w:hAnsi="Times New Roman;sans-serif"/>
          <w:b w:val="false"/>
          <w:color w:val="000000"/>
          <w:sz w:val="22"/>
        </w:rPr>
        <w:t>means Lucid Group Technologies, LLC.</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529"/>
        <w:gridCol w:w="529"/>
        <w:gridCol w:w="534"/>
        <w:gridCol w:w="2559"/>
        <w:gridCol w:w="2407"/>
        <w:gridCol w:w="33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Topic</w:t>
            </w:r>
          </w:p>
        </w:tc>
        <w:tc>
          <w:tcPr>
            <w:tcW w:w="82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Summary of Terms</w:t>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159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Forecasting and Binding Commitments</w:t>
            </w:r>
          </w:p>
        </w:tc>
        <w:tc>
          <w:tcPr>
            <w:tcW w:w="827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20" w:after="120"/>
              <w:jc w:val="both"/>
              <w:rPr/>
            </w:pPr>
            <w:r>
              <w:rPr>
                <w:rFonts w:ascii="Times New Roman;sans-serif" w:hAnsi="Times New Roman;sans-serif"/>
                <w:b w:val="false"/>
                <w:color w:val="000000"/>
                <w:sz w:val="22"/>
              </w:rPr>
              <w:t>Beginning at least [***] months before AML’s estimated initial purchase, AML will provide monthly rolling forecasts for the current Lifecycle Year and the following Lifecycle Year (“</w:t>
            </w:r>
            <w:r>
              <w:rPr>
                <w:rFonts w:ascii="Times New Roman;sans-serif" w:hAnsi="Times New Roman;sans-serif"/>
                <w:b w:val="false"/>
                <w:color w:val="000000"/>
                <w:sz w:val="22"/>
                <w:u w:val="single"/>
              </w:rPr>
              <w:t>Rolling Forecasts</w:t>
            </w:r>
            <w:r>
              <w:rPr>
                <w:color w:val="000000"/>
              </w:rPr>
              <w:t>”</w:t>
            </w:r>
            <w:r>
              <w:rPr>
                <w:rFonts w:ascii="Times New Roman;sans-serif" w:hAnsi="Times New Roman;sans-serif"/>
                <w:b w:val="false"/>
                <w:color w:val="000000"/>
                <w:sz w:val="22"/>
              </w:rPr>
              <w:t xml:space="preserve">). The [***] months of each Rolling Forecast is binding, in that AML will be required to take or pay for [***]% of the volume of goods in the binding forecast amount for each Lifecycle Year (except that AML shall not be so required to the extent caused by (a) an injunction based on any claim that the Goods infringe a third party’s IP rights, (b) a force majeure event impacting Lucid, and/or (c) a force majeure event impacting AML that consists of events beyond AML’s reasonable control [***] (and expressly excluding any events that impact AML’s payment obligations for delivered Goods)). AML’s volumes taken or paid for in each Lifecycle Year will be assessed against such forecast amount on (and including) the last day of such Lifecycle Year. </w:t>
            </w:r>
          </w:p>
        </w:tc>
      </w:tr>
    </w:tbl>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Page 2</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492"/>
        <w:gridCol w:w="492"/>
        <w:gridCol w:w="493"/>
        <w:gridCol w:w="2453"/>
        <w:gridCol w:w="2453"/>
        <w:gridCol w:w="34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34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147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Supply Commitments</w:t>
            </w:r>
          </w:p>
        </w:tc>
        <w:tc>
          <w:tcPr>
            <w:tcW w:w="838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20" w:after="120"/>
              <w:jc w:val="both"/>
              <w:rPr/>
            </w:pPr>
            <w:r>
              <w:rPr>
                <w:rFonts w:ascii="Times New Roman;sans-serif" w:hAnsi="Times New Roman;sans-serif"/>
                <w:b w:val="false"/>
                <w:color w:val="000000"/>
                <w:sz w:val="22"/>
              </w:rPr>
              <w:t xml:space="preserve">Following acceptance of the Project under the Integration Agreement (it being acknowledged that the parties shall in good faith discuss and agree any amendments to the timelines set out in the Supply Agreement to the extent that acceptance of the Project under the Implementation Agreement is delayed), Lucid will supply and AML will purchase complete vehicle sets of Goods at the prices set forth in </w:t>
            </w:r>
            <w:r>
              <w:rPr>
                <w:rFonts w:ascii="Times New Roman;sans-serif" w:hAnsi="Times New Roman;sans-serif"/>
                <w:b w:val="false"/>
                <w:color w:val="000000"/>
                <w:sz w:val="22"/>
                <w:u w:val="single"/>
              </w:rPr>
              <w:t>Exhibit A-1</w:t>
            </w:r>
            <w:r>
              <w:rPr>
                <w:rFonts w:ascii="Times New Roman;sans-serif" w:hAnsi="Times New Roman;sans-serif"/>
                <w:b w:val="false"/>
                <w:color w:val="000000"/>
                <w:sz w:val="22"/>
              </w:rPr>
              <w:t xml:space="preserve">, subject to agreed price adjustment mechanisms. </w:t>
            </w:r>
            <w:r>
              <w:rPr>
                <w:rFonts w:ascii="Times New Roman;sans-serif" w:hAnsi="Times New Roman;sans-serif"/>
                <w:b w:val="false"/>
                <w:color w:val="000000"/>
                <w:sz w:val="22"/>
                <w:u w:val="single"/>
              </w:rPr>
              <w:t>Exhibit A-1</w:t>
            </w:r>
            <w:r>
              <w:rPr>
                <w:color w:val="000000"/>
              </w:rPr>
              <w:t xml:space="preserve"> </w:t>
            </w:r>
            <w:r>
              <w:rPr>
                <w:rFonts w:ascii="Times New Roman;sans-serif" w:hAnsi="Times New Roman;sans-serif"/>
                <w:b w:val="false"/>
                <w:color w:val="000000"/>
                <w:sz w:val="22"/>
              </w:rPr>
              <w:t xml:space="preserve">also sets forth the component-level pricing for each individual component within a complete vehicle set for the purposes of ordering spare or replacement parts.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Lucid will maintain capacity of Goods for [***]% of Lifecycle Forecasts, and will accept and fulfil orders within such capacity that are consistent with the applicable Rolling Forecast and Lucid’s lead times and other logistics requirements (each as specified in the Supply Agreement). Lucid will use commercially reasonable efforts to accommodate orders in excess of such capacity where feasible with appropriate advance notice. If Lucid requires incremental investment to meet AML’s demand beyond the [***]% supply commitment, it will provide a quote to AML and AML will decide whether to fund such investment.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Lucid will supply service parts to AML during the aftersales period, i.e. during the Term and, thereafter, for each jurisdiction in which AML sells vehicles incorporating the Goods, for the greater of [***] years, and the period required by Law in that jurisdiction (as of the date, from time to time, on which AML sells vehicles incorporating the Goods). Lucid will also supply replacement parts (i.e. Goods or their components that are damaged in transit or installation through no fault of Lucid) and a reasonable number of prototypes during the Term, each of which AML may order through spot purchase orders. Lucid will share reasonable information with AML regarding aftermarket demand to assist AML with its demand-planning for aftermarket parts.</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AML will reasonably determine the manner of packaging. Lucid will deliver Goods and any other components or parts (including prototypes) supplied under the Supply Agreement [***]. Lucid and AML will collaborate in good faith to determine the packaging requirements for prototypes.</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aftersales period, Lucid will provide AML with bug fixes and similar updates for Lucid’s software applicable to the Goods, in accordance with Lucid’s own service levels, for AML to push to its vehicles incorporating the Goods.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agree that the Supply Agreement does not require and will not include any provision requiring any software or technology escrow or similar mechanism.</w:t>
            </w:r>
          </w:p>
        </w:tc>
      </w:tr>
    </w:tbl>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Page 3</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498"/>
        <w:gridCol w:w="367"/>
        <w:gridCol w:w="368"/>
        <w:gridCol w:w="2565"/>
        <w:gridCol w:w="2507"/>
        <w:gridCol w:w="35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123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Minimum Purchase/Shortfall Damages</w:t>
            </w:r>
          </w:p>
        </w:tc>
        <w:tc>
          <w:tcPr>
            <w:tcW w:w="86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If, for any Two-year Cycle, AML has received delivery during such Two-year Cycle (except to the extent that AML has not received delivery of ordered Goods as a result of a breach of the Supply Agreement by Lucid) of complete vehicle sets of Goods comprising less than [***]% of the aggregate Lifecycle Forecast for such Two-year Cycle (including Goods paid for but not taken on a take-or-pay basis, and also including any service parts, replacement parts or prototypes that, if ordered together, would comprise a complete vehicle set), AML will pay Lucid shortfall Liquidated Damages equal to US $[***] multiplied by the number of complete vehicle sets of Goods by which AML’s purchases fell short of such minimum, provided that the maximum aggregate Liquidated Damages AML will be required to pay Lucid for any Lifecycle Forecast shortfalls will not exceed US $[***]. To the extent that a shortfall was caused by (a) an injunction based on any claim that the Goods infringe a third party’s IP rights, (b) a force majeure event impacting Lucid, and/or (c) a force majeure event impacting AML that consists of events beyond AML’s reasonable control that make AML or its carrier unable to take possession of the Goods in Casa Grande, AZ or to fulfill its FCA transport activities (and expressly excluding any events that impact AML’s payment obligations for delivered Goods), the period in respect of which that shortfall shall be calculated shall be extended, respectively, by the duration of the relevant effect of such injunction or of such force majeure event. AML’s obligation to pay Liquidated Damages will lapse once it has purchased [***] complete vehicle sets of Goods (including Goods paid for but not taken on a take-or-pay basis, and also including any service parts, replacement parts or prototypes that, if ordered together, would comprise a complete vehicle set), but without prejudice to any duty to pay Liquidated Damages that have accrued prior to such purchase. If AML purchases more than the [***]% minimum commitment in any Two-year Cycle, the excess will be credited against AML’s obligation to make the minimum purchase in any subsequent Two-year Cycle until the excess is exhausted. The Liquidated Damages are Lucid’s sole remedy for AML not purchasing the minimum purchase.</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AML pays the full $[***] of Liquidated Damages, then either party may terminate the Supply Agreement on [***] months’ advance notice.</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Once AML has purchased and paid for at least [***] vehicle sets of Goods, then either party may terminate the Supply Agreement on [***] months’ advance notice.</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In the case of termination by Lucid as described above, AML will have the right to make a one-time buy of Goods prior to the date of termination of sufficient quantity to meet AML’s anticipated future requirements for Goods during the remainder of the Lifecycle. In the case of termination by AML as described above, AML will have the right to make a one-time buy of Goods prior to the date of termination of sufficient quantity to meet AML’s anticipated future requirements for Goods during the then following [***] months. Lucid shall manufacture and supply such Goods as soon as reasonably practicable, taking into consideration: (i) Lucid’s capacity dedicated to AML, its lead times and other reasonable logistics requirements; and (ii) AML’s requirements in relation to the timing of such supply. Lucid’s obligation to supply service parts to AML during the aftersales period (ie for [***] years following the Term or such longer period as required by law) shall survive any termination.</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c>
          <w:tcPr>
            <w:tcW w:w="123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Late Delivery / Capacity Constraints</w:t>
            </w:r>
          </w:p>
        </w:tc>
        <w:tc>
          <w:tcPr>
            <w:tcW w:w="86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first Two-year Cycle, each party will maintain safety stock/buffer inventory of the Goods of at least [***]% of AML’s forecasted requirements for the following [***] to mitigate unexpected demand as well as supply constraints or delays. At the end of that first Two-year Cycle, and of every Two-year Cycle thereafter, the parties shall review and agree upon the safety stock/buffer inventory that each party is required to hold during the next Two-year Cycle, provided (i) such required safety stock shall never exceed [***]% of AML’s forecasted requirements for the following [***], (ii) the parties shall discuss, in good faith, reduction of the stock/buffer below AML’s [***]% forecasted requirements, and (iii) in the event that the parties do not agree any such reduction, each party shall continue to maintain safety stock/buffer inventory of the Goods of at least [***]% of AML’s forecasted requirements for the following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event of late delivery that cannot be addressed through AML buffer inventory, Lucid will pay for (and, if requested by AML, arrange) expedited shipping (including air freight in severe circumstances), and the parties may agree to adjust safety stock/buffer inventory going forward.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Term, if Lucid experiences supply constraints in conflict with its supply and capacity obligations to AML for any reason (including a force majeure event), Lucid will use its safety stock to meet its obligations to AML. If Lucid’s safety stock, together with the Goods otherwise made available to AML, are insufficient for Lucid to meet its obligations to AML, Lucid will: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Lucid will use reasonable efforts to recover any shortfall of AML-ordered Goods after such supply constraint subsides. Such recoveries will be shared between AML and Lucid [***] as though the supply constraint continues until full recovery has been made. </w:t>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5.</w:t>
            </w:r>
          </w:p>
        </w:tc>
        <w:tc>
          <w:tcPr>
            <w:tcW w:w="123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Inspection</w:t>
            </w:r>
          </w:p>
        </w:tc>
        <w:tc>
          <w:tcPr>
            <w:tcW w:w="863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Lucid will undertake an end of line quality check prior to packing. AML’s carrier will inspect packages for exterior damage and quantity of packages shipped at collection.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AML will inspect packages for exterior damage and quantity of packages shipped, as well as visually inspecting a reasonable sampling of the Goods for damage, within [***] of the arrival of such Goods at AML’s manufacturing facilities.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Goods not rejected in writing by AML based on such inspections shall be deemed accepted (provided that such acceptance shall be without prejudice to Lucid’s warranty obligations for all Goods, whether inspected or not, including in relation to visual defects or damage that AML identifies during assembly of its vehicles).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AML will promptly notify Lucid of any damage or product issues identified promptly after such arrival. Subject to Lucid issuing a return materials authorization (which Lucid shall not unreasonably withhold, condition or delay), AML will ship the relevant Goods to Lucid (at AML’s cost, including shipping (subject to the reimbursement of such shipping costs by Lucid in accordance with the product warranty provisions, below)).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Lucid will inspect the relevant returned Goods and replace if damaged (at Lucid’s cost, including shipping).</w:t>
            </w:r>
          </w:p>
        </w:tc>
      </w:tr>
    </w:tbl>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Page 4</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541"/>
        <w:gridCol w:w="442"/>
        <w:gridCol w:w="315"/>
        <w:gridCol w:w="2576"/>
        <w:gridCol w:w="2480"/>
        <w:gridCol w:w="3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w:t>
            </w:r>
          </w:p>
        </w:tc>
        <w:tc>
          <w:tcPr>
            <w:tcW w:w="129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Cost Savings</w:t>
            </w:r>
          </w:p>
        </w:tc>
        <w:tc>
          <w:tcPr>
            <w:tcW w:w="8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20" w:after="120"/>
              <w:jc w:val="both"/>
              <w:rPr/>
            </w:pPr>
            <w:r>
              <w:rPr>
                <w:rFonts w:ascii="Times New Roman;sans-serif" w:hAnsi="Times New Roman;sans-serif"/>
                <w:b w:val="false"/>
                <w:color w:val="000000"/>
                <w:sz w:val="22"/>
              </w:rPr>
              <w:t xml:space="preserve">The initial cost basis for the Goods will be determined in accordance with </w:t>
            </w:r>
            <w:r>
              <w:rPr>
                <w:rFonts w:ascii="Times New Roman;sans-serif" w:hAnsi="Times New Roman;sans-serif"/>
                <w:b w:val="false"/>
                <w:color w:val="000000"/>
                <w:sz w:val="22"/>
                <w:u w:val="single"/>
              </w:rPr>
              <w:t>Exhibit A-3</w:t>
            </w:r>
            <w:r>
              <w:rPr>
                <w:rFonts w:ascii="Times New Roman;sans-serif" w:hAnsi="Times New Roman;sans-serif"/>
                <w:b w:val="false"/>
                <w:color w:val="000000"/>
                <w:sz w:val="22"/>
              </w:rPr>
              <w:t>.</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The parties will work in good faith to determine a reputable, independent validator selection, and shall share the fees for such validator equally. </w:t>
            </w:r>
          </w:p>
          <w:p>
            <w:pPr>
              <w:pStyle w:val="TableContents"/>
              <w:bidi w:val="0"/>
              <w:spacing w:lineRule="auto" w:line="240" w:before="120" w:after="120"/>
              <w:jc w:val="both"/>
              <w:rPr/>
            </w:pPr>
            <w:r>
              <w:rPr>
                <w:rFonts w:ascii="Times New Roman;sans-serif" w:hAnsi="Times New Roman;sans-serif"/>
                <w:b w:val="false"/>
                <w:color w:val="000000"/>
                <w:sz w:val="22"/>
              </w:rPr>
              <w:t xml:space="preserve">[***]. Adjustments to the price of Goods to be made quarterly based on changes in raw materials costs in accordance with </w:t>
            </w:r>
            <w:r>
              <w:rPr>
                <w:rFonts w:ascii="Times New Roman;sans-serif" w:hAnsi="Times New Roman;sans-serif"/>
                <w:b w:val="false"/>
                <w:color w:val="000000"/>
                <w:sz w:val="22"/>
                <w:u w:val="single"/>
              </w:rPr>
              <w:t>Exhibit A-2</w:t>
            </w:r>
            <w:r>
              <w:rPr>
                <w:rFonts w:ascii="Times New Roman;sans-serif" w:hAnsi="Times New Roman;sans-serif"/>
                <w:b w:val="false"/>
                <w:color w:val="000000"/>
                <w:sz w:val="22"/>
              </w:rPr>
              <w:t>.</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c>
        <w:tc>
          <w:tcPr>
            <w:tcW w:w="129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ind w:left="0" w:right="0" w:hanging="0"/>
              <w:jc w:val="left"/>
              <w:rPr>
                <w:rFonts w:ascii="Times New Roman;sans-serif" w:hAnsi="Times New Roman;sans-serif"/>
                <w:b w:val="false"/>
                <w:color w:val="000000"/>
                <w:sz w:val="22"/>
              </w:rPr>
            </w:pPr>
            <w:r>
              <w:rPr>
                <w:rFonts w:ascii="Times New Roman;sans-serif" w:hAnsi="Times New Roman;sans-serif"/>
                <w:b w:val="false"/>
                <w:color w:val="000000"/>
                <w:sz w:val="22"/>
              </w:rPr>
              <w:t>Payments</w:t>
            </w:r>
          </w:p>
        </w:tc>
        <w:tc>
          <w:tcPr>
            <w:tcW w:w="8565"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Lucid will issue invoices within [***] after the date on which Goods are made available (no earlier than the delivery date) to the carrier at Lucid’s dock, with payment due [***] after the date of such invoice.</w:t>
            </w:r>
          </w:p>
        </w:tc>
      </w:tr>
      <w:tr>
        <w:trPr/>
        <w:tc>
          <w:tcPr>
            <w:tcW w:w="3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w:t>
            </w:r>
          </w:p>
        </w:tc>
        <w:tc>
          <w:tcPr>
            <w:tcW w:w="129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Control</w:t>
            </w:r>
          </w:p>
        </w:tc>
        <w:tc>
          <w:tcPr>
            <w:tcW w:w="85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If Lucid wishes to change the Goods in a manner that would not impact their form, fit or function in, or their integration into, AML vehicles, Lucid will use commercially reasonable efforts to provide reasonable advance notice thereof.</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If Lucid is required by law or regulation, or because a supplier discontinues, EOL’s, ceases making available, or otherwise changes its part or component, to make a change to the Goods that would impact their form, fit or function in, or their integration into, AML vehicles, Lucid will in each case provide AML with reasonable, and, to the extent practicable (and unless required by law in a shorter timeframe), at least [***], prior written notice of such changes.</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Lucid will not make any changes to the Goods that impact form, fit or function in, or their integration into, AML vehicles, other than those required by law or regulation, without AML’s prior written consent.</w:t>
            </w:r>
          </w:p>
        </w:tc>
      </w:tr>
      <w:tr>
        <w:trPr/>
        <w:tc>
          <w:tcPr>
            <w:tcW w:w="3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w:t>
            </w:r>
          </w:p>
        </w:tc>
        <w:tc>
          <w:tcPr>
            <w:tcW w:w="129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Current Technology</w:t>
            </w:r>
          </w:p>
        </w:tc>
        <w:tc>
          <w:tcPr>
            <w:tcW w:w="856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If Lucid makes an incremental improvement or modification to Goods (including any improvement to the energy capacity of a battery module), and such improved or modified Goods are compatible with AML’s use, Lucid will notify AML reasonably promptly and, in any event, [***]. If AML desires to migrate to such improved or modified Goods, then the parties will discuss in good faith the pricing for such improved Goods and the NRE fees to be paid by AML for any necessary engineering design and/or testing, and upon the parties’ agreement on such pricing and NRE fees, Lucid shall promptly carry out such engineering design and/or testing to implement such improved or modified Goods into AML vehicles, and Lucid will thereafter supply such improved or modified Goods to AML on the terms of the Supply Agreement and at such prices.</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Lucid’s obligations under this Section do not apply to materially different technology, including next generations of the Goods.</w:t>
            </w:r>
          </w:p>
        </w:tc>
      </w:tr>
    </w:tbl>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Page 5</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2"/>
        <w:gridCol w:w="117"/>
        <w:gridCol w:w="118"/>
        <w:gridCol w:w="514"/>
        <w:gridCol w:w="514"/>
        <w:gridCol w:w="515"/>
        <w:gridCol w:w="2802"/>
        <w:gridCol w:w="2269"/>
        <w:gridCol w:w="3224"/>
      </w:tblGrid>
      <w:tr>
        <w:trPr/>
        <w:tc>
          <w:tcPr>
            <w:tcW w:w="13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3224" w:type="dxa"/>
            <w:tcBorders/>
            <w:vAlign w:val="center"/>
          </w:tcPr>
          <w:p>
            <w:pPr>
              <w:pStyle w:val="TableContents"/>
              <w:bidi w:val="0"/>
              <w:spacing w:before="0" w:after="283"/>
              <w:jc w:val="left"/>
              <w:rPr>
                <w:sz w:val="4"/>
                <w:szCs w:val="4"/>
              </w:rPr>
            </w:pPr>
            <w:r>
              <w:rPr>
                <w:sz w:val="4"/>
                <w:szCs w:val="4"/>
              </w:rPr>
            </w:r>
          </w:p>
        </w:tc>
      </w:tr>
      <w:tr>
        <w:trPr/>
        <w:tc>
          <w:tcPr>
            <w:tcW w:w="3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w:t>
            </w:r>
          </w:p>
        </w:tc>
        <w:tc>
          <w:tcPr>
            <w:tcW w:w="15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Termination for AML Change of Control</w:t>
            </w:r>
          </w:p>
        </w:tc>
        <w:tc>
          <w:tcPr>
            <w:tcW w:w="82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Lucid may terminate the Supply Agreement if AML undergoes an AML CoC as defined the Integration Agreement to an OEM with a BEV, provided: (i) Lucid provides notice of termination within 30 days of AML providing Lucid notice of such acquisition; and (ii) there will be a four-year tail period during which the parties’ supply and purchase obligations under the Supply Agreement will continue prior to termination taking effect (following which Lucid’s aftersales obligations (including in relation to service parts and bug fixes and similar updates to software embedded in Goods) will continue until the end of the aftersales period).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 </w:t>
            </w:r>
          </w:p>
        </w:tc>
      </w:tr>
      <w:tr>
        <w:trPr/>
        <w:tc>
          <w:tcPr>
            <w:tcW w:w="3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w:t>
            </w:r>
          </w:p>
        </w:tc>
        <w:tc>
          <w:tcPr>
            <w:tcW w:w="15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Termination</w:t>
            </w:r>
          </w:p>
        </w:tc>
        <w:tc>
          <w:tcPr>
            <w:tcW w:w="82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Either Party may terminate for material unremedied confidentiality breach.</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Either Party may terminate for unremedied material breach.</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Lucid may terminate for AML’s material, unremedied non-payment (excluding amounts subject to a good faith payment dispute during the period of such dispute).</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If Lucid fails to deliver at least [***]% of ordered volumes for [***] consecutive months, AML will provide notice to Lucid and the parties would follow an escalation procedure. If Lucid continues to fail to deliver at least [***]% of ordered volumes across the [***], AML may terminate.</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a force majeure event continues for [***] months that results in delivery of less than [***]% of the ordered Goods during such event, the unaffected party may terminate.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are required to follow an escalation process involving the issuing of a warning notice and a series of executive (and, if needed, CEO) meetings before any termination or suspension.</w:t>
            </w:r>
          </w:p>
        </w:tc>
      </w:tr>
      <w:tr>
        <w:trPr/>
        <w:tc>
          <w:tcPr>
            <w:tcW w:w="3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w:t>
            </w:r>
          </w:p>
        </w:tc>
        <w:tc>
          <w:tcPr>
            <w:tcW w:w="154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Product Warranty</w:t>
            </w:r>
          </w:p>
        </w:tc>
        <w:tc>
          <w:tcPr>
            <w:tcW w:w="82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Lucid will warrant that the Goods: (i) conform to agreed specifications (which shall at least describe the specification of the Lucid Air Sapphire powertrain components as at the date of the Agreement (i.e., the date of the Implementation Agreement to which this Schedule 5 is attached), as may be modified under the Integration Agreement); (ii) are free from defects in materials and workmanship; (iii) are merchantable and free and clear of third party liens and encumbrances; and (iv) comply with applicable Law.</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Warranty remedy is limited to: (i) repair or replacement of defective part(s); and (ii) reimbursement of shipping costs to provide such repaired or replacement part(s) to AML. The product warranty is subject to customary exclusions (e.g., defects caused by use or installation in a manner not agreed in advance). Replacements for defective parts are in addition to Lucid’s [***]% Lifecycle Forecast supply commitment. </w:t>
            </w:r>
          </w:p>
        </w:tc>
      </w:tr>
      <w:tr>
        <w:trPr/>
        <w:tc>
          <w:tcPr>
            <w:tcW w:w="36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13.</w:t>
            </w:r>
          </w:p>
        </w:tc>
        <w:tc>
          <w:tcPr>
            <w:tcW w:w="154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Service Actions</w:t>
            </w:r>
          </w:p>
        </w:tc>
        <w:tc>
          <w:tcPr>
            <w:tcW w:w="82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Each party will promptly notify the other if it identifies any alleged material compliance or safety issue that relates to the Goods (including material quality issues that would legally require a recall).</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Unless required by law to implement a recall immediately, AML shall not implement a withdrawal or recall in relation to the Goods without first promptly providing notice to Lucid and discussing the issue, including conducting a joint root cause analysis if appropriate. Unless required by law to implement a recall immediately, if Lucid elects to implement a recall of the Goods in its own vehicles, Lucid shall notify AML prior to implementing such recall.</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Subject to the above, each party has discretion to implement a recall for its own vehicles.</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If AML needs to issue a field service action or recall due to any compliance or safety issue caused by defective Goods, Lucid will replace/repair affected Goods at its cost and reimburse AML for shipping costs to provide such repaired or replacement Goods to AML to the extent that the action/recall was caused by Lucid.</w:t>
            </w:r>
          </w:p>
        </w:tc>
      </w:tr>
    </w:tbl>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Page 6</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
        <w:gridCol w:w="116"/>
        <w:gridCol w:w="117"/>
        <w:gridCol w:w="591"/>
        <w:gridCol w:w="591"/>
        <w:gridCol w:w="592"/>
        <w:gridCol w:w="2565"/>
        <w:gridCol w:w="2273"/>
        <w:gridCol w:w="3229"/>
      </w:tblGrid>
      <w:tr>
        <w:trPr/>
        <w:tc>
          <w:tcPr>
            <w:tcW w:w="1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3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14.</w:t>
            </w:r>
          </w:p>
        </w:tc>
        <w:tc>
          <w:tcPr>
            <w:tcW w:w="1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Confidentiality and Return of Confidential Information</w:t>
            </w:r>
          </w:p>
        </w:tc>
        <w:tc>
          <w:tcPr>
            <w:tcW w:w="806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All information regarding the Goods or the underlying technology related to the Goods that is not publicly available or known will constitute confidential information.</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Upon expiration or termination, AML is required to return or delete all Lucid confidential information, provided that AML can retain and use confidential information as is reasonably necessary for AML’s ordinary course commercial use and service of the Goods in AML vehicles or as required by applicable law.</w:t>
            </w:r>
          </w:p>
        </w:tc>
      </w:tr>
      <w:tr>
        <w:trPr/>
        <w:tc>
          <w:tcPr>
            <w:tcW w:w="3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15.</w:t>
            </w:r>
          </w:p>
        </w:tc>
        <w:tc>
          <w:tcPr>
            <w:tcW w:w="1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IP Infringement Indemnity</w:t>
            </w:r>
          </w:p>
        </w:tc>
        <w:tc>
          <w:tcPr>
            <w:tcW w:w="806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Lucid will, at its cost, defend claims against AML, its affiliates, and (if applicable) its and their representatives based on allegations that the Goods infringe a third party’s IP rights (subject to customary exclusions) until a final non-appealable judgment or until Lucid is able to settle, with AML’s reasonable approval, on terms that grant AML an unconditional release with respect to such claim. In addition, Lucid will pay or reimburse the AML indemnified persons for amounts to be paid for any judgment (including any interim judgment) awarded for such claim or to be paid for such settlement, and will repair or replace infringing Goods that are in AML’s possession, including paying for shipping to AML, other than for Goods that have been sold. Lucid shall consult with AML upon its reasonable request, and take AML’s views into account in good faith, in relation to its selection of outside counsel for the purposes of the defence of such claim.</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If AML is required to cease using allegedly infringing Goods, Lucid will use reasonable best efforts to either (at its sole expense and option) obtain a license, or design around the infringement and implement that design (without prejudice to Lucid’s indemnification obligations).</w:t>
            </w:r>
          </w:p>
        </w:tc>
      </w:tr>
      <w:tr>
        <w:trPr/>
        <w:tc>
          <w:tcPr>
            <w:tcW w:w="3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16.</w:t>
            </w:r>
          </w:p>
        </w:tc>
        <w:tc>
          <w:tcPr>
            <w:tcW w:w="1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Limitations of Liability</w:t>
            </w:r>
          </w:p>
        </w:tc>
        <w:tc>
          <w:tcPr>
            <w:tcW w:w="806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Neither party has liability for consequential, indirect, incidental, or similar damages, subject to a specific carve-out for breach of confidentiality obligations.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party’s aggregate liability under the Supply Agreement is limited to: [***]. This does not apply to liability for breach of confidentiality obligations. </w:t>
            </w:r>
          </w:p>
          <w:p>
            <w:pPr>
              <w:pStyle w:val="TableContents"/>
              <w:bidi w:val="0"/>
              <w:spacing w:lineRule="auto" w:line="24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breach of the Supply Agreement does not constitute a breach or termination event under any other agreement(s) between the parties or their affiliates. </w:t>
            </w:r>
          </w:p>
        </w:tc>
      </w:tr>
      <w:tr>
        <w:trPr/>
        <w:tc>
          <w:tcPr>
            <w:tcW w:w="3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17.</w:t>
            </w:r>
          </w:p>
        </w:tc>
        <w:tc>
          <w:tcPr>
            <w:tcW w:w="177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ind w:left="0" w:right="0" w:hanging="0"/>
              <w:jc w:val="left"/>
              <w:rPr>
                <w:rFonts w:ascii="Times New Roman;sans-serif" w:hAnsi="Times New Roman;sans-serif"/>
                <w:b w:val="false"/>
                <w:color w:val="000000"/>
                <w:sz w:val="22"/>
              </w:rPr>
            </w:pPr>
            <w:r>
              <w:rPr>
                <w:rFonts w:ascii="Times New Roman;sans-serif" w:hAnsi="Times New Roman;sans-serif"/>
                <w:b w:val="false"/>
                <w:color w:val="000000"/>
                <w:sz w:val="22"/>
              </w:rPr>
              <w:t>Force Majeure</w:t>
            </w:r>
          </w:p>
        </w:tc>
        <w:tc>
          <w:tcPr>
            <w:tcW w:w="8067"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Except with respect to AML’s obligation to purchase Goods (for which AML’s force majeure protection is solely as expressly set forth in Sections 1 and 3), and except for events impacting a party’s ability to pay money (for which there is no force majeure protection), events should only constitute force majeure events to the extent they are beyond a party’s reasonable control.</w:t>
            </w:r>
          </w:p>
        </w:tc>
      </w:tr>
      <w:tr>
        <w:trPr/>
        <w:tc>
          <w:tcPr>
            <w:tcW w:w="3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18.</w:t>
            </w:r>
          </w:p>
        </w:tc>
        <w:tc>
          <w:tcPr>
            <w:tcW w:w="177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ind w:left="0" w:right="0" w:hanging="0"/>
              <w:jc w:val="left"/>
              <w:rPr>
                <w:rFonts w:ascii="Times New Roman;sans-serif" w:hAnsi="Times New Roman;sans-serif"/>
                <w:b w:val="false"/>
                <w:color w:val="000000"/>
                <w:sz w:val="22"/>
              </w:rPr>
            </w:pPr>
            <w:r>
              <w:rPr>
                <w:rFonts w:ascii="Times New Roman;sans-serif" w:hAnsi="Times New Roman;sans-serif"/>
                <w:b w:val="false"/>
                <w:color w:val="000000"/>
                <w:sz w:val="22"/>
              </w:rPr>
              <w:t>Guarantee</w:t>
            </w:r>
          </w:p>
        </w:tc>
        <w:tc>
          <w:tcPr>
            <w:tcW w:w="8067"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Lucid Group, Inc. will guarantee Lucid’s performance and payment obligations.</w:t>
            </w:r>
          </w:p>
        </w:tc>
      </w:tr>
    </w:tbl>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Page 7</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2"/>
        <w:gridCol w:w="116"/>
        <w:gridCol w:w="117"/>
        <w:gridCol w:w="543"/>
        <w:gridCol w:w="381"/>
        <w:gridCol w:w="382"/>
        <w:gridCol w:w="2764"/>
        <w:gridCol w:w="2388"/>
        <w:gridCol w:w="3382"/>
      </w:tblGrid>
      <w:tr>
        <w:trPr/>
        <w:tc>
          <w:tcPr>
            <w:tcW w:w="1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3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19.</w:t>
            </w:r>
          </w:p>
        </w:tc>
        <w:tc>
          <w:tcPr>
            <w:tcW w:w="13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Dispute resolution</w:t>
            </w:r>
          </w:p>
        </w:tc>
        <w:tc>
          <w:tcPr>
            <w:tcW w:w="85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20" w:after="120"/>
              <w:jc w:val="both"/>
              <w:rPr/>
            </w:pPr>
            <w:r>
              <w:rPr>
                <w:rFonts w:ascii="Times New Roman;sans-serif" w:hAnsi="Times New Roman;sans-serif"/>
                <w:b w:val="false"/>
                <w:color w:val="000000"/>
                <w:sz w:val="22"/>
              </w:rPr>
              <w:t xml:space="preserve">Sections 11.8 (Governing Law, Jurisdiction) and 11.9 (Dispute Resolution) of the Integration Agreement shall apply </w:t>
            </w:r>
            <w:r>
              <w:rPr>
                <w:rFonts w:ascii="Times New Roman;sans-serif" w:hAnsi="Times New Roman;sans-serif"/>
                <w:b w:val="false"/>
                <w:i/>
                <w:color w:val="000000"/>
                <w:sz w:val="22"/>
              </w:rPr>
              <w:t xml:space="preserve">mutatis mutandis </w:t>
            </w:r>
            <w:r>
              <w:rPr>
                <w:rFonts w:ascii="Times New Roman;sans-serif" w:hAnsi="Times New Roman;sans-serif"/>
                <w:b w:val="false"/>
                <w:color w:val="000000"/>
                <w:sz w:val="22"/>
              </w:rPr>
              <w:t xml:space="preserve">to this Supply Agreement. </w:t>
            </w:r>
          </w:p>
        </w:tc>
      </w:tr>
      <w:tr>
        <w:trPr/>
        <w:tc>
          <w:tcPr>
            <w:tcW w:w="3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20.</w:t>
            </w:r>
          </w:p>
        </w:tc>
        <w:tc>
          <w:tcPr>
            <w:tcW w:w="1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ind w:left="0" w:right="0" w:hanging="0"/>
              <w:jc w:val="left"/>
              <w:rPr>
                <w:rFonts w:ascii="Times New Roman;sans-serif" w:hAnsi="Times New Roman;sans-serif"/>
                <w:b w:val="false"/>
                <w:color w:val="000000"/>
                <w:sz w:val="22"/>
              </w:rPr>
            </w:pPr>
            <w:r>
              <w:rPr>
                <w:rFonts w:ascii="Times New Roman;sans-serif" w:hAnsi="Times New Roman;sans-serif"/>
                <w:b w:val="false"/>
                <w:color w:val="000000"/>
                <w:sz w:val="22"/>
              </w:rPr>
              <w:t>Ongoing cooperation</w:t>
            </w:r>
          </w:p>
        </w:tc>
        <w:tc>
          <w:tcPr>
            <w:tcW w:w="8534"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shall cooperate in good faith with a view to achieving the efficient supply and purchase of the Goods under this Schedule 5, and the applicable arrangements and logistical and operational details associated therewith, including logistical and operational details regarding ordering, manufacturing, invoicing, payment, packaging, ownership, processes related to warranties and disclaimers, testing, acceptance and returns. Except to extent that this Schedule 5 sets forth specific ways of working together, each party shall reasonably take into account the working practices of the other party (in conjunction with its own working practices) in operationalizing the performance of its obligations under this Schedule 5.</w:t>
            </w:r>
          </w:p>
        </w:tc>
      </w:tr>
    </w:tbl>
    <w:p>
      <w:pPr>
        <w:pStyle w:val="TextBody"/>
        <w:bidi w:val="0"/>
        <w:spacing w:before="240" w:after="283"/>
        <w:ind w:left="0" w:right="0" w:firstLine="720"/>
        <w:jc w:val="left"/>
        <w:rPr/>
      </w:pPr>
      <w:r>
        <w:rPr/>
      </w:r>
    </w:p>
    <w:p>
      <w:pPr>
        <w:pStyle w:val="TextBody"/>
        <w:bidi w:val="0"/>
        <w:spacing w:before="240" w:after="283"/>
        <w:jc w:val="left"/>
        <w:rPr/>
      </w:pPr>
      <w:r>
        <w:rPr/>
      </w:r>
    </w:p>
    <w:p>
      <w:pPr>
        <w:pStyle w:val="TextBody"/>
        <w:bidi w:val="0"/>
        <w:spacing w:before="240" w:after="283"/>
        <w:jc w:val="center"/>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 8</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A-1</w:t>
      </w:r>
    </w:p>
    <w:p>
      <w:pPr>
        <w:pStyle w:val="TextBody"/>
        <w:bidi w:val="0"/>
        <w:spacing w:lineRule="auto" w:line="240" w:before="24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PRICE</w:t>
      </w:r>
    </w:p>
    <w:p>
      <w:pPr>
        <w:pStyle w:val="TextBody"/>
        <w:bidi w:val="0"/>
        <w:spacing w:before="0" w:after="0"/>
        <w:jc w:val="center"/>
        <w:rPr/>
      </w:pPr>
      <w:r>
        <w:rPr/>
      </w:r>
    </w:p>
    <w:tbl>
      <w:tblPr>
        <w:tblW w:w="2655" w:type="dxa"/>
        <w:jc w:val="left"/>
        <w:tblInd w:w="0" w:type="dxa"/>
        <w:tblLayout w:type="fixed"/>
        <w:tblCellMar>
          <w:top w:w="28" w:type="dxa"/>
          <w:left w:w="28" w:type="dxa"/>
          <w:bottom w:w="28" w:type="dxa"/>
          <w:right w:w="28" w:type="dxa"/>
        </w:tblCellMar>
      </w:tblPr>
      <w:tblGrid>
        <w:gridCol w:w="315"/>
        <w:gridCol w:w="277"/>
        <w:gridCol w:w="279"/>
        <w:gridCol w:w="522"/>
        <w:gridCol w:w="522"/>
        <w:gridCol w:w="740"/>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Volume</w:t>
            </w:r>
          </w:p>
        </w:tc>
        <w:tc>
          <w:tcPr>
            <w:tcW w:w="178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Incremental Price</w:t>
            </w:r>
          </w:p>
        </w:tc>
      </w:tr>
      <w:tr>
        <w:trPr/>
        <w:tc>
          <w:tcPr>
            <w:tcW w:w="87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8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871" w:type="dxa"/>
            <w:gridSpan w:val="3"/>
            <w:tcBorders>
              <w:left w:val="single" w:sz="4"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84" w:type="dxa"/>
            <w:gridSpan w:val="3"/>
            <w:tcBorders>
              <w:left w:val="single" w:sz="4" w:space="0" w:color="000000"/>
              <w:right w:val="single" w:sz="4" w:space="0" w:color="000000"/>
            </w:tcBorders>
            <w:tcMar>
              <w:top w:w="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871" w:type="dxa"/>
            <w:gridSpan w:val="3"/>
            <w:tcBorders>
              <w:left w:val="single" w:sz="4" w:space="0" w:color="000000"/>
              <w:bottom w:val="single" w:sz="4" w:space="0" w:color="000000"/>
            </w:tcBorders>
            <w:tcMar>
              <w:top w:w="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84" w:type="dxa"/>
            <w:gridSpan w:val="3"/>
            <w:tcBorders>
              <w:left w:val="single" w:sz="4" w:space="0" w:color="000000"/>
              <w:bottom w:val="single" w:sz="4" w:space="0" w:color="000000"/>
              <w:right w:val="single" w:sz="4" w:space="0" w:color="000000"/>
            </w:tcBorders>
            <w:tcMar>
              <w:top w:w="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lineRule="auto" w:line="240" w:before="240" w:after="283"/>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 xml:space="preserve">Component pricing </w:t>
      </w:r>
    </w:p>
    <w:p>
      <w:pPr>
        <w:pStyle w:val="TextBody"/>
        <w:bidi w:val="0"/>
        <w:spacing w:before="0" w:after="0"/>
        <w:jc w:val="left"/>
        <w:rPr/>
      </w:pPr>
      <w:r>
        <w:rPr/>
      </w:r>
    </w:p>
    <w:tbl>
      <w:tblPr>
        <w:tblW w:w="4828" w:type="dxa"/>
        <w:jc w:val="left"/>
        <w:tblInd w:w="0" w:type="dxa"/>
        <w:tblLayout w:type="fixed"/>
        <w:tblCellMar>
          <w:top w:w="28" w:type="dxa"/>
          <w:left w:w="28" w:type="dxa"/>
          <w:bottom w:w="28" w:type="dxa"/>
          <w:right w:w="28" w:type="dxa"/>
        </w:tblCellMar>
      </w:tblPr>
      <w:tblGrid>
        <w:gridCol w:w="1382"/>
        <w:gridCol w:w="1218"/>
        <w:gridCol w:w="1224"/>
        <w:gridCol w:w="294"/>
        <w:gridCol w:w="294"/>
        <w:gridCol w:w="416"/>
      </w:tblGrid>
      <w:tr>
        <w:trPr/>
        <w:tc>
          <w:tcPr>
            <w:tcW w:w="138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First </w:t>
            </w:r>
            <w:r>
              <w:rPr>
                <w:rFonts w:ascii="Times New Roman;sans-serif" w:hAnsi="Times New Roman;sans-serif"/>
                <w:b w:val="false"/>
                <w:color w:val="000000"/>
                <w:sz w:val="20"/>
              </w:rPr>
              <w:t>[***]</w:t>
            </w:r>
            <w:r>
              <w:rPr>
                <w:color w:val="000000"/>
              </w:rPr>
              <w:t xml:space="preserve"> </w:t>
            </w:r>
            <w:r>
              <w:rPr>
                <w:rFonts w:ascii="Times New Roman;sans-serif" w:hAnsi="Times New Roman;sans-serif"/>
                <w:b/>
                <w:color w:val="000000"/>
                <w:sz w:val="20"/>
              </w:rPr>
              <w:t>units</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 Price</w:t>
            </w:r>
          </w:p>
        </w:tc>
      </w:tr>
      <w:tr>
        <w:trPr/>
        <w:tc>
          <w:tcPr>
            <w:tcW w:w="38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Next </w:t>
            </w:r>
            <w:r>
              <w:rPr>
                <w:rFonts w:ascii="Times New Roman;sans-serif" w:hAnsi="Times New Roman;sans-serif"/>
                <w:b w:val="false"/>
                <w:color w:val="000000"/>
                <w:sz w:val="20"/>
              </w:rPr>
              <w:t>[***]</w:t>
            </w:r>
            <w:r>
              <w:rPr>
                <w:color w:val="000000"/>
              </w:rPr>
              <w:t xml:space="preserve"> </w:t>
            </w:r>
            <w:r>
              <w:rPr>
                <w:rFonts w:ascii="Times New Roman;sans-serif" w:hAnsi="Times New Roman;sans-serif"/>
                <w:b/>
                <w:color w:val="000000"/>
                <w:sz w:val="20"/>
              </w:rPr>
              <w:t>units</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 Price</w:t>
            </w:r>
          </w:p>
        </w:tc>
      </w:tr>
      <w:tr>
        <w:trPr/>
        <w:tc>
          <w:tcPr>
            <w:tcW w:w="38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All additional units after the first </w:t>
            </w:r>
            <w:r>
              <w:rPr>
                <w:rFonts w:ascii="Times New Roman;sans-serif" w:hAnsi="Times New Roman;sans-serif"/>
                <w:b w:val="false"/>
                <w:color w:val="000000"/>
                <w:sz w:val="20"/>
              </w:rPr>
              <w:t>[***]</w:t>
            </w:r>
            <w:r>
              <w:rPr>
                <w:color w:val="000000"/>
              </w:rPr>
              <w:t xml:space="preserve"> </w:t>
            </w:r>
            <w:r>
              <w:rPr>
                <w:rFonts w:ascii="Times New Roman;sans-serif" w:hAnsi="Times New Roman;sans-serif"/>
                <w:b/>
                <w:color w:val="000000"/>
                <w:sz w:val="20"/>
              </w:rPr>
              <w:t>units</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 Price</w:t>
            </w:r>
          </w:p>
        </w:tc>
      </w:tr>
      <w:tr>
        <w:trPr/>
        <w:tc>
          <w:tcPr>
            <w:tcW w:w="38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240" w:after="283"/>
        <w:jc w:val="center"/>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 9</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A-2</w:t>
      </w:r>
    </w:p>
    <w:p>
      <w:pPr>
        <w:pStyle w:val="TextBody"/>
        <w:bidi w:val="0"/>
        <w:spacing w:lineRule="auto" w:line="240" w:before="24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RAW MATERIALS INDEX PRICE ADJUSTMENT</w:t>
      </w:r>
    </w:p>
    <w:p>
      <w:pPr>
        <w:pStyle w:val="TextBody"/>
        <w:bidi w:val="0"/>
        <w:spacing w:before="240" w:after="283"/>
        <w:jc w:val="left"/>
        <w:rPr/>
      </w:pPr>
      <w:r>
        <w:rPr/>
      </w:r>
    </w:p>
    <w:p>
      <w:pPr>
        <w:pStyle w:val="TextBody"/>
        <w:bidi w:val="0"/>
        <w:spacing w:lineRule="auto" w:line="240"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On the last business day of each calendar quarter, the prices for Goods (complete vehicle sets) shall be adjusted as follows: [***].</w:t>
      </w:r>
    </w:p>
    <w:p>
      <w:pPr>
        <w:pStyle w:val="TextBody"/>
        <w:bidi w:val="0"/>
        <w:spacing w:lineRule="auto" w:line="240"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240" w:after="283"/>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 10</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4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A-3</w:t>
      </w:r>
    </w:p>
    <w:p>
      <w:pPr>
        <w:pStyle w:val="TextBody"/>
        <w:bidi w:val="0"/>
        <w:spacing w:lineRule="auto" w:line="240" w:before="24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INITIAL COST BASIS DETERMINATION</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733"/>
        <w:gridCol w:w="613"/>
        <w:gridCol w:w="557"/>
        <w:gridCol w:w="808"/>
        <w:gridCol w:w="698"/>
        <w:gridCol w:w="698"/>
        <w:gridCol w:w="697"/>
        <w:gridCol w:w="697"/>
        <w:gridCol w:w="665"/>
        <w:gridCol w:w="1179"/>
        <w:gridCol w:w="1179"/>
        <w:gridCol w:w="1681"/>
      </w:tblGrid>
      <w:tr>
        <w:trPr/>
        <w:tc>
          <w:tcPr>
            <w:tcW w:w="73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61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Cost Basis Establishment Illustrative Example</w:t>
            </w:r>
          </w:p>
        </w:tc>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Lucid Initial Cost Basis</w:t>
            </w:r>
          </w:p>
        </w:tc>
        <w:tc>
          <w:tcPr>
            <w:tcW w:w="2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Independent Validator</w:t>
            </w:r>
          </w:p>
        </w:tc>
        <w:tc>
          <w:tcPr>
            <w:tcW w:w="40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Independent Validator Communication to AML</w:t>
            </w:r>
          </w:p>
        </w:tc>
      </w:tr>
      <w:tr>
        <w:trPr/>
        <w:tc>
          <w:tcPr>
            <w:tcW w:w="19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1st Two-Year Cycle</w:t>
            </w:r>
          </w:p>
        </w:tc>
        <w:tc>
          <w:tcPr>
            <w:tcW w:w="22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0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19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0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 </w:t>
            </w:r>
          </w:p>
        </w:tc>
      </w:tr>
      <w:tr>
        <w:trPr/>
        <w:tc>
          <w:tcPr>
            <w:tcW w:w="19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2nd Two-Year Cycle</w:t>
            </w:r>
          </w:p>
        </w:tc>
        <w:tc>
          <w:tcPr>
            <w:tcW w:w="22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Lucid Updated Cost Basis</w:t>
            </w:r>
          </w:p>
        </w:tc>
        <w:tc>
          <w:tcPr>
            <w:tcW w:w="2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Independent Validator</w:t>
            </w:r>
          </w:p>
        </w:tc>
        <w:tc>
          <w:tcPr>
            <w:tcW w:w="40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Independent Validator Communication to AML</w:t>
            </w:r>
          </w:p>
        </w:tc>
      </w:tr>
      <w:tr>
        <w:trPr/>
        <w:tc>
          <w:tcPr>
            <w:tcW w:w="190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0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19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left"/>
        <w:rPr/>
      </w:pPr>
      <w:r>
        <w:rPr/>
      </w:r>
    </w:p>
    <w:p>
      <w:pPr>
        <w:pStyle w:val="TextBody"/>
        <w:bidi w:val="0"/>
        <w:spacing w:before="0" w:after="283"/>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 11</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4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A-4</w:t>
      </w:r>
    </w:p>
    <w:p>
      <w:pPr>
        <w:pStyle w:val="TextBody"/>
        <w:bidi w:val="0"/>
        <w:spacing w:lineRule="auto" w:line="240" w:before="24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GOODS</w:t>
      </w:r>
    </w:p>
    <w:p>
      <w:pPr>
        <w:pStyle w:val="TextBody"/>
        <w:bidi w:val="0"/>
        <w:spacing w:before="240" w:after="283"/>
        <w:jc w:val="left"/>
        <w:rPr/>
      </w:pPr>
      <w:r>
        <w:rPr/>
      </w:r>
    </w:p>
    <w:p>
      <w:pPr>
        <w:pStyle w:val="TextBody"/>
        <w:bidi w:val="0"/>
        <w:spacing w:lineRule="auto" w:line="240"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 12</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4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 A-5</w:t>
      </w:r>
    </w:p>
    <w:p>
      <w:pPr>
        <w:pStyle w:val="TextBody"/>
        <w:bidi w:val="0"/>
        <w:spacing w:lineRule="auto" w:line="240" w:before="24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LIFECYCLE FORECAST</w:t>
      </w:r>
    </w:p>
    <w:p>
      <w:pPr>
        <w:pStyle w:val="TextBody"/>
        <w:bidi w:val="0"/>
        <w:spacing w:before="240" w:after="283"/>
        <w:jc w:val="center"/>
        <w:rPr/>
      </w:pPr>
      <w:r>
        <w:rPr/>
      </w:r>
    </w:p>
    <w:tbl>
      <w:tblPr>
        <w:tblW w:w="7670" w:type="dxa"/>
        <w:jc w:val="left"/>
        <w:tblInd w:w="0" w:type="dxa"/>
        <w:tblLayout w:type="fixed"/>
        <w:tblCellMar>
          <w:top w:w="28" w:type="dxa"/>
          <w:left w:w="28" w:type="dxa"/>
          <w:bottom w:w="28" w:type="dxa"/>
          <w:right w:w="28" w:type="dxa"/>
        </w:tblCellMar>
      </w:tblPr>
      <w:tblGrid>
        <w:gridCol w:w="315"/>
        <w:gridCol w:w="276"/>
        <w:gridCol w:w="280"/>
        <w:gridCol w:w="204"/>
        <w:gridCol w:w="204"/>
        <w:gridCol w:w="206"/>
        <w:gridCol w:w="204"/>
        <w:gridCol w:w="204"/>
        <w:gridCol w:w="206"/>
        <w:gridCol w:w="204"/>
        <w:gridCol w:w="204"/>
        <w:gridCol w:w="206"/>
        <w:gridCol w:w="204"/>
        <w:gridCol w:w="204"/>
        <w:gridCol w:w="206"/>
        <w:gridCol w:w="204"/>
        <w:gridCol w:w="204"/>
        <w:gridCol w:w="206"/>
        <w:gridCol w:w="204"/>
        <w:gridCol w:w="204"/>
        <w:gridCol w:w="206"/>
        <w:gridCol w:w="204"/>
        <w:gridCol w:w="204"/>
        <w:gridCol w:w="206"/>
        <w:gridCol w:w="204"/>
        <w:gridCol w:w="204"/>
        <w:gridCol w:w="206"/>
        <w:gridCol w:w="204"/>
        <w:gridCol w:w="204"/>
        <w:gridCol w:w="206"/>
        <w:gridCol w:w="204"/>
        <w:gridCol w:w="204"/>
        <w:gridCol w:w="206"/>
        <w:gridCol w:w="192"/>
        <w:gridCol w:w="192"/>
        <w:gridCol w:w="275"/>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Year</w:t>
            </w:r>
          </w:p>
        </w:tc>
        <w:tc>
          <w:tcPr>
            <w:tcW w:w="61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2026</w:t>
            </w:r>
          </w:p>
        </w:tc>
        <w:tc>
          <w:tcPr>
            <w:tcW w:w="61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2027</w:t>
            </w:r>
          </w:p>
        </w:tc>
        <w:tc>
          <w:tcPr>
            <w:tcW w:w="61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2028</w:t>
            </w:r>
          </w:p>
        </w:tc>
        <w:tc>
          <w:tcPr>
            <w:tcW w:w="61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2029</w:t>
            </w:r>
          </w:p>
        </w:tc>
        <w:tc>
          <w:tcPr>
            <w:tcW w:w="61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2030</w:t>
            </w:r>
          </w:p>
        </w:tc>
        <w:tc>
          <w:tcPr>
            <w:tcW w:w="61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2031</w:t>
            </w:r>
          </w:p>
        </w:tc>
        <w:tc>
          <w:tcPr>
            <w:tcW w:w="61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2032</w:t>
            </w:r>
          </w:p>
        </w:tc>
        <w:tc>
          <w:tcPr>
            <w:tcW w:w="61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2033</w:t>
            </w:r>
          </w:p>
        </w:tc>
        <w:tc>
          <w:tcPr>
            <w:tcW w:w="61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2034</w:t>
            </w:r>
          </w:p>
        </w:tc>
        <w:tc>
          <w:tcPr>
            <w:tcW w:w="61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2035</w:t>
            </w:r>
          </w:p>
        </w:tc>
        <w:tc>
          <w:tcPr>
            <w:tcW w:w="659"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Total</w:t>
            </w:r>
          </w:p>
        </w:tc>
      </w:tr>
      <w:tr>
        <w:trPr/>
        <w:tc>
          <w:tcPr>
            <w:tcW w:w="8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Volume</w:t>
            </w:r>
          </w:p>
        </w:tc>
        <w:tc>
          <w:tcPr>
            <w:tcW w:w="6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6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6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6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6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6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6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6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6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6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6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before="240" w:after="283"/>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tbl>
      <w:tblPr>
        <w:tblW w:w="4367" w:type="dxa"/>
        <w:jc w:val="left"/>
        <w:tblInd w:w="0" w:type="dxa"/>
        <w:tblLayout w:type="fixed"/>
        <w:tblCellMar>
          <w:top w:w="28" w:type="dxa"/>
          <w:left w:w="28" w:type="dxa"/>
          <w:bottom w:w="28" w:type="dxa"/>
          <w:right w:w="28" w:type="dxa"/>
        </w:tblCellMar>
      </w:tblPr>
      <w:tblGrid>
        <w:gridCol w:w="697"/>
        <w:gridCol w:w="611"/>
        <w:gridCol w:w="611"/>
        <w:gridCol w:w="379"/>
        <w:gridCol w:w="379"/>
        <w:gridCol w:w="379"/>
        <w:gridCol w:w="379"/>
        <w:gridCol w:w="379"/>
        <w:gridCol w:w="553"/>
      </w:tblGrid>
      <w:tr>
        <w:trPr/>
        <w:tc>
          <w:tcPr>
            <w:tcW w:w="69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43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LIST OF SIGNIFICANT SUBSIDIARIES</w:t>
            </w:r>
          </w:p>
        </w:tc>
      </w:tr>
      <w:tr>
        <w:trPr/>
        <w:tc>
          <w:tcPr>
            <w:tcW w:w="436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w:t>
            </w:r>
          </w:p>
        </w:tc>
      </w:tr>
      <w:tr>
        <w:trPr/>
        <w:tc>
          <w:tcPr>
            <w:tcW w:w="1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Atieva, Inc.</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Lucid USA, Inc. </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USA, Inc</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(Nos. 333-267147, 333-271722, and 333-275372) on Form S-3 and registration statements (Nos. 333-259794, 333-265734, and 333-271725) on Form S-8 of our reports dated February 27, 2024, with respect to the consolidated financial statements of Lucid Group, Inc. and the effectiveness of internal control over financial reporting.</w:t>
      </w:r>
    </w:p>
    <w:p>
      <w:pPr>
        <w:pStyle w:val="TextBody"/>
        <w:bidi w:val="0"/>
        <w:spacing w:before="240" w:after="283"/>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Santa Clara, California </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19"/>
        </w:rPr>
      </w:pPr>
      <w:r>
        <w:rPr>
          <w:rFonts w:ascii="Times New Roman;sans-serif" w:hAnsi="Times New Roman;sans-serif"/>
          <w:b/>
          <w:color w:val="000000"/>
          <w:sz w:val="19"/>
        </w:rPr>
        <w:t>CONSENT OF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issued our report dated February 28, 2023 with respect to the consolidated financial statements included in the Annual Report of Lucid Group, Inc. on Form 10-K for the year ended December 31, 2023. We consent to the incorporation by reference of said report in the Registration Statements of Lucid Group, Inc. on Forms S-3 (File No. 333-267147, File No. 333-271722 and File No. 333-275372) and Forms S-8 (File No. 333-259794, File No. 333-265734 and File No. 333-271725).</w:t>
      </w:r>
    </w:p>
    <w:p>
      <w:pPr>
        <w:pStyle w:val="TextBody"/>
        <w:bidi w:val="0"/>
        <w:spacing w:before="240" w:after="283"/>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Francisco, California </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Lucid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8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724"/>
        <w:gridCol w:w="724"/>
        <w:gridCol w:w="102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Gagan Dhingra,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Lucid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45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888"/>
        <w:gridCol w:w="888"/>
        <w:gridCol w:w="126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Annual Report on Form 10-K of the Company for the year ended December 31, 2023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887"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724"/>
        <w:gridCol w:w="724"/>
        <w:gridCol w:w="102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Gagan Dhingra, Interim Chief Financial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Annual Report on Form 10-K of the Company for the year ended December 31, 2023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545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889"/>
        <w:gridCol w:w="889"/>
        <w:gridCol w:w="126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0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19"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LUCID GROUP, INC.</w:t>
      </w:r>
    </w:p>
    <w:p>
      <w:pPr>
        <w:pStyle w:val="TextBody"/>
        <w:bidi w:val="0"/>
        <w:spacing w:lineRule="auto" w:line="319"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COMPENSATION RECOUPMENT POLICY</w:t>
      </w:r>
    </w:p>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This Lucid Group, Inc. Compensation Recoupment Policy (the “</w:t>
      </w:r>
      <w:r>
        <w:rPr>
          <w:rFonts w:ascii="Times New Roman;sans-serif" w:hAnsi="Times New Roman;sans-serif"/>
          <w:b/>
          <w:color w:val="000000"/>
          <w:sz w:val="20"/>
        </w:rPr>
        <w:t>Policy</w:t>
      </w:r>
      <w:r>
        <w:rPr>
          <w:color w:val="000000"/>
        </w:rPr>
        <w:t>”</w:t>
      </w:r>
      <w:r>
        <w:rPr>
          <w:rFonts w:ascii="Times New Roman;sans-serif" w:hAnsi="Times New Roman;sans-serif"/>
          <w:b w:val="false"/>
          <w:color w:val="000000"/>
          <w:sz w:val="20"/>
        </w:rPr>
        <w:t>) has been adopted by the Compensation Committee of the Board of Directors (the “</w:t>
      </w:r>
      <w:r>
        <w:rPr>
          <w:rFonts w:ascii="Times New Roman;sans-serif" w:hAnsi="Times New Roman;sans-serif"/>
          <w:b/>
          <w:color w:val="000000"/>
          <w:sz w:val="20"/>
        </w:rPr>
        <w:t>Board</w:t>
      </w:r>
      <w:r>
        <w:rPr>
          <w:color w:val="000000"/>
        </w:rPr>
        <w:t>”</w:t>
      </w:r>
      <w:r>
        <w:rPr>
          <w:rFonts w:ascii="Times New Roman;sans-serif" w:hAnsi="Times New Roman;sans-serif"/>
          <w:b w:val="false"/>
          <w:color w:val="000000"/>
          <w:sz w:val="20"/>
        </w:rPr>
        <w:t>) of Lucid Group,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effective as of October 2, 2023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Definitions</w:t>
      </w:r>
      <w:r>
        <w:rPr>
          <w:rFonts w:ascii="Times New Roman;sans-serif" w:hAnsi="Times New Roman;sans-serif"/>
          <w:b w:val="false"/>
          <w:color w:val="000000"/>
          <w:sz w:val="20"/>
        </w:rPr>
        <w:t>. For the purposes of this Policy, the following terms shall have the meanings set forth below.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w:t>
      </w:r>
      <w:r>
        <w:rPr>
          <w:color w:val="000000"/>
        </w:rPr>
        <w:t>“</w:t>
      </w:r>
      <w:r>
        <w:rPr>
          <w:rFonts w:ascii="Times New Roman;sans-serif" w:hAnsi="Times New Roman;sans-serif"/>
          <w:b/>
          <w:color w:val="000000"/>
          <w:sz w:val="20"/>
        </w:rPr>
        <w:t>Committee</w:t>
      </w:r>
      <w:r>
        <w:rPr>
          <w:color w:val="000000"/>
        </w:rPr>
        <w:t xml:space="preserve">” </w:t>
      </w:r>
      <w:r>
        <w:rPr>
          <w:rFonts w:ascii="Times New Roman;sans-serif" w:hAnsi="Times New Roman;sans-serif"/>
          <w:b w:val="false"/>
          <w:color w:val="000000"/>
          <w:sz w:val="20"/>
        </w:rPr>
        <w:t xml:space="preserve">means the Compensation Committee of the Board or any successor committee thereof. If there is no Compensation Committee of the Board, references herein to the “Committee” shall refer to the Company’s committee of independent directors that is responsible for executive compensation decisions, or in the absence of such a compensation committee, the independent members of the Board. </w:t>
      </w:r>
    </w:p>
    <w:p>
      <w:pPr>
        <w:pStyle w:val="TextBody"/>
        <w:bidi w:val="0"/>
        <w:spacing w:before="0" w:after="0"/>
        <w:jc w:val="both"/>
        <w:rPr/>
      </w:pPr>
      <w:r>
        <w:rPr/>
      </w:r>
    </w:p>
    <w:p>
      <w:pPr>
        <w:pStyle w:val="TextBody"/>
        <w:bidi w:val="0"/>
        <w:spacing w:lineRule="auto" w:line="288" w:before="100" w:after="100"/>
        <w:ind w:left="0" w:right="0" w:firstLine="720"/>
        <w:jc w:val="both"/>
        <w:rPr/>
      </w:pPr>
      <w:r>
        <w:rPr>
          <w:rFonts w:ascii="Times New Roman;sans-serif" w:hAnsi="Times New Roman;sans-serif"/>
          <w:b w:val="false"/>
          <w:color w:val="000000"/>
          <w:sz w:val="20"/>
        </w:rPr>
        <w:t>(b)</w:t>
      </w:r>
      <w:r>
        <w:rPr>
          <w:color w:val="000000"/>
        </w:rPr>
        <w:t>“</w:t>
      </w:r>
      <w:r>
        <w:rPr>
          <w:rFonts w:ascii="Times New Roman;sans-serif" w:hAnsi="Times New Roman;sans-serif"/>
          <w:b/>
          <w:color w:val="000000"/>
          <w:sz w:val="20"/>
        </w:rPr>
        <w:t>Covered Compensation</w:t>
      </w:r>
      <w:r>
        <w:rPr>
          <w:color w:val="000000"/>
        </w:rPr>
        <w:t xml:space="preserve">” </w:t>
      </w:r>
      <w:r>
        <w:rPr>
          <w:rFonts w:ascii="Times New Roman;sans-serif" w:hAnsi="Times New Roman;sans-serif"/>
          <w:b w:val="false"/>
          <w:color w:val="000000"/>
          <w:sz w:val="20"/>
        </w:rPr>
        <w:t xml:space="preserve">means any Incentive-based Compensation “received” by a Covered Executive during the applicable Recoupment Period;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br/>
        <w:t xml:space="preserve">    (i) such Covered Compensation was received by such Covered Executive (A) after the Effective Date, (B) after such Covered Executive commenced service as an Executive Officer and (C) while the Company had a class of securities publicly listed on a United States national securities exchange; and </w:t>
        <w:br/>
        <w:t>    </w:t>
        <w:br/>
        <w:t xml:space="preserve">    (ii) such Covered Executive served as an Executive Officer at any time during the performance period applicable to such Incentive-based Compensation.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purposes of this Policy, Incentive-based     Compensation is “</w:t>
      </w:r>
      <w:r>
        <w:rPr>
          <w:rFonts w:ascii="Times New Roman;sans-serif" w:hAnsi="Times New Roman;sans-serif"/>
          <w:b/>
          <w:color w:val="000000"/>
          <w:sz w:val="20"/>
        </w:rPr>
        <w:t>received</w:t>
      </w:r>
      <w:r>
        <w:rPr>
          <w:color w:val="000000"/>
        </w:rPr>
        <w:t xml:space="preserve">” </w:t>
      </w:r>
      <w:r>
        <w:rPr>
          <w:rFonts w:ascii="Times New Roman;sans-serif" w:hAnsi="Times New Roman;sans-serif"/>
          <w:b w:val="false"/>
          <w:color w:val="000000"/>
          <w:sz w:val="20"/>
        </w:rPr>
        <w:t>by a Covered Executive during the fiscal period in which the Financial Reporting Measure applicable to such Incentive-based Compensation (or portion thereof) is attained, even if the payment or grant of such Incentive-based Compensation is made thereafter.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w:t>
      </w:r>
      <w:r>
        <w:rPr>
          <w:color w:val="000000"/>
        </w:rPr>
        <w:t>“</w:t>
      </w:r>
      <w:r>
        <w:rPr>
          <w:rFonts w:ascii="Times New Roman;sans-serif" w:hAnsi="Times New Roman;sans-serif"/>
          <w:b/>
          <w:color w:val="000000"/>
          <w:sz w:val="20"/>
        </w:rPr>
        <w:t>Covered Executive</w:t>
      </w:r>
      <w:r>
        <w:rPr>
          <w:color w:val="000000"/>
        </w:rPr>
        <w:t xml:space="preserve">” </w:t>
      </w:r>
      <w:r>
        <w:rPr>
          <w:rFonts w:ascii="Times New Roman;sans-serif" w:hAnsi="Times New Roman;sans-serif"/>
          <w:b w:val="false"/>
          <w:color w:val="000000"/>
          <w:sz w:val="20"/>
        </w:rPr>
        <w:t>means any (i) current or former Executive Officer and (ii) any other employee of the Company and its subsidiaries designated by the Committee as subject to this Policy from time to time.</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w:t>
      </w:r>
      <w:r>
        <w:rPr>
          <w:color w:val="000000"/>
        </w:rPr>
        <w:t>“</w:t>
      </w:r>
      <w:r>
        <w:rPr>
          <w:rFonts w:ascii="Times New Roman;sans-serif" w:hAnsi="Times New Roman;sans-serif"/>
          <w:b/>
          <w:color w:val="000000"/>
          <w:sz w:val="20"/>
        </w:rPr>
        <w:t>Exchange Act</w:t>
      </w:r>
      <w:r>
        <w:rPr>
          <w:color w:val="000000"/>
        </w:rPr>
        <w:t xml:space="preserve">” </w:t>
      </w:r>
      <w:r>
        <w:rPr>
          <w:rFonts w:ascii="Times New Roman;sans-serif" w:hAnsi="Times New Roman;sans-serif"/>
          <w:b w:val="false"/>
          <w:color w:val="000000"/>
          <w:sz w:val="20"/>
        </w:rPr>
        <w:t xml:space="preserve">means the U.S. Securities Exchange Act of 1934, as amended, and the rules and regulations promulgated thereunder.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(e)</w:t>
      </w:r>
      <w:r>
        <w:rPr>
          <w:color w:val="000000"/>
        </w:rPr>
        <w:t>“</w:t>
      </w:r>
      <w:r>
        <w:rPr>
          <w:rFonts w:ascii="Times New Roman;sans-serif" w:hAnsi="Times New Roman;sans-serif"/>
          <w:b/>
          <w:color w:val="000000"/>
          <w:sz w:val="20"/>
        </w:rPr>
        <w:t>Executive Officer</w:t>
      </w:r>
      <w:r>
        <w:rPr>
          <w:color w:val="000000"/>
        </w:rPr>
        <w:t xml:space="preserve">” </w:t>
      </w:r>
      <w:r>
        <w:rPr>
          <w:rFonts w:ascii="Times New Roman;sans-serif" w:hAnsi="Times New Roman;sans-serif"/>
          <w:b w:val="false"/>
          <w:color w:val="000000"/>
          <w:sz w:val="20"/>
        </w:rPr>
        <w:t>means,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0"/>
        </w:rPr>
        <w:t>(f)</w:t>
      </w:r>
      <w:r>
        <w:rPr>
          <w:color w:val="000000"/>
        </w:rPr>
        <w:t>“</w:t>
      </w:r>
      <w:r>
        <w:rPr>
          <w:rFonts w:ascii="Times New Roman;sans-serif" w:hAnsi="Times New Roman;sans-serif"/>
          <w:b/>
          <w:color w:val="000000"/>
          <w:sz w:val="20"/>
        </w:rPr>
        <w:t>Financial Reporting Measure</w:t>
      </w:r>
      <w:r>
        <w:rPr>
          <w:color w:val="000000"/>
        </w:rPr>
        <w:t xml:space="preserve">” </w:t>
      </w:r>
      <w:r>
        <w:rPr>
          <w:rFonts w:ascii="Times New Roman;sans-serif" w:hAnsi="Times New Roman;sans-serif"/>
          <w:b w:val="false"/>
          <w:color w:val="000000"/>
          <w:sz w:val="20"/>
        </w:rPr>
        <w:t>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pStyle w:val="TextBody"/>
        <w:bidi w:val="0"/>
        <w:spacing w:before="0" w:after="20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624205"/>
                <wp:effectExtent l="0" t="0" r="0" b="0"/>
                <wp:wrapNone/>
                <wp:docPr id="179" name="Frame178"/>
                <a:graphic xmlns:a="http://schemas.openxmlformats.org/drawingml/2006/main">
                  <a:graphicData uri="http://schemas.microsoft.com/office/word/2010/wordprocessingShape">
                    <wps:wsp>
                      <wps:cNvSpPr txBox="1"/>
                      <wps:spPr>
                        <a:xfrm>
                          <a:off x="0" y="0"/>
                          <a:ext cx="6480175" cy="6242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200"/>
                              <w:jc w:val="left"/>
                              <w:rPr/>
                            </w:pPr>
                            <w:r>
                              <w:rPr/>
                            </w:r>
                          </w:p>
                          <w:p>
                            <w:pPr>
                              <w:pStyle w:val="TextBody"/>
                              <w:bidi w:val="0"/>
                              <w:spacing w:lineRule="auto" w:line="319" w:before="0" w:after="20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200"/>
                        <w:jc w:val="left"/>
                        <w:rPr/>
                      </w:pPr>
                      <w:r>
                        <w:rPr/>
                      </w:r>
                    </w:p>
                    <w:p>
                      <w:pPr>
                        <w:pStyle w:val="TextBody"/>
                        <w:bidi w:val="0"/>
                        <w:spacing w:lineRule="auto" w:line="319" w:before="0" w:after="200"/>
                        <w:jc w:val="left"/>
                        <w:rPr>
                          <w:color w:val="000000"/>
                        </w:rPr>
                      </w:pPr>
                      <w:r>
                        <w:rPr>
                          <w:color w:val="000000"/>
                        </w:rPr>
                        <w:t>    </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(g)</w:t>
      </w:r>
      <w:r>
        <w:rPr>
          <w:color w:val="000000"/>
        </w:rPr>
        <w:t>“</w:t>
      </w:r>
      <w:r>
        <w:rPr>
          <w:rFonts w:ascii="Times New Roman;sans-serif" w:hAnsi="Times New Roman;sans-serif"/>
          <w:b/>
          <w:color w:val="000000"/>
          <w:sz w:val="20"/>
        </w:rPr>
        <w:t>Financial Restatement</w:t>
      </w:r>
      <w:r>
        <w:rPr>
          <w:color w:val="000000"/>
        </w:rPr>
        <w:t xml:space="preserve">” </w:t>
      </w:r>
      <w:r>
        <w:rPr>
          <w:rFonts w:ascii="Times New Roman;sans-serif" w:hAnsi="Times New Roman;sans-serif"/>
          <w:b w:val="false"/>
          <w:color w:val="000000"/>
          <w:sz w:val="20"/>
        </w:rPr>
        <w:t>means a restatement of the Company’s financial statements due to the Company’s material noncompliance with any financial reporting requirement under U.S. federal securities laws that is required in order to correct: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an error in previously issued financial statements that is material to the previously issued financial statements; or</w:t>
      </w:r>
    </w:p>
    <w:p>
      <w:pPr>
        <w:pStyle w:val="TextBody"/>
        <w:bidi w:val="0"/>
        <w:spacing w:before="0" w:after="0"/>
        <w:ind w:left="0" w:right="0" w:hanging="14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an error that would result in a material misstatement if the error were (A) corrected in the current period or (B) left uncorrected in the current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(h)</w:t>
      </w:r>
      <w:r>
        <w:rPr>
          <w:color w:val="000000"/>
        </w:rPr>
        <w:t>“</w:t>
      </w:r>
      <w:r>
        <w:rPr>
          <w:rFonts w:ascii="Times New Roman;sans-serif" w:hAnsi="Times New Roman;sans-serif"/>
          <w:b/>
          <w:color w:val="000000"/>
          <w:sz w:val="20"/>
        </w:rPr>
        <w:t>Incentive-based Compensation”</w:t>
      </w:r>
      <w:r>
        <w:rPr>
          <w:color w:val="000000"/>
        </w:rPr>
        <w:t xml:space="preserve"> </w:t>
      </w:r>
      <w:r>
        <w:rPr>
          <w:rFonts w:ascii="Times New Roman;sans-serif" w:hAnsi="Times New Roman;sans-serif"/>
          <w:b w:val="false"/>
          <w:color w:val="000000"/>
          <w:sz w:val="20"/>
        </w:rPr>
        <w:t>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pStyle w:val="TextBody"/>
        <w:bidi w:val="0"/>
        <w:spacing w:before="0" w:after="0"/>
        <w:ind w:left="0" w:right="0" w:firstLine="1080"/>
        <w:jc w:val="both"/>
        <w:rPr/>
      </w:pPr>
      <w:r>
        <w:rPr/>
      </w:r>
    </w:p>
    <w:p>
      <w:pPr>
        <w:pStyle w:val="TextBody"/>
        <w:bidi w:val="0"/>
        <w:spacing w:lineRule="auto" w:line="240" w:before="100" w:after="100"/>
        <w:ind w:left="0" w:right="0" w:firstLine="720"/>
        <w:jc w:val="left"/>
        <w:rPr/>
      </w:pPr>
      <w:r>
        <w:rPr>
          <w:rFonts w:ascii="Times New Roman;sans-serif" w:hAnsi="Times New Roman;sans-serif"/>
          <w:b w:val="false"/>
          <w:color w:val="000000"/>
          <w:sz w:val="20"/>
        </w:rPr>
        <w:t>(i)</w:t>
      </w:r>
      <w:r>
        <w:rPr>
          <w:color w:val="000000"/>
        </w:rPr>
        <w:t>“</w:t>
      </w:r>
      <w:r>
        <w:rPr>
          <w:rFonts w:ascii="Times New Roman;sans-serif" w:hAnsi="Times New Roman;sans-serif"/>
          <w:b/>
          <w:color w:val="000000"/>
          <w:sz w:val="20"/>
        </w:rPr>
        <w:t>Nasdaq</w:t>
      </w:r>
      <w:r>
        <w:rPr>
          <w:color w:val="000000"/>
        </w:rPr>
        <w:t xml:space="preserve">” </w:t>
      </w:r>
      <w:r>
        <w:rPr>
          <w:rFonts w:ascii="Times New Roman;sans-serif" w:hAnsi="Times New Roman;sans-serif"/>
          <w:b w:val="false"/>
          <w:color w:val="000000"/>
          <w:sz w:val="20"/>
        </w:rPr>
        <w:t>means The Nasdaq Stock Market, LLC, or any successor thereof.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(j)</w:t>
      </w:r>
      <w:r>
        <w:rPr>
          <w:color w:val="000000"/>
        </w:rPr>
        <w:t>“</w:t>
      </w:r>
      <w:r>
        <w:rPr>
          <w:rFonts w:ascii="Times New Roman;sans-serif" w:hAnsi="Times New Roman;sans-serif"/>
          <w:b/>
          <w:color w:val="000000"/>
          <w:sz w:val="20"/>
        </w:rPr>
        <w:t>Recoupment Period</w:t>
      </w:r>
      <w:r>
        <w:rPr>
          <w:color w:val="000000"/>
        </w:rPr>
        <w:t xml:space="preserve">” </w:t>
      </w:r>
      <w:r>
        <w:rPr>
          <w:rFonts w:ascii="Times New Roman;sans-serif" w:hAnsi="Times New Roman;sans-serif"/>
          <w:b w:val="false"/>
          <w:color w:val="000000"/>
          <w:sz w:val="20"/>
        </w:rPr>
        <w:t>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(k)</w:t>
      </w:r>
      <w:r>
        <w:rPr>
          <w:color w:val="000000"/>
        </w:rPr>
        <w:t>“</w:t>
      </w:r>
      <w:r>
        <w:rPr>
          <w:rFonts w:ascii="Times New Roman;sans-serif" w:hAnsi="Times New Roman;sans-serif"/>
          <w:b/>
          <w:color w:val="000000"/>
          <w:sz w:val="20"/>
        </w:rPr>
        <w:t>Recoupment Trigger Date</w:t>
      </w:r>
      <w:r>
        <w:rPr>
          <w:color w:val="000000"/>
        </w:rPr>
        <w:t xml:space="preserve">” </w:t>
      </w:r>
      <w:r>
        <w:rPr>
          <w:rFonts w:ascii="Times New Roman;sans-serif" w:hAnsi="Times New Roman;sans-serif"/>
          <w:b w:val="false"/>
          <w:color w:val="000000"/>
          <w:sz w:val="20"/>
        </w:rPr>
        <w:t>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Recoupment of Erroneously Awarded Compensation</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In the event of a Financial Restatement, if the amount of any Covered Compensation received by a Covered Executive (the “</w:t>
      </w:r>
      <w:r>
        <w:rPr>
          <w:rFonts w:ascii="Times New Roman;sans-serif" w:hAnsi="Times New Roman;sans-serif"/>
          <w:b/>
          <w:color w:val="000000"/>
          <w:sz w:val="20"/>
        </w:rPr>
        <w:t>Awarded Compensation</w:t>
      </w:r>
      <w:r>
        <w:rPr>
          <w:color w:val="000000"/>
        </w:rPr>
        <w:t>”</w:t>
      </w:r>
      <w:r>
        <w:rPr>
          <w:rFonts w:ascii="Times New Roman;sans-serif" w:hAnsi="Times New Roman;sans-serif"/>
          <w:b w:val="false"/>
          <w:color w:val="000000"/>
          <w:sz w:val="20"/>
        </w:rPr>
        <w:t>) exceeds the amount of such Covered Compensation that would have otherwise been received by such Covered Executive if calculated based on the Financial Restatement (the “</w:t>
      </w:r>
      <w:r>
        <w:rPr>
          <w:rFonts w:ascii="Times New Roman;sans-serif" w:hAnsi="Times New Roman;sans-serif"/>
          <w:b/>
          <w:color w:val="000000"/>
          <w:sz w:val="20"/>
        </w:rPr>
        <w:t>Adjusted Compensation</w:t>
      </w:r>
      <w:r>
        <w:rPr>
          <w:color w:val="000000"/>
        </w:rPr>
        <w:t>”</w:t>
      </w:r>
      <w:r>
        <w:rPr>
          <w:rFonts w:ascii="Times New Roman;sans-serif" w:hAnsi="Times New Roman;sans-serif"/>
          <w:b w:val="false"/>
          <w:color w:val="000000"/>
          <w:sz w:val="20"/>
        </w:rPr>
        <w:t>), the Company shall reasonably promptly recover from such Covered Executive an amount equal to the excess of the Awarded Compensation over the Adjusted Compensation, each calculated on a pre-tax basis (such excess amount, the “</w:t>
      </w:r>
      <w:r>
        <w:rPr>
          <w:rFonts w:ascii="Times New Roman;sans-serif" w:hAnsi="Times New Roman;sans-serif"/>
          <w:b/>
          <w:color w:val="000000"/>
          <w:sz w:val="20"/>
        </w:rPr>
        <w:t>Erroneously Awarded Compensation</w:t>
      </w:r>
      <w:r>
        <w:rPr>
          <w:color w:val="000000"/>
        </w:rPr>
        <w:t>”</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624205"/>
                <wp:effectExtent l="0" t="0" r="0" b="0"/>
                <wp:wrapNone/>
                <wp:docPr id="180" name="Frame179"/>
                <a:graphic xmlns:a="http://schemas.openxmlformats.org/drawingml/2006/main">
                  <a:graphicData uri="http://schemas.microsoft.com/office/word/2010/wordprocessingShape">
                    <wps:wsp>
                      <wps:cNvSpPr txBox="1"/>
                      <wps:spPr>
                        <a:xfrm>
                          <a:off x="0" y="0"/>
                          <a:ext cx="6480175" cy="6242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200"/>
                              <w:jc w:val="left"/>
                              <w:rPr/>
                            </w:pPr>
                            <w:r>
                              <w:rPr/>
                            </w:r>
                          </w:p>
                          <w:p>
                            <w:pPr>
                              <w:pStyle w:val="TextBody"/>
                              <w:bidi w:val="0"/>
                              <w:spacing w:lineRule="auto" w:line="319" w:before="0" w:after="20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200"/>
                        <w:jc w:val="left"/>
                        <w:rPr/>
                      </w:pPr>
                      <w:r>
                        <w:rPr/>
                      </w:r>
                    </w:p>
                    <w:p>
                      <w:pPr>
                        <w:pStyle w:val="TextBody"/>
                        <w:bidi w:val="0"/>
                        <w:spacing w:lineRule="auto" w:line="319" w:before="0" w:after="200"/>
                        <w:jc w:val="left"/>
                        <w:rPr>
                          <w:color w:val="000000"/>
                        </w:rPr>
                      </w:pPr>
                      <w:r>
                        <w:rPr>
                          <w:color w:val="000000"/>
                        </w:rPr>
                        <w:t>    </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For the avoidance of doubt, the Company’s obligation to recover Erroneously Awarded Compensation is not dependent on (i) if or when the restated financial statements are filed or</w:t>
      </w:r>
      <w:r>
        <w:rPr>
          <w:color w:val="000000"/>
        </w:rPr>
        <w:t xml:space="preserve"> </w:t>
      </w:r>
      <w:r>
        <w:rPr>
          <w:rFonts w:ascii="Times New Roman;sans-serif" w:hAnsi="Times New Roman;sans-serif"/>
          <w:b w:val="false"/>
          <w:color w:val="000000"/>
          <w:sz w:val="20"/>
        </w:rPr>
        <w:t>(ii) any fault of any Covered Executive for the accounting errors or other actions leading to a Financial Restatement.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Notwithstanding anything to the contrary in Sections 2(a) through (c) hereof, the Company shall not be required to recover any Erroneously Awarded Compensation if both (x) the conditions set forth in either of the following clauses (i) or (ii) are satisfied and (y) the Committee (or a majority of the independent directors serving on the Board) has determined that recovery of the Erroneously Awarded Compensation would be impracticable:</w:t>
      </w:r>
    </w:p>
    <w:p>
      <w:pPr>
        <w:pStyle w:val="TextBody"/>
        <w:bidi w:val="0"/>
        <w:spacing w:before="0" w:after="0"/>
        <w:jc w:val="both"/>
        <w:rPr/>
      </w:pPr>
      <w:r>
        <w:rPr/>
      </w:r>
    </w:p>
    <w:p>
      <w:pPr>
        <w:pStyle w:val="TextBody"/>
        <w:bidi w:val="0"/>
        <w:spacing w:lineRule="auto" w:line="288" w:before="0" w:after="0"/>
        <w:ind w:left="0" w:right="0" w:firstLine="1080"/>
        <w:jc w:val="both"/>
        <w:rPr/>
      </w:pPr>
      <w:r>
        <w:rPr>
          <w:rFonts w:ascii="Times New Roman;sans-serif" w:hAnsi="Times New Roman;sans-serif"/>
          <w:b w:val="false"/>
          <w:color w:val="000000"/>
          <w:sz w:val="20"/>
        </w:rPr>
        <w:t xml:space="preserve">(i)the direct expense paid to a third party to assist in enforcing the recovery of the Erroneously Awarded Compensation under this Policy would exceed the amount of such Erroneously Awarded Compensation to be recovered;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Nasdaq; </w:t>
      </w:r>
    </w:p>
    <w:p>
      <w:pPr>
        <w:pStyle w:val="TextBody"/>
        <w:bidi w:val="0"/>
        <w:spacing w:before="0" w:after="0"/>
        <w:jc w:val="both"/>
        <w:rPr/>
      </w:pPr>
      <w:r>
        <w:rPr/>
      </w:r>
    </w:p>
    <w:p>
      <w:pPr>
        <w:pStyle w:val="TextBody"/>
        <w:bidi w:val="0"/>
        <w:spacing w:lineRule="auto" w:line="288" w:before="0" w:after="0"/>
        <w:ind w:left="0" w:right="0" w:firstLine="1080"/>
        <w:jc w:val="both"/>
        <w:rPr/>
      </w:pPr>
      <w:r>
        <w:rPr>
          <w:rFonts w:ascii="Times New Roman;sans-serif" w:hAnsi="Times New Roman;sans-serif"/>
          <w:b w:val="false"/>
          <w:color w:val="000000"/>
          <w:sz w:val="20"/>
        </w:rPr>
        <w:t>(ii)recovery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sans-serif" w:hAnsi="Times New Roman;sans-serif"/>
          <w:b/>
          <w:color w:val="000000"/>
          <w:sz w:val="20"/>
        </w:rPr>
        <w:t>Code</w:t>
      </w:r>
      <w:r>
        <w:rPr>
          <w:color w:val="000000"/>
        </w:rPr>
        <w:t>”</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4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 </w:t>
      </w:r>
    </w:p>
    <w:p>
      <w:pPr>
        <w:pStyle w:val="TextBody"/>
        <w:bidi w:val="0"/>
        <w:spacing w:before="0" w:after="0"/>
        <w:jc w:val="both"/>
        <w:rPr/>
      </w:pPr>
      <w:r>
        <w:rPr/>
      </w:r>
    </w:p>
    <w:p>
      <w:pPr>
        <w:pStyle w:val="TextBody"/>
        <w:bidi w:val="0"/>
        <w:spacing w:lineRule="auto" w:line="288" w:before="0" w:after="0"/>
        <w:ind w:left="0" w:right="0" w:firstLine="468"/>
        <w:jc w:val="both"/>
        <w:rPr/>
      </w:pPr>
      <w:r>
        <w:rPr>
          <w:rFonts w:ascii="Times New Roman;sans-serif" w:hAnsi="Times New Roman;sans-serif"/>
          <w:b w:val="false"/>
          <w:color w:val="000000"/>
          <w:sz w:val="20"/>
        </w:rPr>
        <w:t xml:space="preserve">(f)The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Reporting and Disclosure</w:t>
      </w:r>
      <w:r>
        <w:rPr>
          <w:rFonts w:ascii="Times New Roman;sans-serif" w:hAnsi="Times New Roman;sans-serif"/>
          <w:b w:val="false"/>
          <w:color w:val="000000"/>
          <w:sz w:val="20"/>
        </w:rPr>
        <w:t xml:space="preserve">. The Company shall file all disclosures with respect to this Policy in accordance with the requirements of the U.S. federal securities laws, including any disclosure required by applicable rules of the U.S. Securities and Exchange Commission. </w:t>
      </w:r>
    </w:p>
    <w:p>
      <w:pPr>
        <w:pStyle w:val="TextBody"/>
        <w:bidi w:val="0"/>
        <w:spacing w:before="0" w:after="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624205"/>
                <wp:effectExtent l="0" t="0" r="0" b="0"/>
                <wp:wrapNone/>
                <wp:docPr id="181" name="Frame180"/>
                <a:graphic xmlns:a="http://schemas.openxmlformats.org/drawingml/2006/main">
                  <a:graphicData uri="http://schemas.microsoft.com/office/word/2010/wordprocessingShape">
                    <wps:wsp>
                      <wps:cNvSpPr txBox="1"/>
                      <wps:spPr>
                        <a:xfrm>
                          <a:off x="0" y="0"/>
                          <a:ext cx="6480175" cy="6242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200"/>
                              <w:jc w:val="left"/>
                              <w:rPr/>
                            </w:pPr>
                            <w:r>
                              <w:rPr/>
                            </w:r>
                          </w:p>
                          <w:p>
                            <w:pPr>
                              <w:pStyle w:val="TextBody"/>
                              <w:bidi w:val="0"/>
                              <w:spacing w:lineRule="auto" w:line="319" w:before="0" w:after="20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200"/>
                        <w:jc w:val="left"/>
                        <w:rPr/>
                      </w:pPr>
                      <w:r>
                        <w:rPr/>
                      </w:r>
                    </w:p>
                    <w:p>
                      <w:pPr>
                        <w:pStyle w:val="TextBody"/>
                        <w:bidi w:val="0"/>
                        <w:spacing w:lineRule="auto" w:line="319" w:before="0" w:after="200"/>
                        <w:jc w:val="left"/>
                        <w:rPr>
                          <w:color w:val="000000"/>
                        </w:rPr>
                      </w:pPr>
                      <w:r>
                        <w:rPr>
                          <w:color w:val="000000"/>
                        </w:rPr>
                        <w:t>    </w:t>
                      </w:r>
                    </w:p>
                  </w:txbxContent>
                </v:textbox>
                <w10:wrap type="none"/>
              </v:rect>
            </w:pict>
          </mc:Fallback>
        </mc:AlternateContent>
      </w:r>
    </w:p>
    <w:p>
      <w:pPr>
        <w:pStyle w:val="TextBody"/>
        <w:bidi w:val="0"/>
        <w:spacing w:before="100" w:after="10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Administration</w:t>
      </w:r>
      <w:r>
        <w:rPr>
          <w:rFonts w:ascii="Times New Roman;sans-serif" w:hAnsi="Times New Roman;sans-serif"/>
          <w:b w:val="false"/>
          <w:color w:val="000000"/>
          <w:sz w:val="20"/>
        </w:rPr>
        <w:t>. This Policy shall be administered by the Committee. All decisions of the Committee shall be final, conclusive and binding upon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5608 of the Nasdaq Listing Rules, the Board may, in its sole discretion, at any time and from time to time, administer this Policy in the same manner as the Committee.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Amendment/Termination</w:t>
      </w:r>
      <w:r>
        <w:rPr>
          <w:rFonts w:ascii="Times New Roman;sans-serif" w:hAnsi="Times New Roman;sans-serif"/>
          <w:b w:val="false"/>
          <w:color w:val="000000"/>
          <w:sz w:val="20"/>
        </w:rPr>
        <w:t>. Subject to Section 10D of the Exchange Act and Section 5608 of the Nasdaq Listing Rules,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or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Interpretation</w:t>
      </w:r>
      <w:r>
        <w:rPr>
          <w:rFonts w:ascii="Times New Roman;sans-serif" w:hAnsi="Times New Roman;sans-serif"/>
          <w:b w:val="false"/>
          <w:color w:val="000000"/>
          <w:sz w:val="20"/>
        </w:rPr>
        <w:t>. Notwithstanding anything to the contrary herein, this Policy is intended to comply with the requirements of Section 10D of the Exchange Act and Section 5608 of the Nasdaq Listing Rules</w:t>
      </w:r>
      <w:r>
        <w:rPr>
          <w:color w:val="000000"/>
        </w:rPr>
        <w:t xml:space="preserve"> </w:t>
      </w:r>
      <w:r>
        <w:rPr>
          <w:rFonts w:ascii="Times New Roman;sans-serif" w:hAnsi="Times New Roman;sans-serif"/>
          <w:b w:val="false"/>
          <w:color w:val="000000"/>
          <w:sz w:val="20"/>
        </w:rPr>
        <w:t>(and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Other Compensation Clawback/Recoupment Rights</w:t>
      </w:r>
      <w:r>
        <w:rPr>
          <w:rFonts w:ascii="Times New Roman;sans-serif" w:hAnsi="Times New Roman;sans-serif"/>
          <w:b w:val="false"/>
          <w:color w:val="000000"/>
          <w:sz w:val="20"/>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or stock market or exchange rules, listing standards or regulations;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any amounts recouped or clawed back under any other policy that would be recoupable under this Policy shall count toward any required clawback or recoupment under this Policy and vice versa.</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Exempt Compensation</w:t>
      </w:r>
      <w:r>
        <w:rPr>
          <w:rFonts w:ascii="Times New Roman;sans-serif" w:hAnsi="Times New Roman;sans-serif"/>
          <w:b w:val="false"/>
          <w:color w:val="000000"/>
          <w:sz w:val="20"/>
        </w:rPr>
        <w:t xml:space="preserve">. 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w:t>
      </w:r>
      <w:r>
        <w:rPr>
          <w:color w:val="000000"/>
        </w:rPr>
        <w:t xml:space="preserve"> </w:t>
      </w:r>
      <w:r>
        <w:rPr>
          <w:rFonts w:ascii="Times New Roman;sans-serif" w:hAnsi="Times New Roman;sans-serif"/>
          <w:b w:val="false"/>
          <w:color w:val="000000"/>
          <w:sz w:val="20"/>
        </w:rPr>
        <w:t>such amounts are in no way contingent on, and were not in any way granted on the basis of, the achievement of any Financial Reporting Measure performance goal.</w:t>
      </w:r>
    </w:p>
    <w:p>
      <w:pPr>
        <w:pStyle w:val="TextBody"/>
        <w:bidi w:val="0"/>
        <w:spacing w:before="0" w:after="0"/>
        <w:jc w:val="both"/>
        <w:rPr/>
      </w:pPr>
      <w:r>
        <w:rPr/>
      </w:r>
    </w:p>
    <w:p>
      <w:pPr>
        <w:pStyle w:val="TextBody"/>
        <w:bidi w:val="0"/>
        <w:spacing w:lineRule="auto" w:line="288" w:before="100" w:after="100"/>
        <w:ind w:left="0" w:right="0" w:firstLine="450"/>
        <w:jc w:val="left"/>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Miscellaneous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ind w:left="0" w:right="0" w:firstLine="81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Lucid Group, Inc. Second Amended and Restated 2021 Stock Incentive Plan and any successor plan thereto.</w:t>
      </w:r>
    </w:p>
    <w:p>
      <w:pPr>
        <w:pStyle w:val="TextBody"/>
        <w:bidi w:val="0"/>
        <w:spacing w:before="0" w:after="20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624205"/>
                <wp:effectExtent l="0" t="0" r="0" b="0"/>
                <wp:wrapNone/>
                <wp:docPr id="182" name="Frame181"/>
                <a:graphic xmlns:a="http://schemas.openxmlformats.org/drawingml/2006/main">
                  <a:graphicData uri="http://schemas.microsoft.com/office/word/2010/wordprocessingShape">
                    <wps:wsp>
                      <wps:cNvSpPr txBox="1"/>
                      <wps:spPr>
                        <a:xfrm>
                          <a:off x="0" y="0"/>
                          <a:ext cx="6480175" cy="6242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200"/>
                              <w:jc w:val="left"/>
                              <w:rPr/>
                            </w:pPr>
                            <w:r>
                              <w:rPr/>
                            </w:r>
                          </w:p>
                          <w:p>
                            <w:pPr>
                              <w:pStyle w:val="TextBody"/>
                              <w:bidi w:val="0"/>
                              <w:spacing w:lineRule="auto" w:line="319" w:before="0" w:after="20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200"/>
                        <w:jc w:val="left"/>
                        <w:rPr/>
                      </w:pPr>
                      <w:r>
                        <w:rPr/>
                      </w:r>
                    </w:p>
                    <w:p>
                      <w:pPr>
                        <w:pStyle w:val="TextBody"/>
                        <w:bidi w:val="0"/>
                        <w:spacing w:lineRule="auto" w:line="319" w:before="0" w:after="200"/>
                        <w:jc w:val="left"/>
                        <w:rPr>
                          <w:color w:val="000000"/>
                        </w:rPr>
                      </w:pPr>
                      <w:r>
                        <w:rPr>
                          <w:color w:val="000000"/>
                        </w:rPr>
                        <w:t>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81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This Policy shall be binding and enforceable against all Covered Executives and their beneficiaries, heirs, executors, administrators or other legal representatives.</w:t>
      </w:r>
    </w:p>
    <w:p>
      <w:pPr>
        <w:pStyle w:val="TextBody"/>
        <w:bidi w:val="0"/>
        <w:spacing w:before="0" w:after="0"/>
        <w:jc w:val="both"/>
        <w:rPr/>
      </w:pPr>
      <w:r>
        <w:rPr/>
      </w:r>
    </w:p>
    <w:p>
      <w:pPr>
        <w:pStyle w:val="TextBody"/>
        <w:bidi w:val="0"/>
        <w:spacing w:lineRule="auto" w:line="288" w:before="0" w:after="0"/>
        <w:ind w:left="0" w:right="0" w:firstLine="81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pStyle w:val="TextBody"/>
        <w:bidi w:val="0"/>
        <w:spacing w:lineRule="auto" w:line="288" w:before="100" w:after="240"/>
        <w:ind w:left="0" w:right="0" w:firstLine="806"/>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Covered Executives,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subject exclusively to any arbitration agreement or policy that the applicable Covered Executive may be subject to with respect to the Company from time to time. If no such agreement or policy is in place, then the courts of Alameda County, California and the federal courts of the United States for the Northern District of California shall be the sole and exclusive forums for any and all disputes, claims, or causes of action arising from or relating to the enforcement, performance or interpretation of this Policy. To the fullest extent permitted by law, the Covered Executives, their beneficiaries, executors, administrators, and any other legal representative, and the Company, shall waive (and shall hereby be deemed to have waived) the right to resolve any such dispute through a trial by jury.</w:t>
      </w:r>
    </w:p>
    <w:p>
      <w:pPr>
        <w:pStyle w:val="TextBody"/>
        <w:bidi w:val="0"/>
        <w:spacing w:lineRule="auto" w:line="288" w:before="100" w:after="100"/>
        <w:ind w:left="0" w:right="0" w:firstLine="81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r>
        <w:rPr>
          <w:color w:val="C0504D"/>
        </w:rPr>
        <w:t xml:space="preserve"> </w:t>
      </w:r>
    </w:p>
    <w:p>
      <w:pPr>
        <w:pStyle w:val="TextBody"/>
        <w:bidi w:val="0"/>
        <w:spacing w:before="100" w:after="100"/>
        <w:jc w:val="both"/>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24205"/>
                <wp:effectExtent l="0" t="0" r="0" b="0"/>
                <wp:wrapNone/>
                <wp:docPr id="183" name="Frame182"/>
                <a:graphic xmlns:a="http://schemas.openxmlformats.org/drawingml/2006/main">
                  <a:graphicData uri="http://schemas.microsoft.com/office/word/2010/wordprocessingShape">
                    <wps:wsp>
                      <wps:cNvSpPr txBox="1"/>
                      <wps:spPr>
                        <a:xfrm>
                          <a:off x="0" y="0"/>
                          <a:ext cx="6480175" cy="6242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200"/>
                              <w:jc w:val="left"/>
                              <w:rPr/>
                            </w:pPr>
                            <w:r>
                              <w:rPr/>
                            </w:r>
                          </w:p>
                          <w:p>
                            <w:pPr>
                              <w:pStyle w:val="TextBody"/>
                              <w:bidi w:val="0"/>
                              <w:spacing w:lineRule="auto" w:line="319" w:before="0" w:after="20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200"/>
                        <w:jc w:val="left"/>
                        <w:rPr/>
                      </w:pPr>
                      <w:r>
                        <w:rPr/>
                      </w:r>
                    </w:p>
                    <w:p>
                      <w:pPr>
                        <w:pStyle w:val="TextBody"/>
                        <w:bidi w:val="0"/>
                        <w:spacing w:lineRule="auto" w:line="319" w:before="0" w:after="20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1210/000110465921026357/tm217491d2_ex2-1.htm" TargetMode="External"/><Relationship Id="rId4" Type="http://schemas.openxmlformats.org/officeDocument/2006/relationships/hyperlink" Target="https://www.sec.gov/Archives/edgar/data/1811210/000110465923049685/tm2313633d1_ex3-1.htm" TargetMode="External"/><Relationship Id="rId5" Type="http://schemas.openxmlformats.org/officeDocument/2006/relationships/hyperlink" Target="https://www.sec.gov/Archives/edgar/data/1811210/000110465923028423/tm238322d1_ex3-2.htm" TargetMode="External"/><Relationship Id="rId6" Type="http://schemas.openxmlformats.org/officeDocument/2006/relationships/hyperlink" Target="https://www.sec.gov/Archives/edgar/data/1811210/000110465923028423/tm238322d1_ex3-2.htm" TargetMode="External"/><Relationship Id="rId7" Type="http://schemas.openxmlformats.org/officeDocument/2006/relationships/hyperlink" Target="https://www.sec.gov/Archives/edgar/data/1811210/000110465923028423/tm238322d1_ex3-2.htm" TargetMode="External"/><Relationship Id="rId8" Type="http://schemas.openxmlformats.org/officeDocument/2006/relationships/hyperlink" Target="https://www.sec.gov/Archives/edgar/data/0001811210/000110465921095842/tm2120294d5_ex4-1.htm" TargetMode="External"/><Relationship Id="rId9" Type="http://schemas.openxmlformats.org/officeDocument/2006/relationships/hyperlink" Target="https://www.sec.gov/Archives/edgar/data/1811210/000110465920090379/tm2026266d1_ex4-1.htm" TargetMode="External"/><Relationship Id="rId10" Type="http://schemas.openxmlformats.org/officeDocument/2006/relationships/hyperlink" Target="https://www.sec.gov/Archives/edgar/data/1811210/000110465920090379/tm2026266d1_ex4-1.htm" TargetMode="External"/><Relationship Id="rId11" Type="http://schemas.openxmlformats.org/officeDocument/2006/relationships/hyperlink" Target="https://www.sec.gov/Archives/edgar/data/1811210/000110465920090379/tm2026266d1_ex4-1.htm" TargetMode="External"/><Relationship Id="rId12" Type="http://schemas.openxmlformats.org/officeDocument/2006/relationships/hyperlink" Target="https://www.sec.gov/Archives/edgar/data/0001811210/000110465921149586/tm2134520d8_ex4-1.htm" TargetMode="External"/><Relationship Id="rId13" Type="http://schemas.openxmlformats.org/officeDocument/2006/relationships/hyperlink" Target="https://www.sec.gov/Archives/edgar/data/0001811210/000110465921149586/tm2134520d8_ex4-1.htm" TargetMode="External"/><Relationship Id="rId14" Type="http://schemas.openxmlformats.org/officeDocument/2006/relationships/hyperlink" Target="https://www.sec.gov/Archives/edgar/data/0001811210/000110465921149586/tm2134520d8_ex4-1.htm" TargetMode="External"/><Relationship Id="rId15" Type="http://schemas.openxmlformats.org/officeDocument/2006/relationships/hyperlink" Target="https://www.sec.gov/Archives/edgar/data/1811210/000162828022004253/exhibit46descriptionofsecu.htm" TargetMode="External"/><Relationship Id="rId16" Type="http://schemas.openxmlformats.org/officeDocument/2006/relationships/hyperlink" Target="https://www.sec.gov/Archives/edgar/data/0001811210/000110465921067006/tm219359d5_ex10-22.htm" TargetMode="External"/><Relationship Id="rId17" Type="http://schemas.openxmlformats.org/officeDocument/2006/relationships/hyperlink" Target="https://www.sec.gov/Archives/edgar/data/0001811210/000110465921095842/tm2120294d5_ex10-25.htm" TargetMode="External"/><Relationship Id="rId18" Type="http://schemas.openxmlformats.org/officeDocument/2006/relationships/hyperlink" Target="https://www.sec.gov/Archives/edgar/data/0001811210/000110465921095842/tm2120294d5_ex10-26.htm" TargetMode="External"/><Relationship Id="rId19" Type="http://schemas.openxmlformats.org/officeDocument/2006/relationships/hyperlink" Target="https://www.sec.gov/Archives/edgar/data/0001811210/000110465921095842/tm2120294d5_ex10-27.htm" TargetMode="External"/><Relationship Id="rId20" Type="http://schemas.openxmlformats.org/officeDocument/2006/relationships/hyperlink" Target="https://www.sec.gov/Archives/edgar/data/1811210/000110465923049685/tm2313633d1_ex10-1.htm" TargetMode="External"/><Relationship Id="rId21" Type="http://schemas.openxmlformats.org/officeDocument/2006/relationships/hyperlink" Target="https://www.sec.gov/Archives/edgar/data/1811210/000162828023037354/q3fy2310q-ex102.htm" TargetMode="External"/><Relationship Id="rId22" Type="http://schemas.openxmlformats.org/officeDocument/2006/relationships/hyperlink" Target="https://www.sec.gov/Archives/edgar/data/1811210/000162828023037354/q3fy2310q-ex103.htm" TargetMode="External"/><Relationship Id="rId23" Type="http://schemas.openxmlformats.org/officeDocument/2006/relationships/hyperlink" Target="https://www.sec.gov/Archives/edgar/data/1811210/000162828023037354/q3fy2310q-ex104.htm" TargetMode="External"/><Relationship Id="rId24" Type="http://schemas.openxmlformats.org/officeDocument/2006/relationships/hyperlink" Target="https://www.sec.gov/Archives/edgar/data/1811210/000110465921026357/tm217491d2_ex10-1.htm" TargetMode="External"/><Relationship Id="rId25" Type="http://schemas.openxmlformats.org/officeDocument/2006/relationships/hyperlink" Target="https://www.sec.gov/Archives/edgar/data/1811210/000110465922115976/tm2229867d2_ex10-2.htm" TargetMode="External"/><Relationship Id="rId26" Type="http://schemas.openxmlformats.org/officeDocument/2006/relationships/hyperlink" Target="https://www.sec.gov/Archives/edgar/data/1811210/000110465923068017/tm2317789d1_ex10-2.htm" TargetMode="External"/><Relationship Id="rId27" Type="http://schemas.openxmlformats.org/officeDocument/2006/relationships/hyperlink" Target="https://www.sec.gov/Archives/edgar/data/1811210/000110465921026357/tm217491d2_ex10-2.htm" TargetMode="External"/><Relationship Id="rId28" Type="http://schemas.openxmlformats.org/officeDocument/2006/relationships/hyperlink" Target="https://www.sec.gov/Archives/edgar/data/1811210/000110465921026357/tm217491d2_ex10-3.htm" TargetMode="External"/><Relationship Id="rId29" Type="http://schemas.openxmlformats.org/officeDocument/2006/relationships/hyperlink" Target="https://www.sec.gov/Archives/edgar/data/1811210/000110465921026357/tm217491d2_ex10-4.htm" TargetMode="External"/><Relationship Id="rId30" Type="http://schemas.openxmlformats.org/officeDocument/2006/relationships/hyperlink" Target="https://www.sec.gov/Archives/edgar/data/1811210/000110465921039318/tm219359d2_ex10-6.htm" TargetMode="External"/><Relationship Id="rId31" Type="http://schemas.openxmlformats.org/officeDocument/2006/relationships/hyperlink" Target="https://www.sec.gov/Archives/edgar/data/1811210/000110465921039318/tm219359d2_ex10-7.htm" TargetMode="External"/><Relationship Id="rId32" Type="http://schemas.openxmlformats.org/officeDocument/2006/relationships/hyperlink" Target="https://www.sec.gov/Archives/edgar/data/1811210/000110465921039318/tm219359d2_ex10-8.htm" TargetMode="External"/><Relationship Id="rId33" Type="http://schemas.openxmlformats.org/officeDocument/2006/relationships/hyperlink" Target="https://www.sec.gov/Archives/edgar/data/1811210/000110465921039318/tm219359d2_ex10-9.htm" TargetMode="External"/><Relationship Id="rId34" Type="http://schemas.openxmlformats.org/officeDocument/2006/relationships/hyperlink" Target="https://www.sec.gov/Archives/edgar/data/1811210/000110465921039318/tm219359d2_ex10-10.htm" TargetMode="External"/><Relationship Id="rId35" Type="http://schemas.openxmlformats.org/officeDocument/2006/relationships/hyperlink" Target="https://www.sec.gov/Archives/edgar/data/1811210/000110465921039318/tm219359d2_ex10-11.htm" TargetMode="External"/><Relationship Id="rId36" Type="http://schemas.openxmlformats.org/officeDocument/2006/relationships/hyperlink" Target="https://www.sec.gov/Archives/edgar/data/1811210/000110465921039318/tm219359d2_ex10-12.htm" TargetMode="External"/><Relationship Id="rId37" Type="http://schemas.openxmlformats.org/officeDocument/2006/relationships/hyperlink" Target="https://www.sec.gov/Archives/edgar/data/1811210/000110465921039318/tm219359d2_ex10-13.htm" TargetMode="External"/><Relationship Id="rId38" Type="http://schemas.openxmlformats.org/officeDocument/2006/relationships/hyperlink" Target="https://www.sec.gov/Archives/edgar/data/1811210/000110465921039318/tm219359d2_ex10-14.htm" TargetMode="External"/><Relationship Id="rId39" Type="http://schemas.openxmlformats.org/officeDocument/2006/relationships/hyperlink" Target="https://www.sec.gov/Archives/edgar/data/1811210/000110465921039318/tm219359d2_ex10-15.htm" TargetMode="External"/><Relationship Id="rId40" Type="http://schemas.openxmlformats.org/officeDocument/2006/relationships/hyperlink" Target="https://www.sec.gov/Archives/edgar/data/1811210/000110465921039318/tm219359d2_ex10-16.htm" TargetMode="External"/><Relationship Id="rId41" Type="http://schemas.openxmlformats.org/officeDocument/2006/relationships/hyperlink" Target="https://www.sec.gov/Archives/edgar/data/1811210/000110465921039318/tm219359d2_ex10-19.htm" TargetMode="External"/><Relationship Id="rId42" Type="http://schemas.openxmlformats.org/officeDocument/2006/relationships/hyperlink" Target="https://www.sec.gov/Archives/edgar/data/1811210/000110465921067006/tm219359d5_ex10-23.htm" TargetMode="External"/><Relationship Id="rId43" Type="http://schemas.openxmlformats.org/officeDocument/2006/relationships/hyperlink" Target="https://www.sec.gov/Archives/edgar/data/1811210/000110465921067006/tm219359d5_ex10-24.htm" TargetMode="External"/><Relationship Id="rId44" Type="http://schemas.openxmlformats.org/officeDocument/2006/relationships/hyperlink" Target="https://www.sec.gov/Archives/edgar/data/1811210/000110465921067006/tm219359d5_ex10-25.htm" TargetMode="External"/><Relationship Id="rId45" Type="http://schemas.openxmlformats.org/officeDocument/2006/relationships/hyperlink" Target="https://www.sec.gov/Archives/edgar/data/1811210/000162828022004253/fy21-ex1027dhingra_gaganxo.htm" TargetMode="External"/><Relationship Id="rId46" Type="http://schemas.openxmlformats.org/officeDocument/2006/relationships/hyperlink" Target="https://www.sec.gov/Archives/edgar/data/1811210/000162828022012681/q12210q-ex101.htm" TargetMode="External"/><Relationship Id="rId47" Type="http://schemas.openxmlformats.org/officeDocument/2006/relationships/hyperlink" Target="https://www.sec.gov/Archives/edgar/data/1811210/000162828022012681/q12210q-ex102.htm" TargetMode="External"/><Relationship Id="rId48" Type="http://schemas.openxmlformats.org/officeDocument/2006/relationships/hyperlink" Target="https://www.sec.gov/Archives/edgar/data/1811210/000162828022012681/q12210q-ex103.htm" TargetMode="External"/><Relationship Id="rId49" Type="http://schemas.openxmlformats.org/officeDocument/2006/relationships/hyperlink" Target="https://www.sec.gov/Archives/edgar/data/1811210/000110465922071262/tm2218210d4_ex10-1.htm" TargetMode="External"/><Relationship Id="rId50" Type="http://schemas.openxmlformats.org/officeDocument/2006/relationships/hyperlink" Target="https://www.sec.gov/Archives/edgar/data/1811210/000162828022020609/q22210q-ex102.htm" TargetMode="External"/><Relationship Id="rId51" Type="http://schemas.openxmlformats.org/officeDocument/2006/relationships/hyperlink" Target="https://www.sec.gov/Archives/edgar/data/1811210/000162828022028925/q32210q-ex101.htm" TargetMode="External"/><Relationship Id="rId52" Type="http://schemas.openxmlformats.org/officeDocument/2006/relationships/hyperlink" Target="https://www.sec.gov/Archives/edgar/data/1811210/000110465922115976/tm2229867d2_ex10-1.htm" TargetMode="External"/><Relationship Id="rId53" Type="http://schemas.openxmlformats.org/officeDocument/2006/relationships/hyperlink" Target="https://www.sec.gov/Archives/edgar/data/1811210/000110465923068017/tm2317789d1_ex10-1.htm" TargetMode="External"/><Relationship Id="rId54" Type="http://schemas.openxmlformats.org/officeDocument/2006/relationships/hyperlink" Target="https://www.sec.gov/Archives/edgar/data/1811210/000162828023016405/q1fy2310q-ex101.htm" TargetMode="External"/><Relationship Id="rId55" Type="http://schemas.openxmlformats.org/officeDocument/2006/relationships/hyperlink" Target="https://www.sec.gov/Archives/edgar/data/1811210/000162828023027785/q2fy2310q-ex104.htm" TargetMode="External"/><Relationship Id="rId56" Type="http://schemas.openxmlformats.org/officeDocument/2006/relationships/hyperlink" Target="https://www.sec.gov/Archives/edgar/data/1811210/000162828023037354/q3fy2310q-ex101.htm" TargetMode="External"/><Relationship Id="rId57" Type="http://schemas.openxmlformats.org/officeDocument/2006/relationships/hyperlink" Target="https://www.sec.gov/Archives/edgar/data/1811210/000162828023005540/fy2210k-ex1034.htm" TargetMode="External"/><Relationship Id="rId58" Type="http://schemas.openxmlformats.org/officeDocument/2006/relationships/hyperlink" Target="https://www.sec.gov/Archives/edgar/data/1811210/000162828023005540/fy2210k-ex1035.htm" TargetMode="External"/><Relationship Id="rId59" Type="http://schemas.openxmlformats.org/officeDocument/2006/relationships/hyperlink" Target="https://www.sec.gov/Archives/edgar/data/1811210/000162828023005540/fy2210k-ex1036.htm" TargetMode="External"/><Relationship Id="rId60" Type="http://schemas.openxmlformats.org/officeDocument/2006/relationships/hyperlink" Target="https://www.sec.gov/Archives/edgar/data/1811210/000162828023005540/fy2210k-ex1037.htm" TargetMode="External"/><Relationship Id="rId61" Type="http://schemas.openxmlformats.org/officeDocument/2006/relationships/hyperlink" Target="https://www.sec.gov/Archives/edgar/data/1811210/000162828023005540/fy2210k-ex1038.htm" TargetMode="External"/><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115035</Words>
  <Characters>647060</Characters>
  <CharactersWithSpaces>758988</CharactersWithSpaces>
  <Paragraphs>5077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