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right="1680" w:hanging="367"/>
        <w:spacing w:after="0" w:line="301" w:lineRule="auto"/>
        <w:tabs>
          <w:tab w:leader="none" w:pos="4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Times New Roman" w:cs="Times New Roman" w:eastAsia="Times New Roman" w:hAnsi="Times New Roman"/>
                <w:sz w:val="32"/>
                <w:szCs w:val="32"/>
                <w:b w:val="1"/>
                <w:bCs w:val="1"/>
                <w:color w:val="auto"/>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3340" w:type="dxa"/>
            <w:vAlign w:val="bottom"/>
          </w:tcPr>
          <w:p>
            <w:pPr>
              <w:jc w:val="center"/>
              <w:ind w:left="1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2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0" w:type="dxa"/>
            <w:vAlign w:val="bottom"/>
          </w:tcPr>
          <w:p>
            <w:pPr>
              <w:spacing w:after="0"/>
              <w:rPr>
                <w:sz w:val="1"/>
                <w:szCs w:val="1"/>
                <w:color w:val="auto"/>
              </w:rPr>
            </w:pPr>
          </w:p>
        </w:tc>
      </w:tr>
      <w:tr>
        <w:trPr>
          <w:trHeight w:val="44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(Zip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Times New Roman" w:cs="Times New Roman" w:eastAsia="Times New Roman" w:hAnsi="Times New Roman"/>
                <w:sz w:val="18"/>
                <w:szCs w:val="18"/>
                <w:b w:val="1"/>
                <w:bCs w:val="1"/>
                <w:color w:val="auto"/>
                <w:w w:val="99"/>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4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7"/>
        </w:trPr>
        <w:tc>
          <w:tcPr>
            <w:tcW w:w="428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LCID</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54" w:lineRule="exact"/>
        <w:rPr>
          <w:sz w:val="24"/>
          <w:szCs w:val="24"/>
          <w:color w:val="auto"/>
        </w:rPr>
      </w:pPr>
    </w:p>
    <w:p>
      <w:pPr>
        <w:ind w:right="20"/>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Yes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No</w:t>
      </w:r>
    </w:p>
    <w:p>
      <w:pPr>
        <w:spacing w:after="0" w:line="24" w:lineRule="exact"/>
        <w:rPr>
          <w:sz w:val="24"/>
          <w:szCs w:val="24"/>
          <w:color w:val="auto"/>
        </w:rPr>
      </w:pPr>
    </w:p>
    <w:p>
      <w:pPr>
        <w:spacing w:after="0" w:line="30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Yes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No</w:t>
      </w:r>
    </w:p>
    <w:p>
      <w:pPr>
        <w:spacing w:after="0" w:line="37"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1180" w:type="dxa"/>
        <w:tblCellMar>
          <w:top w:w="0" w:type="dxa"/>
          <w:left w:w="0" w:type="dxa"/>
          <w:bottom w:w="0" w:type="dxa"/>
          <w:right w:w="0" w:type="dxa"/>
        </w:tblCellMar>
      </w:tblPr>
      <w:tr>
        <w:trPr>
          <w:trHeight w:val="188"/>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x</w:t>
            </w:r>
          </w:p>
        </w:tc>
        <w:tc>
          <w:tcPr>
            <w:tcW w:w="34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83"/>
        </w:trPr>
        <w:tc>
          <w:tcPr>
            <w:tcW w:w="2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1700" w:type="dxa"/>
            <w:vAlign w:val="bottom"/>
          </w:tcPr>
          <w:p>
            <w:pPr>
              <w:jc w:val="right"/>
              <w:ind w:right="688"/>
              <w:spacing w:after="0"/>
              <w:rPr>
                <w:sz w:val="20"/>
                <w:szCs w:val="20"/>
                <w:color w:val="auto"/>
              </w:rPr>
            </w:pPr>
            <w:r>
              <w:rPr>
                <w:rFonts w:ascii="Arial" w:cs="Arial" w:eastAsia="Arial" w:hAnsi="Arial"/>
                <w:sz w:val="14"/>
                <w:szCs w:val="14"/>
                <w:color w:val="auto"/>
              </w:rPr>
              <w:t>o</w:t>
            </w:r>
          </w:p>
        </w:tc>
        <w:tc>
          <w:tcPr>
            <w:tcW w:w="34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bl>
    <w:p>
      <w:pPr>
        <w:spacing w:after="0" w:line="174" w:lineRule="exact"/>
        <w:rPr>
          <w:sz w:val="24"/>
          <w:szCs w:val="24"/>
          <w:color w:val="auto"/>
        </w:rPr>
      </w:pPr>
    </w:p>
    <w:p>
      <w:pPr>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37" w:lineRule="exact"/>
        <w:rPr>
          <w:sz w:val="24"/>
          <w:szCs w:val="24"/>
          <w:color w:val="auto"/>
        </w:rPr>
      </w:pPr>
    </w:p>
    <w:p>
      <w:pPr>
        <w:ind w:right="3840"/>
        <w:spacing w:after="0" w:line="4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Number of shares of the registrant’s common stock outstanding at April 29, 2022: 1,667,840,573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gridSpan w:val="11"/>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92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E32E1"/>
              </w:rPr>
              <w:t>PART I. FINANCIAL INFORMATION</w:t>
            </w: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80" w:type="dxa"/>
            <w:vAlign w:val="bottom"/>
            <w:gridSpan w:val="21"/>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418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6"/>
              </w:rPr>
              <w:t>Frequently Used Terms</w:t>
            </w:r>
          </w:p>
        </w:tc>
        <w:tc>
          <w:tcPr>
            <w:tcW w:w="664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Condensed Consolidated Financial Statements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200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Condensed Consolidated Balance Sheets as of March 31, 2022 and December 31, 2021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208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540" w:type="dxa"/>
            <w:vAlign w:val="bottom"/>
            <w:shd w:val="clear" w:color="auto" w:fill="0E32E1"/>
          </w:tcPr>
          <w:p>
            <w:pPr>
              <w:spacing w:after="0" w:line="20" w:lineRule="exact"/>
              <w:rPr>
                <w:sz w:val="1"/>
                <w:szCs w:val="1"/>
                <w:color w:val="auto"/>
              </w:rPr>
            </w:pPr>
          </w:p>
        </w:tc>
        <w:tc>
          <w:tcPr>
            <w:tcW w:w="7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and Comprehensive Loss for the Three Months Ended March</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120" w:type="dxa"/>
            <w:vAlign w:val="bottom"/>
            <w:tcBorders>
              <w:top w:val="single" w:sz="8" w:color="0E32E1"/>
            </w:tcBorders>
            <w:gridSpan w:val="19"/>
          </w:tcPr>
          <w:p>
            <w:pPr>
              <w:spacing w:after="0" w:line="156" w:lineRule="exact"/>
              <w:rPr>
                <w:sz w:val="20"/>
                <w:szCs w:val="20"/>
                <w:color w:val="auto"/>
              </w:rPr>
            </w:pPr>
            <w:r>
              <w:rPr>
                <w:rFonts w:ascii="Times New Roman" w:cs="Times New Roman" w:eastAsia="Times New Roman" w:hAnsi="Times New Roman"/>
                <w:sz w:val="18"/>
                <w:szCs w:val="18"/>
                <w:color w:val="0E32E1"/>
              </w:rPr>
              <w:t>31, 2022 and 2021 (Unaudited)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Condensed Consolidated Statements of Convertible Preferred Stock and Stockholders’ Equity (Deficit) for the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40" w:type="dxa"/>
            <w:vAlign w:val="bottom"/>
            <w:tcBorders>
              <w:top w:val="single" w:sz="8" w:color="0E32E1"/>
            </w:tcBorders>
            <w:gridSpan w:val="18"/>
          </w:tcPr>
          <w:p>
            <w:pPr>
              <w:spacing w:after="0" w:line="156" w:lineRule="exact"/>
              <w:rPr>
                <w:sz w:val="20"/>
                <w:szCs w:val="20"/>
                <w:color w:val="auto"/>
              </w:rPr>
            </w:pPr>
            <w:r>
              <w:rPr>
                <w:rFonts w:ascii="Times New Roman" w:cs="Times New Roman" w:eastAsia="Times New Roman" w:hAnsi="Times New Roman"/>
                <w:sz w:val="18"/>
                <w:szCs w:val="18"/>
                <w:color w:val="0E32E1"/>
              </w:rPr>
              <w:t>Three Months Ended March 31, 2022 and 2021 (Unaudited)</w:t>
            </w:r>
          </w:p>
        </w:tc>
        <w:tc>
          <w:tcPr>
            <w:tcW w:w="38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2640" w:type="dxa"/>
            <w:vAlign w:val="bottom"/>
            <w:gridSpan w:val="5"/>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Condensed Consolidated Statements of Cash Flows for the Three Months Ended March 31, 2022 and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80" w:type="dxa"/>
            <w:vAlign w:val="bottom"/>
            <w:tcBorders>
              <w:top w:val="single" w:sz="8" w:color="0E32E1"/>
            </w:tcBorders>
            <w:gridSpan w:val="17"/>
          </w:tcPr>
          <w:p>
            <w:pPr>
              <w:spacing w:after="0" w:line="156" w:lineRule="exact"/>
              <w:rPr>
                <w:sz w:val="20"/>
                <w:szCs w:val="20"/>
                <w:color w:val="auto"/>
              </w:rPr>
            </w:pPr>
            <w:r>
              <w:rPr>
                <w:rFonts w:ascii="Times New Roman" w:cs="Times New Roman" w:eastAsia="Times New Roman" w:hAnsi="Times New Roman"/>
                <w:sz w:val="18"/>
                <w:szCs w:val="18"/>
                <w:color w:val="0E32E1"/>
              </w:rPr>
              <w:t>2021 (Unaudited)</w:t>
            </w:r>
          </w:p>
        </w:tc>
        <w:tc>
          <w:tcPr>
            <w:tcW w:w="10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90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Notes to Condensed Consolidated Financial Statements (Unaudited)</w:t>
            </w:r>
          </w:p>
        </w:tc>
        <w:tc>
          <w:tcPr>
            <w:tcW w:w="342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88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rPr>
              <w:t>Control and Procedures</w:t>
            </w:r>
          </w:p>
        </w:tc>
        <w:tc>
          <w:tcPr>
            <w:tcW w:w="398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66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64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PART II. OTHER INFORMATION</w:t>
            </w:r>
          </w:p>
        </w:tc>
        <w:tc>
          <w:tcPr>
            <w:tcW w:w="66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420" w:type="dxa"/>
            <w:vAlign w:val="bottom"/>
            <w:tcBorders>
              <w:top w:val="single" w:sz="8" w:color="0E32E1"/>
            </w:tcBorders>
            <w:gridSpan w:val="3"/>
          </w:tcPr>
          <w:p>
            <w:pPr>
              <w:spacing w:after="0"/>
              <w:rPr>
                <w:sz w:val="18"/>
                <w:szCs w:val="18"/>
                <w:color w:val="auto"/>
              </w:rPr>
            </w:pPr>
          </w:p>
        </w:tc>
        <w:tc>
          <w:tcPr>
            <w:tcW w:w="700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6"/>
              </w:rPr>
              <w:t>Exhibits</w:t>
            </w:r>
          </w:p>
        </w:tc>
        <w:tc>
          <w:tcPr>
            <w:tcW w:w="700" w:type="dxa"/>
            <w:vAlign w:val="bottom"/>
            <w:tcBorders>
              <w:top w:val="single" w:sz="8" w:color="0000FF"/>
            </w:tcBorders>
            <w:gridSpan w:val="3"/>
          </w:tcPr>
          <w:p>
            <w:pPr>
              <w:spacing w:after="0"/>
              <w:rPr>
                <w:sz w:val="18"/>
                <w:szCs w:val="18"/>
                <w:color w:val="auto"/>
              </w:rPr>
            </w:pPr>
          </w:p>
        </w:tc>
        <w:tc>
          <w:tcPr>
            <w:tcW w:w="702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9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760" w:type="dxa"/>
            <w:vAlign w:val="bottom"/>
            <w:gridSpan w:val="1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They appear in a number of places throughout this Quarterly Report on Form 10-Q and include statements regarding our intentions, beliefs or current expectations concerning, among other things,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and our financial and operating guidance, future capital expenditures and other operating expenses,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88" w:lineRule="exact"/>
        <w:rPr>
          <w:sz w:val="20"/>
          <w:szCs w:val="20"/>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including the ongoing conflict between Russia and Ukraine;</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 including our ability to mass produce the Lucid Air and complete the tooling of our manufacturing facility;</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expansion of our manufacturing facility, the construction of new manufacturing facilities and the increase of our production capacity;</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chain and our ability to complete the tooling of our manufacturing facilities over time and scale production of the Lucid Air and other vehicles;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construction of new manufacturing facilities and the increase of our production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future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chief executive officer and executive team;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our brand, and capture additional market share, and the risks associated with negative press or 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pricing, and other expectations;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on our supply chain, projected results of operations, financial performance or other financial metrics, or on any of the foregoing risks;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Quarterly Report on Form 10-Q or our other filings with the Securities and Exchange Commission (the “SEC”).</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ind w:right="80"/>
        <w:spacing w:after="0" w:line="261" w:lineRule="auto"/>
        <w:rPr>
          <w:sz w:val="20"/>
          <w:szCs w:val="20"/>
          <w:color w:val="auto"/>
        </w:rPr>
      </w:pPr>
      <w:r>
        <w:rPr>
          <w:rFonts w:ascii="Times New Roman" w:cs="Times New Roman" w:eastAsia="Times New Roman" w:hAnsi="Times New Roman"/>
          <w:sz w:val="18"/>
          <w:szCs w:val="18"/>
          <w:color w:val="auto"/>
        </w:rPr>
        <w:t>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Item I. Financial Statements and accompanying footnotes, or the context otherwise requires, references in this Quarterly Report on Form 10-Q 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2009 Plan</w:t>
      </w:r>
      <w:r>
        <w:rPr>
          <w:rFonts w:ascii="Times New Roman" w:cs="Times New Roman" w:eastAsia="Times New Roman" w:hAnsi="Times New Roman"/>
          <w:sz w:val="18"/>
          <w:szCs w:val="18"/>
          <w:color w:val="auto"/>
        </w:rPr>
        <w:t>” are to the Atieva, Inc. 2009 Share Plan duly adopted by the board of directors of Legacy Lucid on December 17, 2009;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2014 Plan</w:t>
      </w:r>
      <w:r>
        <w:rPr>
          <w:rFonts w:ascii="Times New Roman" w:cs="Times New Roman" w:eastAsia="Times New Roman" w:hAnsi="Times New Roman"/>
          <w:sz w:val="18"/>
          <w:szCs w:val="18"/>
          <w:color w:val="auto"/>
        </w:rPr>
        <w:t>” are to the Atieva, Inc. 2014 Share Plan duly adopted by the board of directors of Legacy Lucid on May 14, 2014;</w:t>
      </w:r>
    </w:p>
    <w:p>
      <w:pPr>
        <w:spacing w:after="0" w:line="252" w:lineRule="exact"/>
        <w:rPr>
          <w:sz w:val="20"/>
          <w:szCs w:val="20"/>
          <w:color w:val="auto"/>
        </w:rPr>
      </w:pPr>
    </w:p>
    <w:p>
      <w:pPr>
        <w:ind w:right="1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2021 Plan</w:t>
      </w:r>
      <w:r>
        <w:rPr>
          <w:rFonts w:ascii="Times New Roman" w:cs="Times New Roman" w:eastAsia="Times New Roman" w:hAnsi="Times New Roman"/>
          <w:sz w:val="18"/>
          <w:szCs w:val="18"/>
          <w:color w:val="auto"/>
        </w:rPr>
        <w:t>” are to the Atieva, Inc. 2021 Stock Incentive Plan duly adopted by the compensation committee of the board of directors of Legacy Lucid on January 13, 2021 and approved by Legacy Lucid’s shareholders on January 21,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 Notes</w:t>
      </w:r>
      <w:r>
        <w:rPr>
          <w:rFonts w:ascii="Times New Roman" w:cs="Times New Roman" w:eastAsia="Times New Roman" w:hAnsi="Times New Roman"/>
          <w:sz w:val="18"/>
          <w:szCs w:val="18"/>
          <w:color w:val="auto"/>
        </w:rPr>
        <w:t>” are to the 1.25% Convertible Senior Notes due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Ayar</w:t>
      </w:r>
      <w:r>
        <w:rPr>
          <w:rFonts w:ascii="Times New Roman" w:cs="Times New Roman" w:eastAsia="Times New Roman" w:hAnsi="Times New Roman"/>
          <w:sz w:val="18"/>
          <w:szCs w:val="18"/>
          <w:color w:val="auto"/>
        </w:rPr>
        <w:t>” are to Ayar Third Investment Company, an affiliate of PIF;</w:t>
      </w:r>
    </w:p>
    <w:p>
      <w:pPr>
        <w:spacing w:after="0" w:line="252" w:lineRule="exact"/>
        <w:rPr>
          <w:sz w:val="20"/>
          <w:szCs w:val="20"/>
          <w:color w:val="auto"/>
        </w:rPr>
      </w:pPr>
    </w:p>
    <w:p>
      <w:pPr>
        <w:ind w:right="1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are, prior to consummation of the Transactions, to the board of directors of Legacy Lucid, and, following consummation of the Transactions, to the board of directors of Lucid Group Inc., a Delaware corporation;</w:t>
      </w:r>
    </w:p>
    <w:p>
      <w:pPr>
        <w:spacing w:after="0" w:line="185"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Churchill</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“CCIV”</w:t>
      </w:r>
      <w:r>
        <w:rPr>
          <w:rFonts w:ascii="Times New Roman" w:cs="Times New Roman" w:eastAsia="Times New Roman" w:hAnsi="Times New Roman"/>
          <w:sz w:val="17"/>
          <w:szCs w:val="17"/>
          <w:color w:val="auto"/>
        </w:rPr>
        <w:t xml:space="preserve">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Churchill’s Class A common stock</w:t>
      </w:r>
      <w:r>
        <w:rPr>
          <w:rFonts w:ascii="Times New Roman" w:cs="Times New Roman" w:eastAsia="Times New Roman" w:hAnsi="Times New Roman"/>
          <w:sz w:val="18"/>
          <w:szCs w:val="18"/>
          <w:color w:val="auto"/>
        </w:rPr>
        <w:t>” are to Churchill’s Class A common stock, par value $0.0001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Churchill’s Class B common stock</w:t>
      </w:r>
      <w:r>
        <w:rPr>
          <w:rFonts w:ascii="Times New Roman" w:cs="Times New Roman" w:eastAsia="Times New Roman" w:hAnsi="Times New Roman"/>
          <w:sz w:val="18"/>
          <w:szCs w:val="18"/>
          <w:color w:val="auto"/>
        </w:rPr>
        <w:t>” are to Churchill’s Class B common stock, par value $0.0001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Churchill IPO</w:t>
      </w:r>
      <w:r>
        <w:rPr>
          <w:rFonts w:ascii="Times New Roman" w:cs="Times New Roman" w:eastAsia="Times New Roman" w:hAnsi="Times New Roman"/>
          <w:sz w:val="18"/>
          <w:szCs w:val="18"/>
          <w:color w:val="auto"/>
        </w:rPr>
        <w:t>”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are to the consummation of the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are to July 23, 2021, the date on which the Transactions were consummated;</w:t>
      </w:r>
    </w:p>
    <w:p>
      <w:pPr>
        <w:spacing w:after="0" w:line="252" w:lineRule="exact"/>
        <w:rPr>
          <w:sz w:val="20"/>
          <w:szCs w:val="20"/>
          <w:color w:val="auto"/>
        </w:rPr>
      </w:pPr>
    </w:p>
    <w:p>
      <w:pPr>
        <w:ind w:right="14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are, prior to the consummation of the Transactions, to Churchill’s Class A common stock and Churchill’s Class B common stock and, following the consummation of the Transactions, to the common stock of Lucid Group, Inc., par value $0.0001 per share;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are to the date and time when the Merger became effective;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are to the Environmental, Social and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w:t>
      </w:r>
      <w:r>
        <w:rPr>
          <w:rFonts w:ascii="Times New Roman" w:cs="Times New Roman" w:eastAsia="Times New Roman" w:hAnsi="Times New Roman"/>
          <w:sz w:val="18"/>
          <w:szCs w:val="18"/>
          <w:color w:val="auto"/>
        </w:rPr>
        <w:t>” are to electric vehicle;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Ratio</w:t>
      </w:r>
      <w:r>
        <w:rPr>
          <w:rFonts w:ascii="Times New Roman" w:cs="Times New Roman" w:eastAsia="Times New Roman" w:hAnsi="Times New Roman"/>
          <w:sz w:val="18"/>
          <w:szCs w:val="18"/>
          <w:color w:val="auto"/>
        </w:rPr>
        <w:t>” are to the quotient as defined in, and calculated in accordance with, the Merger Agreement, which is 2.644;</w:t>
      </w:r>
    </w:p>
    <w:p>
      <w:pPr>
        <w:spacing w:after="0" w:line="252" w:lineRule="exact"/>
        <w:rPr>
          <w:sz w:val="20"/>
          <w:szCs w:val="20"/>
          <w:color w:val="auto"/>
        </w:rPr>
      </w:pPr>
    </w:p>
    <w:p>
      <w:pPr>
        <w:ind w:right="16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are to the Investor Rights Agreement, dated as of February 22, 2021, by and among the Company, the Sponsor, Ayar and certain other parties thereto;</w:t>
      </w:r>
    </w:p>
    <w:p>
      <w:pPr>
        <w:spacing w:after="0" w:line="18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w:t>
      </w:r>
      <w:r>
        <w:rPr>
          <w:rFonts w:ascii="Times New Roman" w:cs="Times New Roman" w:eastAsia="Times New Roman" w:hAnsi="Times New Roman"/>
          <w:sz w:val="18"/>
          <w:szCs w:val="18"/>
          <w:color w:val="auto"/>
        </w:rPr>
        <w:t>” are to Atieva, Inc., d/b/a Lucid Motors, an exempted company incorporated with limited liability under the laws of the Cayman Islands, and its consolidated subsidiaries before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Common Shares</w:t>
      </w:r>
      <w:r>
        <w:rPr>
          <w:rFonts w:ascii="Times New Roman" w:cs="Times New Roman" w:eastAsia="Times New Roman" w:hAnsi="Times New Roman"/>
          <w:sz w:val="18"/>
          <w:szCs w:val="18"/>
          <w:color w:val="auto"/>
        </w:rPr>
        <w:t>” are to the common shares, par value $0.0001 per share, of Legacy Lucid;</w:t>
      </w:r>
    </w:p>
    <w:p>
      <w:pPr>
        <w:sectPr>
          <w:pgSz w:w="11900" w:h="16838" w:orient="portrait"/>
          <w:cols w:equalWidth="0" w:num="1">
            <w:col w:w="11120"/>
          </w:cols>
          <w:pgMar w:left="320" w:top="985" w:right="4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Awards</w:t>
      </w:r>
      <w:r>
        <w:rPr>
          <w:rFonts w:ascii="Times New Roman" w:cs="Times New Roman" w:eastAsia="Times New Roman" w:hAnsi="Times New Roman"/>
          <w:sz w:val="18"/>
          <w:szCs w:val="18"/>
          <w:color w:val="auto"/>
        </w:rPr>
        <w:t>” are to all issued and outstanding stock options, restricted stock units or other compensatory equity securities</w:t>
      </w:r>
    </w:p>
    <w:p>
      <w:pPr>
        <w:spacing w:after="0" w:line="29" w:lineRule="exact"/>
        <w:rPr>
          <w:sz w:val="20"/>
          <w:szCs w:val="20"/>
          <w:color w:val="auto"/>
        </w:rPr>
      </w:pPr>
    </w:p>
    <w:p>
      <w:pPr>
        <w:ind w:right="1340"/>
        <w:spacing w:after="0" w:line="260" w:lineRule="auto"/>
        <w:rPr>
          <w:sz w:val="20"/>
          <w:szCs w:val="20"/>
          <w:color w:val="auto"/>
        </w:rPr>
      </w:pPr>
      <w:r>
        <w:rPr>
          <w:rFonts w:ascii="Times New Roman" w:cs="Times New Roman" w:eastAsia="Times New Roman" w:hAnsi="Times New Roman"/>
          <w:sz w:val="18"/>
          <w:szCs w:val="18"/>
          <w:color w:val="auto"/>
        </w:rPr>
        <w:t>in respect of shares of Legacy Lucid outstanding as of immediately prior to the closing of the Merger, including, without limitation, any Legacy Lucid Options and Legacy Lucid RSUs;</w:t>
      </w:r>
    </w:p>
    <w:p>
      <w:pPr>
        <w:spacing w:after="0" w:line="206" w:lineRule="exact"/>
        <w:rPr>
          <w:sz w:val="20"/>
          <w:szCs w:val="20"/>
          <w:color w:val="auto"/>
        </w:rPr>
      </w:pPr>
    </w:p>
    <w:p>
      <w:pPr>
        <w:ind w:right="20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Share Plans</w:t>
      </w:r>
      <w:r>
        <w:rPr>
          <w:rFonts w:ascii="Times New Roman" w:cs="Times New Roman" w:eastAsia="Times New Roman" w:hAnsi="Times New Roman"/>
          <w:sz w:val="18"/>
          <w:szCs w:val="18"/>
          <w:color w:val="auto"/>
        </w:rPr>
        <w:t>” are to the 2009 Plan, the 2014 Plan, the 2021 Plan, in each case as amended from time to time in accordance with their terms;</w:t>
      </w:r>
    </w:p>
    <w:p>
      <w:pPr>
        <w:spacing w:after="0" w:line="185" w:lineRule="exact"/>
        <w:rPr>
          <w:sz w:val="20"/>
          <w:szCs w:val="20"/>
          <w:color w:val="auto"/>
        </w:rPr>
      </w:pPr>
    </w:p>
    <w:p>
      <w:pPr>
        <w:ind w:right="17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Options</w:t>
      </w:r>
      <w:r>
        <w:rPr>
          <w:rFonts w:ascii="Times New Roman" w:cs="Times New Roman" w:eastAsia="Times New Roman" w:hAnsi="Times New Roman"/>
          <w:sz w:val="18"/>
          <w:szCs w:val="18"/>
          <w:color w:val="auto"/>
        </w:rPr>
        <w:t>” are to all issued and outstanding options to purchase or otherwise acquire Legacy Lucid Common Shares (whether or not vested) held by any person, including share options granted under any Legacy Lucid Share Plan;</w:t>
      </w:r>
    </w:p>
    <w:p>
      <w:pPr>
        <w:spacing w:after="0" w:line="185" w:lineRule="exact"/>
        <w:rPr>
          <w:sz w:val="20"/>
          <w:szCs w:val="20"/>
          <w:color w:val="auto"/>
        </w:rPr>
      </w:pPr>
    </w:p>
    <w:p>
      <w:pPr>
        <w:ind w:right="1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Preferred Shares</w:t>
      </w:r>
      <w:r>
        <w:rPr>
          <w:rFonts w:ascii="Times New Roman" w:cs="Times New Roman" w:eastAsia="Times New Roman" w:hAnsi="Times New Roman"/>
          <w:sz w:val="18"/>
          <w:szCs w:val="18"/>
          <w:color w:val="auto"/>
        </w:rPr>
        <w:t>” are to, collectively, Legacy Lucid Series A Preferred Shares, Legacy Lucid Series B Preferred Shares, Legacy Lucid Series C Preferred Shares, Legacy Lucid Series D Preferred Shares and Legacy Lucid Series E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Series A Preferred Shares</w:t>
      </w:r>
      <w:r>
        <w:rPr>
          <w:rFonts w:ascii="Times New Roman" w:cs="Times New Roman" w:eastAsia="Times New Roman" w:hAnsi="Times New Roman"/>
          <w:sz w:val="18"/>
          <w:szCs w:val="18"/>
          <w:color w:val="auto"/>
        </w:rPr>
        <w:t>” are to the Series A preferred shares, par value $0.0001 per share, of Legacy Lucid;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Series B Preferred Shares</w:t>
      </w:r>
      <w:r>
        <w:rPr>
          <w:rFonts w:ascii="Times New Roman" w:cs="Times New Roman" w:eastAsia="Times New Roman" w:hAnsi="Times New Roman"/>
          <w:sz w:val="18"/>
          <w:szCs w:val="18"/>
          <w:color w:val="auto"/>
        </w:rPr>
        <w:t>” are to the Series B preferred shares, par value $0.0001 per share, of Legacy Lucid;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Series C Preferred Shares</w:t>
      </w:r>
      <w:r>
        <w:rPr>
          <w:rFonts w:ascii="Times New Roman" w:cs="Times New Roman" w:eastAsia="Times New Roman" w:hAnsi="Times New Roman"/>
          <w:sz w:val="18"/>
          <w:szCs w:val="18"/>
          <w:color w:val="auto"/>
        </w:rPr>
        <w:t>” are to the Series C preferred shares, par value $0.0001 per share, of Legacy Lucid;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Series D Preferred Shares</w:t>
      </w:r>
      <w:r>
        <w:rPr>
          <w:rFonts w:ascii="Times New Roman" w:cs="Times New Roman" w:eastAsia="Times New Roman" w:hAnsi="Times New Roman"/>
          <w:sz w:val="18"/>
          <w:szCs w:val="18"/>
          <w:color w:val="auto"/>
        </w:rPr>
        <w:t>” are to the Series D preferred shares, par value $0.0001 per share, of Legacy Lucid;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Series E Preferred Shares</w:t>
      </w:r>
      <w:r>
        <w:rPr>
          <w:rFonts w:ascii="Times New Roman" w:cs="Times New Roman" w:eastAsia="Times New Roman" w:hAnsi="Times New Roman"/>
          <w:sz w:val="18"/>
          <w:szCs w:val="18"/>
          <w:color w:val="auto"/>
        </w:rPr>
        <w:t>” are to the Series E preferred shares, par value $0.0001 per share, of Legacy Lucid;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Share</w:t>
      </w:r>
      <w:r>
        <w:rPr>
          <w:rFonts w:ascii="Times New Roman" w:cs="Times New Roman" w:eastAsia="Times New Roman" w:hAnsi="Times New Roman"/>
          <w:sz w:val="18"/>
          <w:szCs w:val="18"/>
          <w:color w:val="auto"/>
        </w:rPr>
        <w:t>s” are to the Legacy Lucid Common Shares and Legacy Lucid Preferred Shares;</w:t>
      </w:r>
    </w:p>
    <w:p>
      <w:pPr>
        <w:spacing w:after="0" w:line="252" w:lineRule="exact"/>
        <w:rPr>
          <w:sz w:val="20"/>
          <w:szCs w:val="20"/>
          <w:color w:val="auto"/>
        </w:rPr>
      </w:pPr>
    </w:p>
    <w:p>
      <w:pPr>
        <w:ind w:right="17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Lucid RSUs</w:t>
      </w:r>
      <w:r>
        <w:rPr>
          <w:rFonts w:ascii="Times New Roman" w:cs="Times New Roman" w:eastAsia="Times New Roman" w:hAnsi="Times New Roman"/>
          <w:sz w:val="18"/>
          <w:szCs w:val="18"/>
          <w:color w:val="auto"/>
        </w:rPr>
        <w:t>” are to all issued and outstanding restricted stock unit awards with respect to Legacy Lucid Common Shares outstanding under any Legacy Lucid Share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Lucid Awards</w:t>
      </w:r>
      <w:r>
        <w:rPr>
          <w:rFonts w:ascii="Times New Roman" w:cs="Times New Roman" w:eastAsia="Times New Roman" w:hAnsi="Times New Roman"/>
          <w:sz w:val="18"/>
          <w:szCs w:val="18"/>
          <w:color w:val="auto"/>
        </w:rPr>
        <w:t>” are to Lucid Options and Lucid RSUs;</w:t>
      </w:r>
    </w:p>
    <w:p>
      <w:pPr>
        <w:spacing w:after="0" w:line="252" w:lineRule="exact"/>
        <w:rPr>
          <w:sz w:val="20"/>
          <w:szCs w:val="20"/>
          <w:color w:val="auto"/>
        </w:rPr>
      </w:pPr>
    </w:p>
    <w:p>
      <w:pPr>
        <w:ind w:right="1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Lucid Options</w:t>
      </w:r>
      <w:r>
        <w:rPr>
          <w:rFonts w:ascii="Times New Roman" w:cs="Times New Roman" w:eastAsia="Times New Roman" w:hAnsi="Times New Roman"/>
          <w:sz w:val="18"/>
          <w:szCs w:val="18"/>
          <w:color w:val="auto"/>
        </w:rPr>
        <w:t>” are to all issued and outstanding options to purchase shares of common stock immediately following the closing of the Merger;</w:t>
      </w:r>
    </w:p>
    <w:p>
      <w:pPr>
        <w:spacing w:after="0" w:line="185" w:lineRule="exact"/>
        <w:rPr>
          <w:sz w:val="20"/>
          <w:szCs w:val="20"/>
          <w:color w:val="auto"/>
        </w:rPr>
      </w:pPr>
    </w:p>
    <w:p>
      <w:pPr>
        <w:ind w:right="18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Lucid RSUs</w:t>
      </w:r>
      <w:r>
        <w:rPr>
          <w:rFonts w:ascii="Times New Roman" w:cs="Times New Roman" w:eastAsia="Times New Roman" w:hAnsi="Times New Roman"/>
          <w:sz w:val="18"/>
          <w:szCs w:val="18"/>
          <w:color w:val="auto"/>
        </w:rPr>
        <w:t>” are to all issued and outstanding restricted stock unit awards with respect to shares of common stock immediately following the closing of the Merger;</w:t>
      </w:r>
    </w:p>
    <w:p>
      <w:pPr>
        <w:spacing w:after="0" w:line="18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are to the merger of a merger subsidiary of Churchill and Atieva, Inc., with Atieva, Inc. surviving such merger as a wholly owned subsidiary of Churchill;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are to Air Merger Sub, Inc., a Delaware corporation and a direct, wholly-owned subsidiary of Churchill;</w:t>
      </w:r>
    </w:p>
    <w:p>
      <w:pPr>
        <w:spacing w:after="0" w:line="2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are to that certain Agreement and Plan of Merger, dated as of February 22, 2021, by and among Churchill, Legacy Lucid and Merger Sub, as the same has been or may be amended, modified, supplemented or waived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PIF</w:t>
      </w:r>
      <w:r>
        <w:rPr>
          <w:rFonts w:ascii="Times New Roman" w:cs="Times New Roman" w:eastAsia="Times New Roman" w:hAnsi="Times New Roman"/>
          <w:sz w:val="18"/>
          <w:szCs w:val="18"/>
          <w:color w:val="auto"/>
        </w:rPr>
        <w:t>” are to the Public Investment Fund;</w:t>
      </w:r>
    </w:p>
    <w:p>
      <w:pPr>
        <w:spacing w:after="0" w:line="25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are to the investors participating in the PIPE Investment;</w:t>
      </w:r>
    </w:p>
    <w:p>
      <w:pPr>
        <w:spacing w:after="0" w:line="252" w:lineRule="exact"/>
        <w:rPr>
          <w:sz w:val="20"/>
          <w:szCs w:val="20"/>
          <w:color w:val="auto"/>
        </w:rPr>
      </w:pPr>
    </w:p>
    <w:p>
      <w:pPr>
        <w:ind w:right="1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Subscription Agreements</w:t>
      </w:r>
      <w:r>
        <w:rPr>
          <w:rFonts w:ascii="Times New Roman" w:cs="Times New Roman" w:eastAsia="Times New Roman" w:hAnsi="Times New Roman"/>
          <w:sz w:val="18"/>
          <w:szCs w:val="18"/>
          <w:color w:val="auto"/>
        </w:rPr>
        <w:t>” are to the common stock subscription agreements entered into by and among Churchill, and the investors party thereto, in each case, dated as of February 22, 2021 and entered into in connection with the PIPE Investment;</w:t>
      </w:r>
    </w:p>
    <w:p>
      <w:pPr>
        <w:spacing w:after="0" w:line="185" w:lineRule="exact"/>
        <w:rPr>
          <w:sz w:val="20"/>
          <w:szCs w:val="20"/>
          <w:color w:val="auto"/>
        </w:rPr>
      </w:pPr>
    </w:p>
    <w:p>
      <w:pPr>
        <w:ind w:right="14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are to Churchill’s warrants issued to the Sponsor in a private placement simultaneously with the closing of the Churchill IPO;</w:t>
      </w:r>
    </w:p>
    <w:p>
      <w:pPr>
        <w:sectPr>
          <w:pgSz w:w="11900" w:h="16838" w:orient="portrait"/>
          <w:cols w:equalWidth="0" w:num="1">
            <w:col w:w="11120"/>
          </w:cols>
          <w:pgMar w:left="320" w:top="767" w:right="4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7"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Promissory Note</w:t>
      </w:r>
      <w:r>
        <w:rPr>
          <w:rFonts w:ascii="Times New Roman" w:cs="Times New Roman" w:eastAsia="Times New Roman" w:hAnsi="Times New Roman"/>
          <w:sz w:val="18"/>
          <w:szCs w:val="18"/>
          <w:color w:val="auto"/>
        </w:rPr>
        <w:t>” are to the unsecured promissory note issued by Churchill to the Sponsor in an aggregate principal amount of</w:t>
      </w:r>
    </w:p>
    <w:p>
      <w:pPr>
        <w:spacing w:after="0" w:line="29" w:lineRule="exact"/>
        <w:rPr>
          <w:sz w:val="20"/>
          <w:szCs w:val="20"/>
          <w:color w:val="auto"/>
        </w:rPr>
      </w:pPr>
    </w:p>
    <w:p>
      <w:pPr>
        <w:ind w:right="1600"/>
        <w:spacing w:after="0" w:line="260" w:lineRule="auto"/>
        <w:rPr>
          <w:sz w:val="20"/>
          <w:szCs w:val="20"/>
          <w:color w:val="auto"/>
        </w:rPr>
      </w:pPr>
      <w:r>
        <w:rPr>
          <w:rFonts w:ascii="Times New Roman" w:cs="Times New Roman" w:eastAsia="Times New Roman" w:hAnsi="Times New Roman"/>
          <w:sz w:val="18"/>
          <w:szCs w:val="18"/>
          <w:color w:val="auto"/>
        </w:rPr>
        <w:t>$1,500,000. The Sponsor has elected to exercise its option to convert the unpaid balance of the Promissory Note of $1,500,000 into Working Capital Warrants;</w:t>
      </w:r>
    </w:p>
    <w:p>
      <w:pPr>
        <w:spacing w:after="0" w:line="206" w:lineRule="exact"/>
        <w:rPr>
          <w:sz w:val="20"/>
          <w:szCs w:val="20"/>
          <w:color w:val="auto"/>
        </w:rPr>
      </w:pPr>
    </w:p>
    <w:p>
      <w:pPr>
        <w:ind w:right="18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are to Churchill’s warrants sold as part of the units in the Churchill IPO (whether they were purchased in the Churchill IPO or thereafter in the open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are to the Merger, together with the other transactions consummated under the Merger Agreement and the related agreements;</w:t>
      </w:r>
    </w:p>
    <w:p>
      <w:pPr>
        <w:spacing w:after="0" w:line="252" w:lineRule="exact"/>
        <w:rPr>
          <w:sz w:val="20"/>
          <w:szCs w:val="20"/>
          <w:color w:val="auto"/>
        </w:rPr>
      </w:pPr>
    </w:p>
    <w:p>
      <w:pPr>
        <w:ind w:right="16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are to the Warrant Agreement, dated July 29, 2020, entered into in connection with the Churchill IPO by and between Continental Stock Transfer &amp; Trust Company and Churchill; and</w:t>
      </w:r>
    </w:p>
    <w:p>
      <w:pPr>
        <w:spacing w:after="0" w:line="185" w:lineRule="exact"/>
        <w:rPr>
          <w:sz w:val="20"/>
          <w:szCs w:val="20"/>
          <w:color w:val="auto"/>
        </w:rPr>
      </w:pPr>
    </w:p>
    <w:p>
      <w:pPr>
        <w:ind w:right="1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Working Capital Warrants</w:t>
      </w:r>
      <w:r>
        <w:rPr>
          <w:rFonts w:ascii="Times New Roman" w:cs="Times New Roman" w:eastAsia="Times New Roman" w:hAnsi="Times New Roman"/>
          <w:sz w:val="18"/>
          <w:szCs w:val="18"/>
          <w:color w:val="auto"/>
        </w:rPr>
        <w:t>” are to the warrants to purchase Churchill’s Class A common stock pursuant to the terms of the Promissory Note, on terms identical to the terms of the Private Placement Warrants.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7"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6,262,905</w:t>
            </w:r>
          </w:p>
        </w:tc>
      </w:tr>
      <w:tr>
        <w:trPr>
          <w:trHeight w:val="229"/>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127,250</w:t>
            </w:r>
          </w:p>
        </w:tc>
      </w:tr>
      <w:tr>
        <w:trPr>
          <w:trHeight w:val="229"/>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70,346</w:t>
            </w: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w:t>
            </w:r>
          </w:p>
        </w:tc>
      </w:tr>
      <w:tr>
        <w:trPr>
          <w:trHeight w:val="223"/>
        </w:trPr>
        <w:tc>
          <w:tcPr>
            <w:tcW w:w="8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5,864,431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6,506,977</w:t>
            </w:r>
          </w:p>
        </w:tc>
      </w:tr>
      <w:tr>
        <w:trPr>
          <w:trHeight w:val="223"/>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1,182,153</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161,974</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30,609</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7,401,840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7,881,713</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w:t>
            </w: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w:t>
            </w:r>
          </w:p>
        </w:tc>
      </w:tr>
      <w:tr>
        <w:trPr>
          <w:trHeight w:val="230"/>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318,212</w:t>
            </w:r>
          </w:p>
        </w:tc>
      </w:tr>
      <w:tr>
        <w:trPr>
          <w:trHeight w:val="223"/>
        </w:trPr>
        <w:tc>
          <w:tcPr>
            <w:tcW w:w="8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396,101</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1,394,808</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1,986,791</w:t>
            </w: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188,575</w:t>
            </w:r>
          </w:p>
        </w:tc>
      </w:tr>
      <w:tr>
        <w:trPr>
          <w:trHeight w:val="223"/>
        </w:trPr>
        <w:tc>
          <w:tcPr>
            <w:tcW w:w="8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3,972,358</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6"/>
        </w:trPr>
        <w:tc>
          <w:tcPr>
            <w:tcW w:w="8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par value $0.0001; 10,000,000 shares authorized as of March 31, 2022 and</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2021; no shares issued and outstanding as of March 31, 2022 and December 31, 2021</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$0.0001; 15,000,000,000 shares authorized as of March 31, 2022 and December 31, 2021;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860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1,667,597,533 and 1,648,413,415 shares issued and 1,666,739,708 and 1,647,555,590 shares outstanding as of</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8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9,995,778</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stock, at cost, 857,825 shares at March 31, 2022 and December 31, 2021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(6,147,158)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(6,065,872)</w:t>
            </w:r>
          </w:p>
        </w:tc>
      </w:tr>
      <w:tr>
        <w:trPr>
          <w:trHeight w:val="223"/>
        </w:trPr>
        <w:tc>
          <w:tcPr>
            <w:tcW w:w="8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3,829,469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3,909,355</w:t>
            </w:r>
          </w:p>
        </w:tc>
      </w:tr>
      <w:tr>
        <w:trPr>
          <w:trHeight w:val="248"/>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7,401,840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7,881,713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98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57"/>
        </w:trPr>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167,369</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223,159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131,652</w:t>
            </w: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299,106</w:t>
            </w:r>
          </w:p>
        </w:tc>
      </w:tr>
      <w:tr>
        <w:trPr>
          <w:trHeight w:val="237"/>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(298,793)</w:t>
            </w:r>
          </w:p>
        </w:tc>
      </w:tr>
      <w:tr>
        <w:trPr>
          <w:trHeight w:val="257"/>
        </w:trPr>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forward contracts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(442,164)</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preferred stock warrant liability</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(449,155)</w:t>
            </w: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(747,952)</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Deemed dividend related to the issuance of Series E convertible preferred stock</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(2,167,333)</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(2,915,285)</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86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outstanding used in computing net loss per share attributable to common stockholders, basic</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1,654,322,379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32,650,874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98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right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6"/>
        </w:trPr>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right w:val="single" w:sz="8" w:color="auto"/>
            </w:tcBorders>
            <w:gridSpan w:val="6"/>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54"/>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restart"/>
          </w:tcPr>
          <w:p>
            <w:pPr>
              <w:jc w:val="right"/>
              <w:ind w:right="6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48"/>
        </w:trPr>
        <w:tc>
          <w:tcPr>
            <w:tcW w:w="42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1,647,555,590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9,995,778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(20,716)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(6,065,872)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$ 3,909,355</w:t>
            </w:r>
          </w:p>
        </w:tc>
        <w:tc>
          <w:tcPr>
            <w:tcW w:w="0" w:type="dxa"/>
            <w:vAlign w:val="bottom"/>
          </w:tcPr>
          <w:p>
            <w:pPr>
              <w:spacing w:after="0"/>
              <w:rPr>
                <w:sz w:val="1"/>
                <w:szCs w:val="1"/>
                <w:color w:val="auto"/>
              </w:rPr>
            </w:pPr>
          </w:p>
        </w:tc>
      </w:tr>
      <w:tr>
        <w:trPr>
          <w:trHeight w:val="195"/>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(81,286)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(81,286)</w:t>
            </w:r>
          </w:p>
        </w:tc>
        <w:tc>
          <w:tcPr>
            <w:tcW w:w="0" w:type="dxa"/>
            <w:vAlign w:val="bottom"/>
          </w:tcPr>
          <w:p>
            <w:pPr>
              <w:spacing w:after="0"/>
              <w:rPr>
                <w:sz w:val="1"/>
                <w:szCs w:val="1"/>
                <w:color w:val="auto"/>
              </w:rPr>
            </w:pPr>
          </w:p>
        </w:tc>
      </w:tr>
      <w:tr>
        <w:trPr>
          <w:trHeight w:val="142"/>
        </w:trPr>
        <w:tc>
          <w:tcPr>
            <w:tcW w:w="428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and sale of common stock for tax withholdings of employee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(182,265)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(182,265)</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RSUs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6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 of common stock upon vesting of employee RSUs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7,081,008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12,103,110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9,114</w:t>
            </w:r>
          </w:p>
        </w:tc>
        <w:tc>
          <w:tcPr>
            <w:tcW w:w="0" w:type="dxa"/>
            <w:vAlign w:val="bottom"/>
          </w:tcPr>
          <w:p>
            <w:pPr>
              <w:spacing w:after="0"/>
              <w:rPr>
                <w:sz w:val="1"/>
                <w:szCs w:val="1"/>
                <w:color w:val="auto"/>
              </w:rPr>
            </w:pPr>
          </w:p>
        </w:tc>
      </w:tr>
      <w:tr>
        <w:trPr>
          <w:trHeight w:val="196"/>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174,551</w:t>
            </w: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1,666,739,708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9,997,176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(20,716)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(6,147,158)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$ 3,829,469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8"/>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8"/>
            <w:vMerge w:val="continue"/>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8"/>
          </w:tcPr>
          <w:p>
            <w:pPr>
              <w:ind w:left="420"/>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Borders>
              <w:left w:val="single" w:sz="8" w:color="auto"/>
            </w:tcBorders>
          </w:tcPr>
          <w:p>
            <w:pPr>
              <w:spacing w:after="0"/>
              <w:rPr>
                <w:sz w:val="11"/>
                <w:szCs w:val="11"/>
                <w:color w:val="auto"/>
              </w:rPr>
            </w:pPr>
          </w:p>
        </w:tc>
        <w:tc>
          <w:tcPr>
            <w:tcW w:w="1660" w:type="dxa"/>
            <w:vAlign w:val="bottom"/>
            <w:gridSpan w:val="7"/>
          </w:tcPr>
          <w:p>
            <w:pPr>
              <w:ind w:left="38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41"/>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restart"/>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54"/>
        </w:trPr>
        <w:tc>
          <w:tcPr>
            <w:tcW w:w="42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left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left w:val="single" w:sz="8" w:color="auto"/>
            </w:tcBorders>
          </w:tcPr>
          <w:p>
            <w:pPr>
              <w:spacing w:after="0"/>
              <w:rPr>
                <w:sz w:val="15"/>
                <w:szCs w:val="15"/>
                <w:color w:val="auto"/>
              </w:rPr>
            </w:pPr>
          </w:p>
        </w:tc>
        <w:tc>
          <w:tcPr>
            <w:tcW w:w="860" w:type="dxa"/>
            <w:vAlign w:val="bottom"/>
            <w:gridSpan w:val="4"/>
          </w:tcPr>
          <w:p>
            <w:pPr>
              <w:ind w:left="160"/>
              <w:spacing w:after="0" w:line="182"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96"/>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957,159,704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$ 2,494,076</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28,791,702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38,113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(1,356,893)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(1,318,777)</w:t>
            </w:r>
          </w:p>
        </w:tc>
        <w:tc>
          <w:tcPr>
            <w:tcW w:w="0" w:type="dxa"/>
            <w:vAlign w:val="bottom"/>
          </w:tcPr>
          <w:p>
            <w:pPr>
              <w:spacing w:after="0"/>
              <w:rPr>
                <w:sz w:val="1"/>
                <w:szCs w:val="1"/>
                <w:color w:val="auto"/>
              </w:rPr>
            </w:pPr>
          </w:p>
        </w:tc>
      </w:tr>
      <w:tr>
        <w:trPr>
          <w:trHeight w:val="195"/>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6"/>
                <w:szCs w:val="16"/>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(747,952)</w:t>
            </w:r>
          </w:p>
        </w:tc>
        <w:tc>
          <w:tcPr>
            <w:tcW w:w="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(747,952)</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Series B convertible preferred stock</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(3,525,365)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2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Series D convertible preferred stock upon exercise of</w:t>
            </w:r>
          </w:p>
        </w:tc>
        <w:tc>
          <w:tcPr>
            <w:tcW w:w="9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1,546,799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12,936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9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Series E convertible preferred stock</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133,818,821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1,844,886</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(2,129,217)</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(2,167,332)</w:t>
            </w:r>
          </w:p>
        </w:tc>
        <w:tc>
          <w:tcPr>
            <w:tcW w:w="0" w:type="dxa"/>
            <w:vAlign w:val="bottom"/>
          </w:tcPr>
          <w:p>
            <w:pPr>
              <w:spacing w:after="0"/>
              <w:rPr>
                <w:sz w:val="1"/>
                <w:szCs w:val="1"/>
                <w:color w:val="auto"/>
              </w:rPr>
            </w:pPr>
          </w:p>
        </w:tc>
      </w:tr>
      <w:tr>
        <w:trPr>
          <w:trHeight w:val="139"/>
        </w:trPr>
        <w:tc>
          <w:tcPr>
            <w:tcW w:w="42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 to Series E convertible preferred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102,913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6,897,516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96"/>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7"/>
                <w:szCs w:val="17"/>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1,088,999,959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$ 4,454,811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left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35,689,218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(4,234,062)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(4,227,863)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w:t>
      </w:r>
    </w:p>
    <w:p>
      <w:pPr>
        <w:spacing w:after="0" w:line="293" w:lineRule="exact"/>
        <w:rPr>
          <w:sz w:val="20"/>
          <w:szCs w:val="20"/>
          <w:color w:val="auto"/>
        </w:rPr>
      </w:pPr>
    </w:p>
    <w:p>
      <w:pPr>
        <w:ind w:right="120" w:firstLine="8"/>
        <w:spacing w:after="0" w:line="302" w:lineRule="auto"/>
        <w:tabs>
          <w:tab w:leader="none" w:pos="132"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(747,952)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insurance premium</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104,795</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Write-down of inventory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forward contract liability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442,164</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 and security deposit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 and accrued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r>
      <w:tr>
        <w:trPr>
          <w:trHeight w:val="230"/>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23"/>
        </w:trPr>
        <w:tc>
          <w:tcPr>
            <w:tcW w:w="8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(218,726)</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w:t>
            </w:r>
          </w:p>
        </w:tc>
      </w:tr>
      <w:tr>
        <w:trPr>
          <w:trHeight w:val="223"/>
        </w:trPr>
        <w:tc>
          <w:tcPr>
            <w:tcW w:w="8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(185,082)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(94,779)</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short-term insurance financing note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capital lease liabilities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finance lease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Series B convertible preferred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D convertible preferred stock</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E convertible preferred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507,080</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repurchases from employees for tax withholdings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511,098</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197,593</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cash, cash equivalents, and restricted cash</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6,298,020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640,418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5,430,988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838,011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and right-of-use assets obtained through leases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Series D convertible preferred stock upon exercise of preferred stock warrants</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Series E convertible preferred stock contingent forward contracts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2,167,332</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Series E convertible preferred stock upon settlement of contingent forward contracts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1,444,886</w:t>
            </w: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Lucid Group, Inc. (“Lucid”) is a technology and automotive company focused on designing, developing, manufacturing, and selling the next generation of EV, EV powertrains and battery systems.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 Reverse Recapitalization for more information.</w:t>
      </w:r>
    </w:p>
    <w:p>
      <w:pPr>
        <w:spacing w:after="0" w:line="187"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devotes its efforts to business planning, research and development, recruiting of management and technical staff, acquiring operating assets, and raising capital.</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inception through March 31, 2022, the Company has incurred operating losses and negative cash flows from operating activities. For the three months ended March 31, 2022 and 2021, the Company has incurred operating losses, including net losses of $81.3 million and $748.0 million, respectively. The Company has an accumulated deficit of $6.1 billion as of March 31, 2022.</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start of construction of a manufacturing facility in the Kingdom of Saudi Arabia,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existing sources of liquidity include cash and cash equivalents.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Significant Risks and Uncertainties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ectPr>
          <w:pgSz w:w="11900" w:h="16838" w:orient="portrait"/>
          <w:cols w:equalWidth="0" w:num="1">
            <w:col w:w="11220"/>
          </w:cols>
          <w:pgMar w:left="320" w:top="765" w:right="35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1" w:name="page12"/>
    <w:bookmarkEnd w:id="11"/>
    <w:p>
      <w:pPr>
        <w:ind w:right="80"/>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impact the global economy and cause significant macroeconomic uncertainty. Infection rates vary across the jurisdictions in which the Company operates.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The Company has taken proactive action to protect the health and safety of its employees, customers, partners and suppliers, consistent with the latest and evolving governmental guidelines. The Company expects to continue to implement appropriate measures until the COVID-19 pandemic is adequately contained. The Company continues to monitor the rapidly evolving situation and guidance from international and domestic authorities, including federal, state and local public health authorities, and may take additional actions based on their recommendations and requirements or as the Company otherwise sees fit to protect the health and safety of its employees, customers, partners and suppliers.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certain of the Company and its suppliers’ operations have from time-to-time been temporarily affected by government-mandated restrictions, the Company was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affect its cost structure as well as its ability and the ability of its suppliers to obtain parts, components and manufacturing equipment on a timely basis for the foreseeable future.</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current circumstances, given the dynamic nature of the situation, any impact on the Company’s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the Company’s suppliers and on global logistics. See “Risk Factors” in Part II, Item 1A of this Quarterly Report on Form 10-Q (the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2022.</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March 31, 2022 and the results of operations for the three months ended March 31, 2022 and 2021. The results of operations for the three months ended March 31, 2022 are not necessarily indicative of the results to be expected for the full year ending December 31, 2022 or any other future interim or annual period.</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w:t>
      </w:r>
    </w:p>
    <w:p>
      <w:pPr>
        <w:sectPr>
          <w:pgSz w:w="11900" w:h="16838" w:orient="portrait"/>
          <w:cols w:equalWidth="0" w:num="1">
            <w:col w:w="11240"/>
          </w:cols>
          <w:pgMar w:left="320" w:top="985"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at the date of purchase of three months or less to be cash equivalents.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Restricted cash in other current assets and noncurrent assets is primarily related to letters of credit issued to the landlords for certain of the Company’s leasehold facilities.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amounts shown in the statements of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6,262,905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614,412</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5,430,988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6,298,020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838,011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640,418</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March 31, 2022 and December 31, 2021, which relates specifically to sales of its battery packs.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43"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The Company’s significant accounting policies are discussed in Note 2 of the notes to the consolidated financial statements included in the Company’s Form 10-K filed with the SEC on February 28, 2022. There have been no significant changes to these policies during the three months ended March 31, 2022.</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ASU No. 2021-10, Government Assistance (Topic 832): Disclosures by Business Entities about Government Assistance, which requires annual disclosures about transactions with a government that are accounted for by applying a grant or contribution accounting model by analogy. The disclosure requirements include information about the nature of the transactions and the related accounting policy, the line items on the balance sheet and income statement that are affected by the transactions, the amount applicable to each financial statement line and significant terms and conditions of the transactions. The guidance is effective for annual periods beginning after December 15, 2021 and can be applied either prospectively or retrospectively. The Company has adopted ASU 2021-10 prospectively on January 1, 2022. The adoption of this ASU did not have an impact to the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REVERSE RECAPITALIZATION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75" w:lineRule="exact"/>
        <w:rPr>
          <w:sz w:val="20"/>
          <w:szCs w:val="20"/>
          <w:color w:val="auto"/>
        </w:rPr>
      </w:pPr>
    </w:p>
    <w:p>
      <w:pPr>
        <w:ind w:left="660" w:right="1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spacing w:after="0" w:line="6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ectPr>
          <w:pgSz w:w="11900" w:h="16838" w:orient="portrait"/>
          <w:cols w:equalWidth="0" w:num="1">
            <w:col w:w="11240"/>
          </w:cols>
          <w:pgMar w:left="320" w:top="985"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3" w:name="page14"/>
    <w:bookmarkEnd w:id="13"/>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6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related events that occurred in connection with the Closing are summarized below:</w:t>
      </w:r>
    </w:p>
    <w:p>
      <w:pPr>
        <w:spacing w:after="0" w:line="117" w:lineRule="exact"/>
        <w:rPr>
          <w:sz w:val="20"/>
          <w:szCs w:val="20"/>
          <w:color w:val="auto"/>
        </w:rPr>
      </w:pPr>
    </w:p>
    <w:p>
      <w:pPr>
        <w:ind w:left="660" w:right="1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7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spacing w:after="0" w:line="67"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 Earnback Shares and Warrants for more information; and</w:t>
      </w:r>
    </w:p>
    <w:p>
      <w:pPr>
        <w:spacing w:after="0" w:line="8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redeemed 21,644 public shares of Churchill’s Class A common stock at approximately $10.00 per share for an aggregate payment of $0.2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Churchill public shares, prior to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redemption of Churchill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Churchill public shares, net of redemptions</w:t>
      </w:r>
    </w:p>
    <w:p>
      <w:pPr>
        <w:ind w:left="20"/>
        <w:spacing w:after="0" w:line="236" w:lineRule="auto"/>
        <w:rPr>
          <w:sz w:val="20"/>
          <w:szCs w:val="20"/>
          <w:color w:val="auto"/>
        </w:rPr>
      </w:pPr>
      <w:r>
        <w:rPr>
          <w:rFonts w:ascii="Times New Roman" w:cs="Times New Roman" w:eastAsia="Times New Roman" w:hAnsi="Times New Roman"/>
          <w:sz w:val="18"/>
          <w:szCs w:val="18"/>
          <w:color w:val="auto"/>
        </w:rPr>
        <w:t>Churchill Sponsor shares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1" w:lineRule="auto"/>
        <w:rPr>
          <w:sz w:val="20"/>
          <w:szCs w:val="20"/>
          <w:color w:val="auto"/>
        </w:rPr>
      </w:pPr>
      <w:r>
        <w:rPr>
          <w:rFonts w:ascii="Times New Roman" w:cs="Times New Roman" w:eastAsia="Times New Roman" w:hAnsi="Times New Roman"/>
          <w:sz w:val="18"/>
          <w:szCs w:val="18"/>
          <w:color w:val="auto"/>
        </w:rPr>
        <w:t>PIPE shares</w:t>
      </w:r>
      <w:r>
        <w:rPr>
          <w:rFonts w:ascii="Times New Roman" w:cs="Times New Roman" w:eastAsia="Times New Roman" w:hAnsi="Times New Roman"/>
          <w:sz w:val="23"/>
          <w:szCs w:val="23"/>
          <w:color w:val="auto"/>
          <w:vertAlign w:val="superscript"/>
        </w:rPr>
        <w:t>(2)</w:t>
      </w:r>
    </w:p>
    <w:p>
      <w:pPr>
        <w:ind w:left="20" w:right="3260"/>
        <w:spacing w:after="0" w:line="274" w:lineRule="auto"/>
        <w:rPr>
          <w:sz w:val="20"/>
          <w:szCs w:val="20"/>
          <w:color w:val="auto"/>
        </w:rPr>
      </w:pPr>
      <w:r>
        <w:rPr>
          <w:rFonts w:ascii="Times New Roman" w:cs="Times New Roman" w:eastAsia="Times New Roman" w:hAnsi="Times New Roman"/>
          <w:sz w:val="18"/>
          <w:szCs w:val="18"/>
          <w:color w:val="auto"/>
        </w:rPr>
        <w:t>Total shares of Churchill common stock outstanding immediately prior to the Merger Legacy Lucid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shares of Lucid common stock outstanding immediately after the Merger</w:t>
      </w:r>
      <w:r>
        <w:rPr>
          <w:rFonts w:ascii="Times New Roman" w:cs="Times New Roman" w:eastAsia="Times New Roman" w:hAnsi="Times New Roman"/>
          <w:sz w:val="23"/>
          <w:szCs w:val="23"/>
          <w:color w:val="auto"/>
          <w:vertAlign w:val="superscript"/>
        </w:rPr>
        <w:t>(3)(4)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207,000,000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(21,644)</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206,978,356</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51,750,000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166,666,667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994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425,395,023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1,193,226,511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9944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1,618,621,534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17145</wp:posOffset>
            </wp:positionV>
            <wp:extent cx="9944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43180</wp:posOffset>
            </wp:positionV>
            <wp:extent cx="9944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9420" w:space="720"/>
            <w:col w:w="1080"/>
          </w:cols>
          <w:pgMar w:left="320" w:top="877" w:right="359" w:bottom="1440" w:gutter="0" w:footer="0" w:header="0"/>
          <w:type w:val="continuous"/>
        </w:sectPr>
      </w:pPr>
    </w:p>
    <w:p>
      <w:pPr>
        <w:ind w:left="660" w:right="26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51,750,000 shares beneficially owned by the Churchill Sponsor as of the Closing of the Merger includes the 17,250,000 Sponsor Earnback Shares.</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sale and issuance of 166,666,667 shares of common stock to the PIPE Investors at $15.00 per share.</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111,531,080 shares of common stock as of the Closing of the Merger to be reserved for potential future issuance upon the exercise of Lucid options or settlement of Lucid RSUs.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85,750,000 warrants issued and outstanding as of the Closing of the Merger, which includes the 41,400,000 public warrants and the 44,350,000 Private Placement Warrants held by the Churchill Sponsor. The 44,350,000 Private Placement Warrants beneficially owned by the Churchill Sponsor as of the consummation of the Merger includes the 14,783,333 Sponsor Earnback Warrants.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w:t>
      </w:r>
    </w:p>
    <w:p>
      <w:pPr>
        <w:sectPr>
          <w:pgSz w:w="11900" w:h="16838" w:orient="portrait"/>
          <w:cols w:equalWidth="0" w:num="1">
            <w:col w:w="11220"/>
          </w:cols>
          <w:pgMar w:left="320" w:top="877"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t>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as of March 31, 2022 and December 31, 2021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87,646</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30,641</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333,906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127,250</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Inventory as of March 31, 2022 and December 31, 2021 was comprised of raw materials, work in progress related to the production of vehicles for sale and finished goods inventory including vehicles in transit to fulfill customer orders and new vehicles available for sale. We write down inventory for any excess or obsolete inventories or when we believe that the net realizable value of inventories is less than the carrying value. During the three months ended March 31, 2022, we recorded write-downs of $96.4 million in cost of revenues. No write-downs were recorded during the three months ended March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as of March 31, 2022 and December 31, 2021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Tooling and Vehicles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601,791</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135,533</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276,919</w:t>
            </w:r>
          </w:p>
        </w:tc>
      </w:tr>
      <w:tr>
        <w:trPr>
          <w:trHeight w:val="223"/>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1,268,166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(86,013)</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1,182,153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w:t>
      </w:r>
    </w:p>
    <w:p>
      <w:pPr>
        <w:sectPr>
          <w:pgSz w:w="11900" w:h="16838" w:orient="portrait"/>
          <w:cols w:equalWidth="0" w:num="1">
            <w:col w:w="11240"/>
          </w:cols>
          <w:pgMar w:left="320" w:top="985"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ind w:right="60"/>
        <w:spacing w:after="0" w:line="282" w:lineRule="auto"/>
        <w:rPr>
          <w:sz w:val="20"/>
          <w:szCs w:val="20"/>
          <w:color w:val="auto"/>
        </w:rPr>
      </w:pPr>
      <w:r>
        <w:rPr>
          <w:rFonts w:ascii="Times New Roman" w:cs="Times New Roman" w:eastAsia="Times New Roman" w:hAnsi="Times New Roman"/>
          <w:sz w:val="18"/>
          <w:szCs w:val="18"/>
          <w:color w:val="auto"/>
        </w:rPr>
        <w:t>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Tooling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132,943</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of Arizona plant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construction in progress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389,228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276,919</w:t>
            </w: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2022 and 2021 was approximately $38.2 million and $4.9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AND LONG-TERM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and long-term liabilities as of March 31, 2022 and December 31, 2021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design, and testing accrual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92,590</w:t>
            </w:r>
          </w:p>
        </w:tc>
      </w:tr>
      <w:tr>
        <w:trPr>
          <w:trHeight w:val="229"/>
        </w:trPr>
        <w:tc>
          <w:tcPr>
            <w:tcW w:w="8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purchases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leasehold improvements accrual</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15,796</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professional services accrual</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 liability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23,966</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insurance financing note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w:t>
            </w: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318,212</w:t>
            </w:r>
          </w:p>
        </w:tc>
      </w:tr>
      <w:tr>
        <w:trPr>
          <w:trHeight w:val="21"/>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Accrued purchases primarily reflects inventory purchases and related transportation charges that had not been invoiced.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185,323</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8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estimates of assumptions that market participants would use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the asset or liability. Factors used to develop the estimated fair value are unobservable inputs that are not</w:t>
      </w:r>
    </w:p>
    <w:p>
      <w:pPr>
        <w:sectPr>
          <w:pgSz w:w="11900" w:h="16838" w:orient="portrait"/>
          <w:cols w:equalWidth="0" w:num="1">
            <w:col w:w="11240"/>
          </w:cols>
          <w:pgMar w:left="320" w:top="985"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6" w:name="page17"/>
    <w:bookmarkEnd w:id="16"/>
    <w:p>
      <w:pPr>
        <w:ind w:left="660" w:right="140"/>
        <w:spacing w:after="0" w:line="282" w:lineRule="auto"/>
        <w:rPr>
          <w:sz w:val="20"/>
          <w:szCs w:val="20"/>
          <w:color w:val="auto"/>
        </w:rPr>
      </w:pPr>
      <w:r>
        <w:rPr>
          <w:rFonts w:ascii="Times New Roman" w:cs="Times New Roman" w:eastAsia="Times New Roman" w:hAnsi="Times New Roman"/>
          <w:sz w:val="18"/>
          <w:szCs w:val="18"/>
          <w:color w:val="auto"/>
        </w:rPr>
        <w:t>supported by market activity. The sensitivity of the fair value measurement to changes in unobservable inputs may result in a significantly higher or lower measurement.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Level 1 investments consist solely of money market fund which is valued using quoted prices that are available in an active market. Level 3 liabilities consist of convertible preferred stock warrant liability, contingent forward contract liability and common stock warrant liability, in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subject to fair value measurements on a recurring basis by level within the fair value hierarchy as of March 31, 2022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5,250,516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5,250,516</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5,250,516</w:t>
            </w:r>
          </w:p>
        </w:tc>
      </w:tr>
      <w:tr>
        <w:trPr>
          <w:trHeight w:val="20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5,276,348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5,276,348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871,478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871,478</w:t>
            </w: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subject to fair value measurements on a recurring basis by level within the fair value hierarchy as of December 31, 2021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6,102,017</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6,102,017</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6,102,017</w:t>
            </w:r>
          </w:p>
        </w:tc>
      </w:tr>
      <w:tr>
        <w:trPr>
          <w:trHeight w:val="21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6,125,196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6,125,196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1,394,808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1,394,808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1,394,808</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contingent forward contract liability, convertible preferred stock warrant liability and common stock warrant liability measured and recorded at fair value on a recurring basis was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Contingent Forward</w:t>
            </w:r>
          </w:p>
        </w:tc>
        <w:tc>
          <w:tcPr>
            <w:tcW w:w="180" w:type="dxa"/>
            <w:vAlign w:val="bottom"/>
          </w:tcPr>
          <w:p>
            <w:pPr>
              <w:spacing w:after="0"/>
              <w:rPr>
                <w:sz w:val="11"/>
                <w:szCs w:val="11"/>
                <w:color w:val="auto"/>
              </w:rPr>
            </w:pPr>
          </w:p>
        </w:tc>
        <w:tc>
          <w:tcPr>
            <w:tcW w:w="1300" w:type="dxa"/>
            <w:vAlign w:val="bottom"/>
          </w:tcPr>
          <w:p>
            <w:pPr>
              <w:jc w:val="center"/>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 Liability</w:t>
            </w:r>
          </w:p>
        </w:tc>
        <w:tc>
          <w:tcPr>
            <w:tcW w:w="180" w:type="dxa"/>
            <w:vAlign w:val="bottom"/>
          </w:tcPr>
          <w:p>
            <w:pPr>
              <w:spacing w:after="0"/>
              <w:rPr>
                <w:sz w:val="16"/>
                <w:szCs w:val="16"/>
                <w:color w:val="auto"/>
              </w:rPr>
            </w:pPr>
          </w:p>
        </w:tc>
        <w:tc>
          <w:tcPr>
            <w:tcW w:w="13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26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2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2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9A9A9A"/>
            </w:tcBorders>
          </w:tcPr>
          <w:p>
            <w:pPr>
              <w:spacing w:after="0"/>
              <w:rPr>
                <w:sz w:val="12"/>
                <w:szCs w:val="12"/>
                <w:color w:val="auto"/>
              </w:rPr>
            </w:pPr>
          </w:p>
        </w:tc>
        <w:tc>
          <w:tcPr>
            <w:tcW w:w="2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89" w:lineRule="exact"/>
        <w:rPr>
          <w:sz w:val="20"/>
          <w:szCs w:val="20"/>
          <w:color w:val="auto"/>
        </w:rPr>
      </w:pPr>
    </w:p>
    <w:p>
      <w:pPr>
        <w:ind w:left="660" w:right="28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or</w:t>
      </w:r>
    </w:p>
    <w:p>
      <w:pPr>
        <w:spacing w:after="0" w:line="9" w:lineRule="exact"/>
        <w:rPr>
          <w:rFonts w:ascii="Times New Roman" w:cs="Times New Roman" w:eastAsia="Times New Roman" w:hAnsi="Times New Roman"/>
          <w:sz w:val="18"/>
          <w:szCs w:val="18"/>
          <w:color w:val="auto"/>
        </w:rPr>
      </w:pPr>
    </w:p>
    <w:p>
      <w:pPr>
        <w:ind w:left="660" w:right="3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76"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 Company accounted for the issuance of the 2026 Notes as a single liability measured at its amortized cost, as no other embedded features require bifurcation and recognition as derivatives. The following is a summary of the 2026 Notes as of March 31, 2022 and December 31, 2021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related to the 2026 Notes was $7.5 million, including $6.3 million contractual interest and $1.2 million attributable to the amortization of the debt discounts and debt issuance costs for the three months ended March 31, 2022. The effective interest rate for the convertible note is 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360"/>
        <w:spacing w:after="0" w:line="282" w:lineRule="auto"/>
        <w:rPr>
          <w:sz w:val="20"/>
          <w:szCs w:val="20"/>
          <w:color w:val="auto"/>
        </w:rPr>
      </w:pPr>
      <w:r>
        <w:rPr>
          <w:rFonts w:ascii="Times New Roman" w:cs="Times New Roman" w:eastAsia="Times New Roman" w:hAnsi="Times New Roman"/>
          <w:sz w:val="18"/>
          <w:szCs w:val="18"/>
          <w:color w:val="auto"/>
        </w:rPr>
        <w:t>The 2026 Notes were not eligible for conversion as of March 31, 2022 and December 31, 2021. No sinking fund is provided for the 2026 Notes, which means that the Company is not required to redeem or retire them periodically.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Industrial Development Fund (“SIDF”) Loan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February 27, 2022, Lucid, LLC, </w:t>
      </w:r>
      <w:r>
        <w:rPr>
          <w:rFonts w:ascii="Times New Roman" w:cs="Times New Roman" w:eastAsia="Times New Roman" w:hAnsi="Times New Roman"/>
          <w:sz w:val="19"/>
          <w:szCs w:val="19"/>
          <w:color w:val="auto"/>
        </w:rPr>
        <w:t>a limited liability company established in the Kingdom of Saudi Arabia and a subsidiary of the Company</w:t>
      </w:r>
    </w:p>
    <w:p>
      <w:pPr>
        <w:spacing w:after="0" w:line="4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Lucid LLC”) entered into a loan agreement (as subsequently amended, the “SIDF Loan Agreement”) with the SIDF. Under the SIDF Loan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to SAR 350 million, commencing on April 3, 2026 and ending on November 12, 2038. SIDF Loans are financing and will be used to finance certain costs in connection with the development and construction of the Company’s planned manufacturing facility in the Kingdom of Saudi Arabia (“the KSA Facility”). Lucid LLC may repay SIDF Loans earlier than the maturity date without penalty. Obligations under the SIDF Loan Agreement do not extend to the Company or any of its other subsidiaries.</w:t>
      </w:r>
    </w:p>
    <w:p>
      <w:pPr>
        <w:spacing w:after="0" w:line="18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SIDF Loans will not bear interest. Instead, Lucid LLC will be required to pay SIDF service fees, consisting of follow-up and technical evaluation fees, ranging, in aggregate, from SAR 415 million (approximately $111 million) to SAR 1.77 billion (approximately $471 million), over the term of the SIDF Loans. SIDF Loans will be secured by security interests in the </w:t>
      </w:r>
      <w:r>
        <w:rPr>
          <w:rFonts w:ascii="Times New Roman" w:cs="Times New Roman" w:eastAsia="Times New Roman" w:hAnsi="Times New Roman"/>
          <w:sz w:val="18"/>
          <w:szCs w:val="18"/>
          <w:color w:val="242424"/>
        </w:rPr>
        <w:t>equipment, machines and assets funded thereby.</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 w:cs="Times New Roman" w:eastAsia="Times New Roman" w:hAnsi="Times New Roman"/>
          <w:sz w:val="18"/>
          <w:szCs w:val="18"/>
          <w:color w:val="242424"/>
        </w:rPr>
        <w:t>As of</w:t>
      </w:r>
      <w:r>
        <w:rPr>
          <w:rFonts w:ascii="Times New Roman" w:cs="Times New Roman" w:eastAsia="Times New Roman" w:hAnsi="Times New Roman"/>
          <w:sz w:val="18"/>
          <w:szCs w:val="18"/>
          <w:color w:val="auto"/>
        </w:rPr>
        <w:t xml:space="preserve"> March 31, 2022</w:t>
      </w:r>
      <w:r>
        <w:rPr>
          <w:rFonts w:ascii="Times New Roman" w:cs="Times New Roman" w:eastAsia="Times New Roman" w:hAnsi="Times New Roman"/>
          <w:sz w:val="18"/>
          <w:szCs w:val="18"/>
          <w:color w:val="242424"/>
        </w:rPr>
        <w:t>, no amounts were outstanding under the SIDF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CONTINGENT FORWARD CONTRACTS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8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120"/>
        <w:spacing w:after="0" w:line="258" w:lineRule="auto"/>
        <w:rPr>
          <w:sz w:val="20"/>
          <w:szCs w:val="20"/>
          <w:color w:val="auto"/>
        </w:rPr>
      </w:pPr>
      <w:r>
        <w:rPr>
          <w:rFonts w:ascii="Times New Roman" w:cs="Times New Roman" w:eastAsia="Times New Roman" w:hAnsi="Times New Roman"/>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 Convertible Preferred Stock.</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 Convertible Preferred Stock for more information.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condensed consolidated statements of operations.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$442.2 million fair value remeasurement loss related to the contingent forward contract liability for the three months ended March 31, 2021. Final fair value of the contingent forward contract liability of $1.2 billion was reclassified into Series E convertible preferred stock upon the fourth closing in April 2021. There was no related outstanding contingent forward contract liability as of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Series E convertible preferred stock contingent forward contract liability for the third closing was determined using a forward payoff.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inputs used in determining the fair value on the issuance date and settlement date,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Series E convertible preferred share</w:t>
            </w:r>
          </w:p>
        </w:tc>
        <w:tc>
          <w:tcPr>
            <w:tcW w:w="3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r>
    </w:tbl>
    <w:p>
      <w:pPr>
        <w:spacing w:after="0" w:line="27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CONVERTIBLE PREFERRED STOCK WARRANT LIABILITY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condensed consolidated statements of operations. 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condensed consolidated statements of operations for the three months ended March 31, 2021.</w:t>
      </w:r>
    </w:p>
    <w:p>
      <w:pPr>
        <w:sectPr>
          <w:pgSz w:w="11900" w:h="16838" w:orient="portrait"/>
          <w:cols w:equalWidth="0" w:num="1">
            <w:col w:w="11240"/>
          </w:cols>
          <w:pgMar w:left="320" w:top="985"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9 - COMMON STOCK WARRANT LIABILITY</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July 23, 2021, in connection with the reverse recapitalization treatment of the Merger, the Company effectively issued 44,350,000 Private Placement Warrants to purchase shares of Lucid’s common stock. The Private Placement Warrants were initially recognized as a liability with a fair value of $812.0 million and was remeasured to fair value of $1,394.8 million as of December 31, 2021. The Private Placement Warrants remained unexercised and were remeasured to fair value of $871.5 million as of March 31, 2022, resulting in a gain of $523.3 million for the three months ended March 31, 2022 recognized in the condensed consolidated statements of operations.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 Earnback Shares and Warrants for more information.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Private Placement Warrants that were subject to the contingent forfeiture provisions was initially estimated using a Monte-Carlo simulation to estimate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23, 2021</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Tranche 1 with $20.00 VWAP threshold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Tranche 2 with $25.00 VWAP threshold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Tranche 3 with $30.00 VWAP threshold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that are not subject to the contingent forfeiture provisions was estimated using a Black-Scholes option pricing model, and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Private Placement Warrants 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85.00 %</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March 31, 2022 and December 31, 2021, there were no issued and outstanding shares of convertible preferred stock.</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was carried at its issuance price, net of issuance costs.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w:t>
      </w:r>
    </w:p>
    <w:p>
      <w:pPr>
        <w:sectPr>
          <w:pgSz w:w="11900" w:h="16838" w:orient="portrait"/>
          <w:cols w:equalWidth="0" w:num="1">
            <w:col w:w="11240"/>
          </w:cols>
          <w:pgMar w:left="320" w:top="98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Company Repurchase (Series C - August 2020)</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condensed consolidated balance sheet as of December 31, 2020 related to the difference in fair value and carrying value of the Series C stock repurchased.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Company Repurchase (Series C - December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2020, the Company entered into a Stock Repurchase Agreement with Blitz Technology Hong Kong Co. Limited (“Blitz”).</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Fifth Company Repurchase (Series B - December 2020)</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Stock Issuance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See activities related to the PIF Convertible Notes and Series D convertible preferred stock funding as below (in thousands):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Series D received in October 2019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forward contract liability reclassified to Series D in March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Series D received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forward contract liability reclassified to Series D in June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Conversion of preferred stock warrant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Reclassification of preferred stock warrant liability to Series D in February 2021</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proceeds of Series 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497" w:hanging="497"/>
        <w:spacing w:after="0"/>
        <w:tabs>
          <w:tab w:leader="none" w:pos="49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271,985</w:t>
      </w:r>
    </w:p>
    <w:p>
      <w:pPr>
        <w:spacing w:after="0" w:line="38" w:lineRule="exact"/>
        <w:rPr>
          <w:rFonts w:ascii="Times New Roman" w:cs="Times New Roman" w:eastAsia="Times New Roman" w:hAnsi="Times New Roman"/>
          <w:sz w:val="17"/>
          <w:szCs w:val="17"/>
          <w:color w:val="auto"/>
        </w:rPr>
      </w:pPr>
    </w:p>
    <w:p>
      <w:pPr>
        <w:ind w:left="4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w:t>
      </w:r>
    </w:p>
    <w:p>
      <w:pPr>
        <w:spacing w:after="0" w:line="34" w:lineRule="exact"/>
        <w:rPr>
          <w:rFonts w:ascii="Times New Roman" w:cs="Times New Roman" w:eastAsia="Times New Roman" w:hAnsi="Times New Roman"/>
          <w:sz w:val="17"/>
          <w:szCs w:val="17"/>
          <w:color w:val="auto"/>
        </w:rPr>
      </w:pPr>
    </w:p>
    <w:p>
      <w:pPr>
        <w:ind w:left="4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400,000</w:t>
      </w:r>
    </w:p>
    <w:p>
      <w:pPr>
        <w:spacing w:after="0" w:line="34" w:lineRule="exact"/>
        <w:rPr>
          <w:rFonts w:ascii="Times New Roman" w:cs="Times New Roman" w:eastAsia="Times New Roman" w:hAnsi="Times New Roman"/>
          <w:sz w:val="17"/>
          <w:szCs w:val="17"/>
          <w:color w:val="auto"/>
        </w:rPr>
      </w:pPr>
    </w:p>
    <w:p>
      <w:pPr>
        <w:ind w:left="4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w:t>
      </w:r>
    </w:p>
    <w:p>
      <w:pPr>
        <w:spacing w:after="0" w:line="34"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18,180</w:t>
      </w:r>
    </w:p>
    <w:p>
      <w:pPr>
        <w:spacing w:after="0" w:line="34" w:lineRule="exact"/>
        <w:rPr>
          <w:rFonts w:ascii="Times New Roman" w:cs="Times New Roman" w:eastAsia="Times New Roman" w:hAnsi="Times New Roman"/>
          <w:sz w:val="17"/>
          <w:szCs w:val="17"/>
          <w:color w:val="auto"/>
        </w:rPr>
      </w:pPr>
    </w:p>
    <w:p>
      <w:pPr>
        <w:ind w:left="4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w:t>
      </w:r>
    </w:p>
    <w:p>
      <w:pPr>
        <w:spacing w:after="0" w:line="34"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21,384</w:t>
      </w:r>
    </w:p>
    <w:p>
      <w:pPr>
        <w:spacing w:after="0" w:line="34" w:lineRule="exact"/>
        <w:rPr>
          <w:rFonts w:ascii="Times New Roman" w:cs="Times New Roman" w:eastAsia="Times New Roman" w:hAnsi="Times New Roman"/>
          <w:sz w:val="17"/>
          <w:szCs w:val="17"/>
          <w:color w:val="auto"/>
        </w:rPr>
      </w:pPr>
    </w:p>
    <w:p>
      <w:pPr>
        <w:ind w:left="6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w:t>
      </w:r>
    </w:p>
    <w:p>
      <w:pPr>
        <w:spacing w:after="0" w:line="34" w:lineRule="exact"/>
        <w:rPr>
          <w:rFonts w:ascii="Times New Roman" w:cs="Times New Roman" w:eastAsia="Times New Roman" w:hAnsi="Times New Roman"/>
          <w:sz w:val="17"/>
          <w:szCs w:val="17"/>
          <w:color w:val="auto"/>
        </w:rPr>
      </w:pPr>
    </w:p>
    <w:p>
      <w:pPr>
        <w:ind w:left="6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7454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3" w:lineRule="exact"/>
        <w:rPr>
          <w:sz w:val="20"/>
          <w:szCs w:val="20"/>
          <w:color w:val="auto"/>
        </w:rPr>
      </w:pPr>
    </w:p>
    <w:p>
      <w:pPr>
        <w:ind w:left="357" w:hanging="357"/>
        <w:spacing w:after="0"/>
        <w:tabs>
          <w:tab w:leader="none" w:pos="3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745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7454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776" w:lineRule="exact"/>
        <w:rPr>
          <w:sz w:val="20"/>
          <w:szCs w:val="20"/>
          <w:color w:val="auto"/>
        </w:rPr>
      </w:pPr>
    </w:p>
    <w:p>
      <w:pPr>
        <w:sectPr>
          <w:pgSz w:w="11900" w:h="16838" w:orient="portrait"/>
          <w:cols w:equalWidth="0" w:num="2">
            <w:col w:w="9363" w:space="720"/>
            <w:col w:w="1137"/>
          </w:cols>
          <w:pgMar w:left="320" w:top="985" w:right="359" w:bottom="1440" w:gutter="0" w:footer="0" w:header="0"/>
        </w:sectPr>
      </w:pP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upon closing of the SPAE, the Company received the full first tranche of $500.0 million in funding in exchange for 167,273,525 Series 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as the requirement for the first milestones were met prior to execution of the purchase agreement. Subsequently,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satisfied certain of the second set of milestones and received a waiver from PIF for the remaining milestones; and on December 24, 2020,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provided $400.0 million of funding in exchange for 133,818,821 shares as the final issuance of Series E convertible preferred stock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milestones. Upon final settlement, the Company re-valued the liability associated with the contingent forward contract to the then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 million from a contingent liability of $0.8 million and derecognized the liability as the contract was settled in its entirety. The Company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fair value of $109.7 million in the condensed consolidated statements of operations and reclassified the liability into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on the Company’s condensed consolidated balance sheets as of December 31, 2020.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2021, the Company issued 66,909,408 Series E convertible preferred stock from the fourth closing at $2.99 per share for cash consideration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23" w:name="page24"/>
    <w:bookmarkEnd w:id="23"/>
    <w:p>
      <w:pPr>
        <w:ind w:right="220"/>
        <w:spacing w:after="0" w:line="282" w:lineRule="auto"/>
        <w:rPr>
          <w:sz w:val="20"/>
          <w:szCs w:val="20"/>
          <w:color w:val="auto"/>
        </w:rPr>
      </w:pPr>
      <w:r>
        <w:rPr>
          <w:rFonts w:ascii="Times New Roman" w:cs="Times New Roman" w:eastAsia="Times New Roman" w:hAnsi="Times New Roman"/>
          <w:sz w:val="18"/>
          <w:szCs w:val="18"/>
          <w:color w:val="auto"/>
        </w:rPr>
        <w:t>Along with the execution of Amendment No. 1, the Company also increased the authorized number of common shares and convertible preferred stock to 1,316,758,889 and 1,155,909,398 stock,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March 31, 2022 and December 31, 2021, there were no issued and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activity of the Company’s issued and outstanding public warrants was as follows:</w:t>
            </w:r>
          </w:p>
        </w:tc>
        <w:tc>
          <w:tcPr>
            <w:tcW w:w="1680" w:type="dxa"/>
            <w:vAlign w:val="bottom"/>
          </w:tcPr>
          <w:p>
            <w:pPr>
              <w:spacing w:after="0"/>
              <w:rPr>
                <w:sz w:val="20"/>
                <w:szCs w:val="20"/>
                <w:color w:val="auto"/>
              </w:rPr>
            </w:pPr>
          </w:p>
        </w:tc>
      </w:tr>
      <w:tr>
        <w:trPr>
          <w:trHeight w:val="418"/>
        </w:trPr>
        <w:tc>
          <w:tcPr>
            <w:tcW w:w="9560" w:type="dxa"/>
            <w:vAlign w:val="bottom"/>
          </w:tcPr>
          <w:p>
            <w:pPr>
              <w:spacing w:after="0"/>
              <w:rPr>
                <w:sz w:val="24"/>
                <w:szCs w:val="24"/>
                <w:color w:val="auto"/>
              </w:rPr>
            </w:pP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95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issued in connection with Merger on July 23,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41,400,000</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public warrants exercised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(41,034,197)</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redeemed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(365,803)</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public warrants as of December 31, 2021</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fiscal year 2021, the Company repurchased an aggregate of 857,825 shares of its common stock, including 712,742 shares from certain employees and 145,083 shares from directors of the Company’s predecessor, Atieva, Inc. at $24.15 per share. No common stock was repurchased for the three months ended March 31,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Issuance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reserved for future issuances as of March 31, 2022 and December 31, 2021,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 to purchase common stock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50,700,238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64,119,902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34,235,618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48,234,611</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grants under equity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24,781,391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16,761,960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convertible note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190,805,032</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210,204,258</w:t>
            </w:r>
          </w:p>
        </w:tc>
      </w:tr>
      <w:tr>
        <w:trPr>
          <w:trHeight w:val="20"/>
        </w:trPr>
        <w:tc>
          <w:tcPr>
            <w:tcW w:w="8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 EARNBACK SHARES AND WARRANTS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2022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7"/>
        </w:trPr>
        <w:tc>
          <w:tcPr>
            <w:tcW w:w="5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9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5240" w:type="dxa"/>
            <w:vAlign w:val="bottom"/>
          </w:tcPr>
          <w:p>
            <w:pPr>
              <w:spacing w:after="0"/>
              <w:rPr>
                <w:sz w:val="17"/>
                <w:szCs w:val="17"/>
                <w:color w:val="auto"/>
              </w:rPr>
            </w:pPr>
          </w:p>
        </w:tc>
        <w:tc>
          <w:tcPr>
            <w:tcW w:w="116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9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Intrinsic Value (in</w:t>
            </w:r>
          </w:p>
        </w:tc>
      </w:tr>
      <w:tr>
        <w:trPr>
          <w:trHeight w:val="238"/>
        </w:trPr>
        <w:tc>
          <w:tcPr>
            <w:tcW w:w="524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4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7"/>
        </w:trPr>
        <w:tc>
          <w:tcPr>
            <w:tcW w:w="5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64,119,902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2,370,666</w:t>
            </w: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
        </w:trPr>
        <w:tc>
          <w:tcPr>
            <w:tcW w:w="5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(12,103,110)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canceled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50,700,238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1,231,047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3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March 31, 2022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33,233,881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814,996</w:t>
            </w:r>
          </w:p>
        </w:tc>
      </w:tr>
      <w:tr>
        <w:trPr>
          <w:trHeight w:val="20"/>
        </w:trPr>
        <w:tc>
          <w:tcPr>
            <w:tcW w:w="5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March 31, 2022, unrecognized stock-based compensation cost related to outstanding unvested stock options that are expected to vest was $10.2 million, which is expected to be recognized over a weighted-average period of 2.3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award activity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20" w:type="dxa"/>
            <w:vAlign w:val="bottom"/>
          </w:tcPr>
          <w:p>
            <w:pPr>
              <w:spacing w:after="0"/>
              <w:rPr>
                <w:sz w:val="12"/>
                <w:szCs w:val="12"/>
                <w:color w:val="auto"/>
              </w:rPr>
            </w:pPr>
          </w:p>
        </w:tc>
        <w:tc>
          <w:tcPr>
            <w:tcW w:w="11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32,210,200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16,024,411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48,234,611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1,615,027</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(1,174,633)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(13,934,271)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(15,108,904)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(505,116)</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March 31, 2022, unrecognized stock-based compensation cost related to outstanding unvested time-based RSUs that are expected to vest was $476.2 million, which is expected to be recognized over a weighted-average period of 2.5 years.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performance-based RSUs granted to the CEO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4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5" w:name="page26"/>
    <w:bookmarkEnd w:id="25"/>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recognizes compensation expense on a graded vesting schedule over the requisite vesting period for the time-based awards and over the derived service period for the CEO performance-based awards. Stock-based compensation expense is recognized when the relevant performance condition is considered probable of achievement for the performance-based award. In the three months ended March 31, 2022, the market capitalization condition was met for the CEO performance-based awards for four of the five tranches and certified by the Board of Directors, representing an aggregate of 13,934,271 performance RSUs. We recorded stock-based compensation expense of $85.4 million for the four tranches during the three months ended March 31, 2022, and no such expense was recognized in the same period prior year. As of March 31, 2022, the unamortized expense for the fifth tranche, representing 2,090,140 RSUs, was $16.8 million which will be recognized over a period of 1.5 years. For the three months ended March 31, 2022, the Company withheld approximately 8.0 million shares of common stock by net settlement to meet the related tax withholding requirements related to the CEO time-based and performance-based RSUs.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employee and nonemployee stock-based compensation expense for the three months ended March 31, 2022 and 2021, is classified in the condensed consolidated statements of operations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174,551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104,795</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balances for the operating and finance leases where the Company is the lessee are presented as follows within the Company’s condensed consolidated balance sheet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spacing w:after="0"/>
              <w:rPr>
                <w:sz w:val="17"/>
                <w:szCs w:val="17"/>
                <w:color w:val="auto"/>
              </w:rPr>
            </w:pPr>
          </w:p>
        </w:tc>
        <w:tc>
          <w:tcPr>
            <w:tcW w:w="40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161,974</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spacing w:after="0"/>
              <w:rPr>
                <w:sz w:val="23"/>
                <w:szCs w:val="23"/>
                <w:color w:val="auto"/>
              </w:rPr>
            </w:pPr>
          </w:p>
        </w:tc>
        <w:tc>
          <w:tcPr>
            <w:tcW w:w="4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185,323</w:t>
            </w: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201,964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assets</w:t>
            </w:r>
          </w:p>
        </w:tc>
        <w:tc>
          <w:tcPr>
            <w:tcW w:w="40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4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40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0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60" w:type="dxa"/>
            <w:vAlign w:val="bottom"/>
            <w:vMerge w:val="restart"/>
          </w:tcPr>
          <w:p>
            <w:pPr>
              <w:jc w:val="right"/>
              <w:ind w:right="279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5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40" w:type="dxa"/>
            <w:vAlign w:val="bottom"/>
            <w:tcBorders>
              <w:bottom w:val="single" w:sz="8" w:color="9A9A9A"/>
            </w:tcBorders>
          </w:tcPr>
          <w:p>
            <w:pPr>
              <w:spacing w:after="0"/>
              <w:rPr>
                <w:sz w:val="11"/>
                <w:szCs w:val="11"/>
                <w:color w:val="auto"/>
              </w:rPr>
            </w:pPr>
          </w:p>
        </w:tc>
        <w:tc>
          <w:tcPr>
            <w:tcW w:w="4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components of lease expense are as follows within the Company’s condensed consolidated statement of operations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expense: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6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r>
      <w:tr>
        <w:trPr>
          <w:trHeight w:val="22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lease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7"/>
        </w:trPr>
        <w:tc>
          <w:tcPr>
            <w:tcW w:w="8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short-term leases, which are immaterial.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where the Company is the lessee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10.98 %</w:t>
            </w: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maturities of the Company’s operating and finance lease liabilities (excluding short-term leases)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had $803.6 million and $286.0 million in commitments related to the Arizona manufacturing plant and equipment. These commitments represent future expected payments on open purchase orders entered into as of March 31, 2022 and December 31,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right="260"/>
        <w:spacing w:after="0" w:line="262"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 entered into a non-cancellable long-term commitment to purchase certain inventory components. The estimated future payments having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remaining term in excess of one year as of March 31, 2022 was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37"/>
        </w:trPr>
        <w:tc>
          <w:tcPr>
            <w:tcW w:w="9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60" w:type="dxa"/>
            <w:vAlign w:val="bottom"/>
          </w:tcPr>
          <w:p>
            <w:pPr>
              <w:spacing w:after="0"/>
              <w:rPr>
                <w:sz w:val="11"/>
                <w:szCs w:val="11"/>
                <w:color w:val="auto"/>
              </w:rPr>
            </w:pPr>
          </w:p>
        </w:tc>
        <w:tc>
          <w:tcPr>
            <w:tcW w:w="112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214"/>
        </w:trPr>
        <w:tc>
          <w:tcPr>
            <w:tcW w:w="99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0" w:type="dxa"/>
            <w:vAlign w:val="bottom"/>
          </w:tcPr>
          <w:p>
            <w:pPr>
              <w:spacing w:after="0"/>
              <w:rPr>
                <w:sz w:val="1"/>
                <w:szCs w:val="1"/>
                <w:color w:val="auto"/>
              </w:rPr>
            </w:pP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0" w:type="dxa"/>
            <w:vAlign w:val="bottom"/>
          </w:tcPr>
          <w:p>
            <w:pPr>
              <w:spacing w:after="0"/>
              <w:rPr>
                <w:sz w:val="1"/>
                <w:szCs w:val="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0" w:type="dxa"/>
            <w:vAlign w:val="bottom"/>
          </w:tcPr>
          <w:p>
            <w:pPr>
              <w:spacing w:after="0"/>
              <w:rPr>
                <w:sz w:val="1"/>
                <w:szCs w:val="1"/>
                <w:color w:val="auto"/>
              </w:rPr>
            </w:pPr>
          </w:p>
        </w:tc>
      </w:tr>
      <w:tr>
        <w:trPr>
          <w:trHeight w:val="223"/>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0" w:type="dxa"/>
            <w:vAlign w:val="bottom"/>
          </w:tcPr>
          <w:p>
            <w:pPr>
              <w:spacing w:after="0"/>
              <w:rPr>
                <w:sz w:val="1"/>
                <w:szCs w:val="1"/>
                <w:color w:val="auto"/>
              </w:rPr>
            </w:pPr>
          </w:p>
        </w:tc>
      </w:tr>
      <w:tr>
        <w:trPr>
          <w:trHeight w:val="21"/>
        </w:trPr>
        <w:tc>
          <w:tcPr>
            <w:tcW w:w="9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Capital Corp. IV and Atieva, Inc. and certain projections and statements. The Company is cooperating fully with the SEC in its review.</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April 1, 2022, a putative class action was filed by purported shareholder Victor Mangino under federal securities laws against Lucid Group, Inc. and certain officers of the Company relating to statements updating projections and guidance provided in the late 2021 to early 2022 timeframe. The complaint was filed in the Northern District of California, captioned Victor W. Mangino v. Lucid Group, Inc., et al., Case No. 3:22-cv-02094-JD. The complaint names as defendants Lucid Group, Inc. and the Company’s chief executive officer and chief financial officer, and generally alleges that defendants purportedly made false or misleading statements regarding delivery and revenue projections and related matters. The complaint seeks certification of the action as a class action as well as compensatory damages, interest thereon, and attorneys’ fees and expenses.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ectPr>
          <w:pgSz w:w="11900" w:h="16838" w:orient="portrait"/>
          <w:cols w:equalWidth="0" w:num="1">
            <w:col w:w="11240"/>
          </w:cols>
          <w:pgMar w:left="320" w:top="981"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$35.3 million and $30.4 million as of March 31, 2022 and December 31, 2021, respectively, for which no liabilities are recorded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Company's provision from income taxes for interim periods is determined using its effective tax rate that </w:t>
      </w:r>
      <w:r>
        <w:rPr>
          <w:rFonts w:ascii="Times New Roman" w:cs="Times New Roman" w:eastAsia="Times New Roman" w:hAnsi="Times New Roman"/>
          <w:sz w:val="18"/>
          <w:szCs w:val="18"/>
          <w:color w:val="000000"/>
        </w:rPr>
        <w:t>arise during the period.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quarterly tax provision is subject to variation due to several factors, including variability in pre-tax income (or loss), the mix of jurisdictions to which such income relates, changes in how the Company does business, and tax law developments.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2022 and the same period prior year differs from the U.S. statutory rate of 21% as a result of our U.S. losses for which no benefit will be realized, as well as state taxes and our foreign operations which are subject to tax rates that differ from those in the United States. The Company recorded an income tax provision for the three months ended March 31, 2022 of $0.3 million as compared to $4 thousand for the same period in the prior year. The increase in the income tax provision was driven by the increased activities in foreign jurisdictions. This resulted in an effective tax rate of (0.4)% for the three months ended March 31, 2022, and 0.0% for the same period prior year.</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 xml:space="preserve">There were no material changes to the Company’s unrecognized tax benefits during the three months ended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xml:space="preserve">, and the </w:t>
      </w:r>
      <w:r>
        <w:rPr>
          <w:rFonts w:ascii="Times New Roman" w:cs="Times New Roman" w:eastAsia="Times New Roman" w:hAnsi="Times New Roman"/>
          <w:sz w:val="18"/>
          <w:szCs w:val="18"/>
          <w:color w:val="000000"/>
        </w:rPr>
        <w:t>Company does not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expect to have any significant changes to unrecognized tax benefits through the end of the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NET LOSS PER SHARE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are calculated as follows (in thousands, except share and per share amounts):</w:t>
      </w:r>
    </w:p>
    <w:p>
      <w:pPr>
        <w:spacing w:after="0" w:line="25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(747,952)</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dividend related to the issuance of Series E convertible preferred stock</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(2,167,333)</w:t>
            </w:r>
          </w:p>
        </w:tc>
        <w:tc>
          <w:tcPr>
            <w:tcW w:w="0" w:type="dxa"/>
            <w:vAlign w:val="bottom"/>
          </w:tcPr>
          <w:p>
            <w:pPr>
              <w:spacing w:after="0"/>
              <w:rPr>
                <w:sz w:val="1"/>
                <w:szCs w:val="1"/>
                <w:color w:val="auto"/>
              </w:rPr>
            </w:pPr>
          </w:p>
        </w:tc>
      </w:tr>
      <w:tr>
        <w:trPr>
          <w:trHeight w:val="248"/>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(2,915,285)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1,654,322,379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32,650,874</w:t>
            </w:r>
          </w:p>
        </w:tc>
        <w:tc>
          <w:tcPr>
            <w:tcW w:w="0" w:type="dxa"/>
            <w:vAlign w:val="bottom"/>
          </w:tcPr>
          <w:p>
            <w:pPr>
              <w:spacing w:after="0"/>
              <w:rPr>
                <w:sz w:val="1"/>
                <w:szCs w:val="1"/>
                <w:color w:val="auto"/>
              </w:rPr>
            </w:pPr>
          </w:p>
        </w:tc>
      </w:tr>
      <w:tr>
        <w:trPr>
          <w:trHeight w:val="270"/>
        </w:trPr>
        <w:tc>
          <w:tcPr>
            <w:tcW w:w="8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5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1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Excluded Securities</w:t>
            </w:r>
          </w:p>
        </w:tc>
        <w:tc>
          <w:tcPr>
            <w:tcW w:w="12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(on an as-converted basis)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411,875,942</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 to purchase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to purchase common stock</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50,700,238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13,394,808</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34,235,618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convertible note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166,023,641</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425,270,750</w:t>
            </w:r>
          </w:p>
        </w:tc>
      </w:tr>
      <w:tr>
        <w:trPr>
          <w:trHeight w:val="20"/>
        </w:trPr>
        <w:tc>
          <w:tcPr>
            <w:tcW w:w="8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2,090,140 shares of common stock equivalents subject to RSUs are excluded from the anti-dilutive table above as the underlying shares remain contingently issuable since the market conditions have not been satisfied as of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EMPLOYEE BENEFIT PLAN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months ended March 31,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Contract</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an agreement with The Klein Group, LLC (“Klein”), an affiliate of Churchill Sponsor IV LLC who owns more than 5% of our common stock. Pursuant to the agreement, Klein will provide strategic advice and assistance in connection with capital markets and other strategic matters. The cost incurred under the agreement was $0.3 million for the three months ended March 31, 2022, and $2.3 million in the aggregate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February 2022, we entered into a lease agreement with KAEC, an affiliate of PIF, for its first international manufacturing plant in the Kingdom of Saudi Arabia. The lease has an initial term of 25 years expiring in Year 2047. As of March 31, 2022, the right-of-use assets and lease liabilities related to this lease were $5.1 million and $5.2 million, respectively. The lease expense recorded during the three months ended March 31, 2022 was immaterial.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for the three months ended March 31, 2022, the Company evaluated subsequent events and concluded there were no subsequent events that required recognition in the condensed consolidated financial statements.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April 20, 2022, Lucid LLC, a wholly owned subsidiary of Lucid Group, Inc. (collectively, the “Company”), entered into a binding letter of undertaking (the “Letter of Undertaking”) with the Ministry of Finance of the Kingdom of Saudi Arabia (“KSA”). Under the terms of the Letter of Undertaking, the Government of KSA and its entities and corporate subsidiaries (collectively, the “Kingdom”) undertake to purchase up to 100,000 vehicles from the Company over a ten-year period, with an initial commitment to purchase 50,000 vehicles and an option to purchase up to an additional 50,000 vehicles during such ten-year period. The purchase price is determined by the lower of (i) the standard retail price for the applicable vehicle in the KSA; and (ii) the standard retail price for the applicable vehicle in the United States, plus actual cost of logistics, importing, and other actual costs of delivering and homologating vehicles to KSA regulations. The order quantity by the Kingdom will initially range from 1,000 and 2,000 vehicles annually and increase to between 4,000 and 7,000 vehicles annually starting in 2025 unless otherwise agreed by the Kingdom and the Company. The delivery of the vehicles is required to commence no later than the second quarter of 2023.</w:t>
      </w:r>
    </w:p>
    <w:p>
      <w:pPr>
        <w:spacing w:after="0" w:line="18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April 29, 2022, Lucid LLC entered into a revolving credit facility agreement (the “GIB Facility Agreement”) with Gulf International Bank (“GIB”). GIB is an affiliate of PIF, which is an affiliate of Ayar, the controlling stockholder of the Company. The GIB Facility Agreement provides for two committed revolving credit facilities in an aggregate principal amount of SAR 1 billion (approximately $266.7 million). SAR</w:t>
      </w:r>
    </w:p>
    <w:p>
      <w:pPr>
        <w:sectPr>
          <w:pgSz w:w="11900" w:h="16838" w:orient="portrait"/>
          <w:cols w:equalWidth="0" w:num="1">
            <w:col w:w="11240"/>
          </w:cols>
          <w:pgMar w:left="320" w:top="985"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650 million (approximately $173.3 million) under the GIB Facility Agreement is available as bridge financing (the “Bridge Facility”) of Lucid LLC’s capital expenditures in connection with the KSA Facility. The remaining SAR 350 million (approximately $93.3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Commitments under the GIB Facility Agreement will terminate, and all amounts then outstanding thereunder will become payable, on the third anniversary of the GIB Facility Agreement. The GIB Facility Agreement contains certain conditions precedent to drawdowns, representations and warranties and covenants of Lucid LLC and events of default.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Annual Report on Form 10-K for the year ended December 31, 2021, filed with the SEC on February 28, 2022.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Times New Roman" w:cs="Times New Roman" w:eastAsia="Times New Roman" w:hAnsi="Times New Roman"/>
          <w:sz w:val="18"/>
          <w:szCs w:val="18"/>
          <w:i w:val="1"/>
          <w:iCs w:val="1"/>
          <w:color w:val="auto"/>
        </w:rPr>
        <w:t>ESS</w:t>
      </w:r>
      <w:r>
        <w:rPr>
          <w:rFonts w:ascii="Times New Roman" w:cs="Times New Roman" w:eastAsia="Times New Roman" w:hAnsi="Times New Roman"/>
          <w:sz w:val="18"/>
          <w:szCs w:val="18"/>
          <w:color w:val="auto"/>
        </w:rPr>
        <w:t>”) products. ESS is a technologically adjacent opportunity which can leverage the modular design of our battery packs and our extensive experience with battery pack and battery management systems.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Business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affect our cost structure as well as our ability and the ability of our suppliers to obtain parts, components and manufacturing equipment on a timely basis for the foreseeable future.</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w:t>
      </w:r>
    </w:p>
    <w:p>
      <w:pPr>
        <w:sectPr>
          <w:pgSz w:w="11900" w:h="16838" w:orient="portrait"/>
          <w:cols w:equalWidth="0" w:num="1">
            <w:col w:w="11220"/>
          </w:cols>
          <w:pgMar w:left="320" w:top="981" w:right="35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may have on our suppliers and on global logistics. See “Risk Factors” in Part II, Item 1A of this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II, Item 1A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Technology Leadership</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March 31, 2022, we had refundable reservations and non-refundable orders of cars yet to be delivered that reflect potential sales greater than $2.7 billion.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Model</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March 31, 2022, we had opened twenty four Studios and service centers, one in each of New York, New Jersey, Michigan, Texas, Virginia, Washington, and two in each of Arizona, Canada and Illinois, three in Florida, as well nine in California. We expect additional Studios opened in the second quarter of 2022, including our first European location. We also intend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Establishing Manufacturing Capacity</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7"/>
          <w:szCs w:val="17"/>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Pressure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57,675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57,362</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 not meaningful</w:t>
      </w:r>
    </w:p>
    <w:p>
      <w:pPr>
        <w:spacing w:after="0" w:line="2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began generating sales from the deliveries of vehicles in the fourth quarter of 2021. We recognize vehicle sales when the customer obtains control of the vehicle which is upon delivery. We also generate revenue from the sale of battery pack systems, supplies and related services for vehicles to a single customer.</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Revenue increased by $57.4 million for the three months ended March 31, 2022 as compared to the same period prior year, primarily driven by higher customer deliveries of Lucid Air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cost of revenue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245,970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245,885</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 not meaningful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or charges for inventory obsolescence.</w:t>
      </w:r>
    </w:p>
    <w:p>
      <w:pPr>
        <w:spacing w:after="0" w:line="2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Cost of revenue related to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Cost of revenues increased by $245.9 million for the three months ended March 31, 2022 as compared to the same period prior year, primarily due to the manufacture and sale of Lucid Air vehicles in the first quarter of 2022. We incurred significant personnel and overhead costs to operate our large-scale manufacturing facilities while ramping up production, with production activity for a limited quantity of vehicles in the quarter ended March 31, 2022. In the near term, we expect our production volume of vehicles continue to be significantly less than our manufacturing capacity. Additionally, we recorded an impairment charge of $96.4 million in the quarter ended March 31, 2022 to reduce our inventories to their net realizable values. We expect impairment charges could negatively affect our costs of vehicle sales in upcoming periods in the near term as we ramp production volumes up toward our manufacturing capacity.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2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186,076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167,369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223,159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131,652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91,507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2"/>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409,235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299,021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110,214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w:t>
      </w:r>
    </w:p>
    <w:p>
      <w:pPr>
        <w:sectPr>
          <w:pgSz w:w="11900" w:h="16838" w:orient="portrait"/>
          <w:cols w:equalWidth="0" w:num="1">
            <w:col w:w="11240"/>
          </w:cols>
          <w:pgMar w:left="320" w:top="981"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4" w:name="page35"/>
    <w:bookmarkEnd w:id="34"/>
    <w:p>
      <w:pPr>
        <w:spacing w:after="0" w:line="266" w:lineRule="auto"/>
        <w:rPr>
          <w:sz w:val="20"/>
          <w:szCs w:val="20"/>
          <w:color w:val="auto"/>
        </w:rPr>
      </w:pPr>
      <w:r>
        <w:rPr>
          <w:rFonts w:ascii="Times New Roman" w:cs="Times New Roman" w:eastAsia="Times New Roman" w:hAnsi="Times New Roman"/>
          <w:sz w:val="18"/>
          <w:szCs w:val="18"/>
          <w:color w:val="auto"/>
        </w:rPr>
        <w:t>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$18.7 million, or 11%, for the three months ended March 31, 2022 as compared to the same period prior year. The increase was primarily attributable to increases in personnel-related expenses of $45.3 million due to growth in headcount (which included stock-based compensation expense of $36.8 million), partially offset by a decrease of $27.9 million for prototype material, engineering, design and testing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76"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 increased by $91.5 million, or 70%, for the three months ended March 31, 2022 as compared to the same period prior year. The increase was primarily attributable to increases in personnel-related expenses of $61.6 million due to growth in headcount (which included stock-based compensation expense of $24.6 million), and increase in higher utilization of contractors and professional fees by $11.0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other income and expense, net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forward contracts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(442,164)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convertible preferred stock warrant liability</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523,330</w:t>
            </w:r>
          </w:p>
        </w:tc>
        <w:tc>
          <w:tcPr>
            <w:tcW w:w="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523,330</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516,567</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(449,155)</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965,722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 not meaningful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Forward Contracts</w:t>
      </w:r>
    </w:p>
    <w:p>
      <w:pPr>
        <w:spacing w:after="0" w:line="22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Change in contingent forward contracts liability decreased by $442.2 million, or 100%, for the three months ended March 31, 2022 as compared to the same period prior year. The Legacy Lucid Series E contingent forward contracts were settled during six months ended June 30, 2021, and there are no future earnings adjustments pertaining to the contingent forward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Preferred Stock Warrant Liability</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condensed consolidated statements of operations and comprehensive loss. All issued and outstanding shares of Legacy</w:t>
      </w:r>
    </w:p>
    <w:p>
      <w:pPr>
        <w:sectPr>
          <w:pgSz w:w="11900" w:h="16838" w:orient="portrait"/>
          <w:cols w:equalWidth="0" w:num="1">
            <w:col w:w="11240"/>
          </w:cols>
          <w:pgMar w:left="320" w:top="985"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5" w:name="page36"/>
    <w:bookmarkEnd w:id="35"/>
    <w:p>
      <w:pPr>
        <w:ind w:right="220"/>
        <w:spacing w:after="0" w:line="282" w:lineRule="auto"/>
        <w:rPr>
          <w:sz w:val="20"/>
          <w:szCs w:val="20"/>
          <w:color w:val="auto"/>
        </w:rPr>
      </w:pPr>
      <w:r>
        <w:rPr>
          <w:rFonts w:ascii="Times New Roman" w:cs="Times New Roman" w:eastAsia="Times New Roman" w:hAnsi="Times New Roman"/>
          <w:sz w:val="18"/>
          <w:szCs w:val="18"/>
          <w:color w:val="auto"/>
        </w:rPr>
        <w:t>Lucid Series D preferred stock were settled in March 2021 and there will no longer be future earnings adjustments pertaining to the convertible preferred share warrant liability related to Legacy Lucid Series D preferred stock.</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recorded loss of $7.0 million for the three months ended March 31,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Stock Warrant Liability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Our common stock warrant liability relates to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w:t>
      </w:r>
      <w:r>
        <w:rPr>
          <w:rFonts w:ascii="Times New Roman" w:cs="Times New Roman" w:eastAsia="Times New Roman" w:hAnsi="Times New Roman"/>
          <w:sz w:val="18"/>
          <w:szCs w:val="18"/>
          <w:color w:val="000000"/>
        </w:rPr>
        <w:t>condensed</w:t>
      </w:r>
      <w:r>
        <w:rPr>
          <w:rFonts w:ascii="Times New Roman" w:cs="Times New Roman" w:eastAsia="Times New Roman" w:hAnsi="Times New Roman"/>
          <w:sz w:val="18"/>
          <w:szCs w:val="18"/>
          <w:color w:val="231F20"/>
        </w:rPr>
        <w:t xml:space="preserve"> consolidated statements of operations and comprehensive loss.</w:t>
      </w:r>
    </w:p>
    <w:p>
      <w:pPr>
        <w:spacing w:after="0" w:line="18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Private Placement Warrants</w:t>
      </w:r>
      <w:r>
        <w:rPr>
          <w:rFonts w:ascii="Times New Roman" w:cs="Times New Roman" w:eastAsia="Times New Roman" w:hAnsi="Times New Roman"/>
          <w:sz w:val="18"/>
          <w:szCs w:val="18"/>
          <w:color w:val="auto"/>
        </w:rPr>
        <w:t xml:space="preserve"> remained unexercised as of March 31, 2022. The liability was remeasured to fair value, resulting in a gain of $523.3 million for the three months ended March 31, 2022, and was classified within change in fair value of common stock warrant liability in the condensed consolidated statements of operations. See Note 9 - Common Stock Warrant Liability in our condensed consolidated financial statements included elsewhere in this Quarterly Report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contractual interest and amortization of debt discounts and debt issuance costs incurred related to the 2026 Notes issued in December 2021, and interest on our capital leases.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$7.7 million for the three months ended March 31, 2022 as compared to the same period in the prior year, primarily related to the 2026 Notes issued in December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income on money market funds and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did not significantly fluctuate during the three months ended March 31, 2022 as compared to the same period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 not meaningful</w:t>
      </w:r>
    </w:p>
    <w:p>
      <w:pPr>
        <w:spacing w:after="0" w:line="2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increased by $0.3 million for the three months ended March 31, 2022 as compared to the same period prior year, primarily due to changes in taxable income of our foreign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2022, Lucid had $5.4 billion of cash and cash equivalents. Our sources of cash are predominantly from proceeds from Lucid’s de-SPAC transaction with Churchill (plus PIPE), and the issuance of convertible debt.</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ongoing production and manufacturing ramps at existing manufacturing facilities in Casa Grande,</w:t>
      </w:r>
    </w:p>
    <w:p>
      <w:pPr>
        <w:sectPr>
          <w:pgSz w:w="11900" w:h="16838" w:orient="portrait"/>
          <w:cols w:equalWidth="0" w:num="1">
            <w:col w:w="11240"/>
          </w:cols>
          <w:pgMar w:left="320" w:top="985"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Arizona, (iv) Phase 2 of construction at Advanced Manufacturing Plant 1 (“AMP-1”) in Casa Grande, Arizona, (v) the start of construction of a manufacturing facility in the Kingdom of Saudi Arabia, (vi) retail Studios and service centers, and (vii) other initiatives related to the sale of vehicles and/ or technology.</w:t>
      </w:r>
    </w:p>
    <w:p>
      <w:pPr>
        <w:spacing w:after="0" w:line="17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anticipate our cumulative spending on capital expenditures to be in the range of $2.0 billion for the fiscal year 2022 to support our continued commercialization and growth objectives as we strategically invest in manufacturing capacity and capabilities, our retail Studios and service center footprint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March 31, 2022, our total minimum lease payments are $324.5 million, of which $27.3 million is due in the current fiscal year. We also have a non-cancellable long-term commitment of $138.0 million to purchase certain inventory components. For details regarding these obligations, refer to Note 14 - Leases and Note 15 - Commitments and Contingencies.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2021, Lucid entered into a purchase agreement pursuant to which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Manufacturing Expansion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The agreements are estimated to provide financing and incentives of up to $3.4 billion in aggregate over the next 15 years to build and operate a manufacturing facility in the Kingdom. The operations at the new plant would initially consist of re-assembly of Lucid Air vehicle “kits” pre-manufactured in the U.S. and, over time, production of complete vehicles.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27, 2022, Lucid LLC entered into a loan agreement (as subsequently amended, the “SIDF Loan Agreement”) with the SIDF.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to SAR 350 million, commencing on April 3, 2026 and ending on November 12, 2038. SIDF Loans are financing and will be used to finance certain costs in connection with the development and construction of the Company’s planned manufacturing facility in the Kingdom of Saudi Arabia (“the KSA Facility”). Lucid LLC may repay SIDF Loans earlier than the maturity date without penalty. Obligations under the SIDF Loan Agreement do not extend to the Company or any of its other subsidiaries.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SIDF Loans will not bear interest. Instead, Lucid LLC will be required to pay SIDF service fees, consisting of follow-up and technical evaluation fees, ranging, in aggregate, from SAR 415 million (approximately $111 million) to SAR 1.77 billion (approximately $471 million), over the term of the SIDF Loans. SIDF Loans will be secured by security interests in the equipment, machines and assets funded thereby.</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March 31, 2022, no amounts were outstanding under the SIDF Loan Agreement.</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relation to the selection of the Kingdom of Saudi Arabia as the location for the KSA Facility, Lucid LLC entered into agreements with the Ministry of Investment of Saudi Arabia (“MISA”) under which the company will receive economic incentives over time subject to certain conditions.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7" w:name="page38"/>
    <w:bookmarkEnd w:id="37"/>
    <w:p>
      <w:pPr>
        <w:ind w:right="120"/>
        <w:spacing w:after="0" w:line="266" w:lineRule="auto"/>
        <w:rPr>
          <w:sz w:val="20"/>
          <w:szCs w:val="20"/>
          <w:color w:val="auto"/>
        </w:rPr>
      </w:pPr>
      <w:r>
        <w:rPr>
          <w:rFonts w:ascii="Times New Roman" w:cs="Times New Roman" w:eastAsia="Times New Roman" w:hAnsi="Times New Roman"/>
          <w:sz w:val="18"/>
          <w:szCs w:val="18"/>
          <w:color w:val="auto"/>
        </w:rPr>
        <w:t>We have generated significant losses from our operations as reflected in our accumulated deficit of $6.1 billion as of March 31, 2022 and December 31, 2021. Additionally, we have generated significant negative cash flows from operations and investing activities as we continue to support the growth of our business.</w:t>
      </w:r>
    </w:p>
    <w:p>
      <w:pPr>
        <w:spacing w:after="0" w:line="176"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in Part II, Item 1A.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5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(494,649)</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(218,726)</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(185,082)</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(94,779)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(187,301)</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511,098</w:t>
            </w:r>
          </w:p>
        </w:tc>
      </w:tr>
      <w:tr>
        <w:trPr>
          <w:trHeight w:val="20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(867,032)</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197,593</w:t>
            </w:r>
          </w:p>
        </w:tc>
      </w:tr>
      <w:tr>
        <w:trPr>
          <w:trHeight w:val="21"/>
        </w:trPr>
        <w:tc>
          <w:tcPr>
            <w:tcW w:w="8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Net cash used in operating activities of $494.6 million for the three months ended March 31, 2022 primarily consisted of $81.3 million of net loss, adjusted for $201.3 million </w:t>
      </w:r>
      <w:r>
        <w:rPr>
          <w:rFonts w:ascii="Times New Roman" w:cs="Times New Roman" w:eastAsia="Times New Roman" w:hAnsi="Times New Roman"/>
          <w:sz w:val="18"/>
          <w:szCs w:val="18"/>
          <w:color w:val="231F20"/>
        </w:rPr>
        <w:t>of non-cash charges and an increase in net operating assets of $212.1 million. The non-cash charges primarily included gain for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 fair value of common stock warrant liability of $523.3 million, stock-based compensation expense of $174.6 million, write-down of inventory of $96.4 million, and depreciation and amortization of property and equipment of $38.2 million. The increase in net operating assets is primarily due </w:t>
      </w:r>
      <w:r>
        <w:rPr>
          <w:rFonts w:ascii="Times New Roman" w:cs="Times New Roman" w:eastAsia="Times New Roman" w:hAnsi="Times New Roman"/>
          <w:sz w:val="18"/>
          <w:szCs w:val="18"/>
          <w:color w:val="000000"/>
        </w:rPr>
        <w:t>to an increase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operating assets of $341.0 million offset by an increase in operating liabilities of $128.9 million.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$218.7 million for the three months ended March 31, 2021 primarily consisted $748.0 million of net losses, adjusted for $565.2 million of non-cash charges and a decrease in net operating liabilities of $36.0 million. The non-cash charges primarily included the fair value of contingent forward contracts and warrant liabilities of $449.1 million, and convertible preferred stock related expense of $104.8 million. The decrease in net operating liabilities is primarily due to a decrease in operating liabilities of $23.1 million and an increase in operating assets of $12.9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$185.1 million and $94.8 million for the three months ended March 31, 2022 and March 31, 2021, respectively was entirely attributable to 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the issuances of equity securities, including convertible preferred stock, the proceeds of the Merger, and the 2026 Notes.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$187.3 million during the three months ended March 31, 2022 was primarily attributable to $180.6 million of remittance for tax withholding obligations in connection with vesting of the CEO time-based and performance-based RSUs through net settlement, $12.9 million for the payment of short-term insurance financing note and $1.2 million for the payment of finance lease liabilities, partially offset by $9.1 million of proceeds from the exercises of stock options.</w:t>
      </w:r>
    </w:p>
    <w:p>
      <w:pPr>
        <w:sectPr>
          <w:pgSz w:w="11900" w:h="16838" w:orient="portrait"/>
          <w:cols w:equalWidth="0" w:num="1">
            <w:col w:w="11240"/>
          </w:cols>
          <w:pgMar w:left="320" w:top="98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8" w:name="page39"/>
    <w:bookmarkEnd w:id="38"/>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$511.1 million during the three months ended March 31, 2021 was primarily attributable to $507.1 million of proceeds from the issuance of Legacy Lucid Series E preferred stock, $4.3 million of proceeds from the exercises of stock options and $3.0 million of proceeds from the issuance of Legacy Lucid Series D preferred stock, partially offset by $3.0 million cash paid for the repurchase of Legacy Lucid Series B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refer to Part II, Item 7, Critical Accounting Policies and Estimates in our Annual Report on Form 10-K for the year ended December 31, 2021. There have been no material changes to our critical accounting policies and estimates since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due to inflationary pressure.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applicable to our cash and cash equivalents, restricted cash, and short-term investments. We had cash, cash equivalents and restricted cash totaling $5.4 billion as of March 31, 2022. Our cash and cash equivalents was invested primarily in money market funds.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a had material impact on the value of our cash, cash equivalents as of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Pressure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concluded that as of March 31, 2022,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11240"/>
          </w:cols>
          <w:pgMar w:left="320" w:top="985"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that occurred during the fiscal quarter ended March 31, 2022,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For a description of our legal proceedings, please see the description set forth in the “Legal Matters” section in Note 15 – Commitments and Contingencies in the notes to the condensed consolidated financial statements in Item 1 of Part I of this Quarterly Report,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74" w:lineRule="exact"/>
        <w:rPr>
          <w:sz w:val="20"/>
          <w:szCs w:val="20"/>
          <w:color w:val="auto"/>
        </w:rPr>
      </w:pPr>
    </w:p>
    <w:p>
      <w:pPr>
        <w:ind w:left="660" w:right="2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adversely affected, and we cannot predict its ultimate impact on,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investing in our common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each year since our inception and expect to incur increasing expenses and substantial losses for the foreseeable future.</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substantial costs associated with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only a limited number of reservations for the Lucid Air, all of which may be cancelled.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industry has significant barriers to entry that we must overcome in order to manufacture and sell electric vehicles at scale.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may not be successful in competing in this industry.</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initially depend on revenue generated from a single model and in the foreseeable future will be significantly dependent on a limited number of models.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have a third-party retail product distribution and full service network.</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vehicles fail to perform as expected, our ability to develop, market and sell or lease our products could be harmed.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providing charging solutions for our vehicles, both domestically and internationally.</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to date in high volume manufacture of our vehicles.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tool our manufacturing facilities or if our manufacturing facilities become inoperable, we will be unable to produce our vehicles and our business will be harmed.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41" w:name="page42"/>
    <w:bookmarkEnd w:id="41"/>
    <w:p>
      <w:pPr>
        <w:ind w:left="660" w:right="1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67"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could harm our business.</w:t>
      </w:r>
    </w:p>
    <w:p>
      <w:pPr>
        <w:spacing w:after="0" w:line="117"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an inability to attract, retain and motivate qualified personnel may impair our ability to expand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Peter Rawlinson, our Chief Executive Officer and Chief Technology Officer.</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regulatory limitations on our ability to sell vehicles directly, which could materially and adversely affect its ability to sell our vehicles.</w:t>
      </w:r>
    </w:p>
    <w:p>
      <w:pPr>
        <w:spacing w:after="0" w:line="5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support business growth, and this capital might not be available on commercially reasonable terms, or at all.</w:t>
      </w:r>
    </w:p>
    <w:p>
      <w:pPr>
        <w:spacing w:after="0" w:line="11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7" w:lineRule="exact"/>
        <w:rPr>
          <w:rFonts w:ascii="Times New Roman" w:cs="Times New Roman" w:eastAsia="Times New Roman" w:hAnsi="Times New Roman"/>
          <w:sz w:val="18"/>
          <w:szCs w:val="18"/>
          <w:color w:val="auto"/>
        </w:rPr>
      </w:pPr>
    </w:p>
    <w:p>
      <w:pPr>
        <w:jc w:val="both"/>
        <w:ind w:left="660" w:right="6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beneficially owns a significant equity interest in us and may take actions that conflict with other shareholder interests.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Operations</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ongoing COVID-19 pandemic has adversely affected, and we cannot predict its ultimate impact on, our business, results of operations and financial condition.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231F20"/>
        </w:rPr>
        <w:t>The spread of COVID-19 has also periodically disrupted our manufacturing operations and those of our suppliers. For example, the recent COVID-19 outbreak in China and the resulting lockdowns have caused parts supply delays with some impact on manufacturing operations in Arizona. Such disruptions to us and our suppliers have and could continue to negatively impact the production volume of our first vehicle, the Lucid Air sedan, as well other vehicles that we may introduce from time to time. Our manufacturing operations at a limited number of facilities in Casa Grande, Arizona concentrate this risk. In addition, broader impacts of the pandemic have included inflationary pressure, which impact our cost structure.</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In addition, the COVID-19 pandemic has resulted in extreme volatility in the global financial markets, which could increase our cost of capital or limit our ability to access financing when we need it.</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231F20"/>
        </w:rPr>
        <w:t>To address the uncertainties of COVID-19 and to help ensure the safety of our team members, we have implemented a vaccination mandate for certain of our employees and for certain individuals to enter many of our facilities and may implement further similar requirements in the future, which may have an impact on our hiring and/or our workforce and adversely impact our manufacturing capabilities and overall business operations.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The severity, magnitude and duration of the COVID-19 pandemic, including as a result of new variant and subvariant strains such as the Omicron strain and subvariants, and our economic and regulatory consequences are rapidly changing and uncertain. Accordingly, we cannot predict the ultimate impact of the COVID-19 pandemic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limited operating history makes evaluating our business and future prospects difficult and may increase the risk of your investment.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 integrate and retain professional and technical talent, including key members of management;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make significant investments in research, development, manufacturing, marketing and sales;</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obtain, maintain, protect and enforce our intellectual property and defend against claims of intellectual property infringement, misappropriation or other violation;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a well-recognized and respected brand;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refine and scale our commercial manufacturing capabilities and distribution infrastructure;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satisfactory arrangements with third-party suppliers;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expand a customer base;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navigate an evolving and complex regulatory environment;</w:t>
      </w:r>
    </w:p>
    <w:p>
      <w:pPr>
        <w:spacing w:after="0" w:line="117"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 and adapt to changing market conditions, including consumer demand for certain vehicle types, models or trim levels, technological developments and changes in competitive landscape;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design, build, manufacture and market new variants and models of electric vehicles, such as Project Gravity.</w:t>
      </w:r>
    </w:p>
    <w:p>
      <w:pPr>
        <w:sectPr>
          <w:pgSz w:w="11900" w:h="16838" w:orient="portrait"/>
          <w:cols w:equalWidth="0" w:num="1">
            <w:col w:w="11240"/>
          </w:cols>
          <w:pgMar w:left="320" w:top="98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net losses each year since our inception and expect to incur increasing expenses and substantial losses for the foreseeable future.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 xml:space="preserve">We have incurred net losses each year since our inception, including net loss and comprehensive loss of approximately $81.3 million for the three months ended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our accumulated deficit was approximately $6.1 billion. We expect to continue to incur substantial losses and increasing expenses in the foreseeable future as we:</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design, develop and manufacture our vehicles;</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equip and expand our manufacturing facilities to produce our vehicles in Arizona and in international locations such as the Kingdom of Saudi Arabia;</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up inventories of parts and components for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manufacture an available inventory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and deploy vehicle charging partnerships;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design, research, development, maintenance and repair capabilities;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our sales and marketing activities and develop our distribution infrastructure;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general and administrative functions to support our growing operations and status as a public company.</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231F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control the substantial costs associated with our operations.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231F20"/>
        </w:rPr>
        <w:t>In the longer term, our ability to become profitable in the future will depend on our ability not only to control costs,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received only a limited number of reservations for the Lucid Air, all of which may be cancelled.</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Our customers may cancel their reservations without penalty and for any reason until they place an order for their vehicle. Any delays in customer deliveries or the changes in the pricing of the Lucid Air could result in significant customer cancellations. In addition, any event or incident which generates negative media coverage about us or the safety of our vehicles could also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automotive industry has significant barriers to entry that we must overcome in order to manufacture and sell electric vehicles at scale.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w:t>
      </w:r>
    </w:p>
    <w:p>
      <w:pPr>
        <w:sectPr>
          <w:pgSz w:w="11900" w:h="16838" w:orient="portrait"/>
          <w:cols w:equalWidth="0" w:num="1">
            <w:col w:w="11200"/>
          </w:cols>
          <w:pgMar w:left="320" w:top="981" w:right="379" w:bottom="1440" w:gutter="0" w:footer="0" w:header="0"/>
        </w:sect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44" w:name="page45"/>
    <w:bookmarkEnd w:id="44"/>
    <w:p>
      <w:pPr>
        <w:ind w:right="160"/>
        <w:spacing w:after="0" w:line="261" w:lineRule="auto"/>
        <w:rPr>
          <w:sz w:val="20"/>
          <w:szCs w:val="20"/>
          <w:color w:val="auto"/>
        </w:rPr>
      </w:pPr>
      <w:r>
        <w:rPr>
          <w:rFonts w:ascii="Times New Roman" w:cs="Times New Roman" w:eastAsia="Times New Roman" w:hAnsi="Times New Roman"/>
          <w:sz w:val="18"/>
          <w:szCs w:val="18"/>
          <w:color w:val="231F20"/>
        </w:rPr>
        <w:t>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automotive market is highly competitive, and we may not be successful in competing in this industry.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depend on revenue generated from a single model and in the foreseeable future will be significantly dependent on a limited number of models.</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not have a third-party retail product distribution and full service network.</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Third-party dealer networks are the traditional method of vehicle sales distribution and service. Because we plan to sell directly to consumers, we will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IT infrastructure to support them, which may prove costly, time-consuming or ineffective. If our use of an in-house sales, marketing and service team is not effective, our results of operations and financial conditions could be adversely affected.</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sales will depend in part on our ability to establish and maintain confidence in our long-term business prospects among consumers, analysts and others within our industry.</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w:t>
      </w:r>
    </w:p>
    <w:p>
      <w:pPr>
        <w:sectPr>
          <w:pgSz w:w="11900" w:h="16838" w:orient="portrait"/>
          <w:cols w:equalWidth="0" w:num="1">
            <w:col w:w="11220"/>
          </w:cols>
          <w:pgMar w:left="320" w:top="985"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45" w:name="page46"/>
    <w:bookmarkEnd w:id="45"/>
    <w:p>
      <w:pPr>
        <w:ind w:right="40"/>
        <w:spacing w:after="0" w:line="256" w:lineRule="auto"/>
        <w:rPr>
          <w:sz w:val="20"/>
          <w:szCs w:val="20"/>
          <w:color w:val="auto"/>
        </w:rPr>
      </w:pPr>
      <w:r>
        <w:rPr>
          <w:rFonts w:ascii="Times New Roman" w:cs="Times New Roman" w:eastAsia="Times New Roman" w:hAnsi="Times New Roman"/>
          <w:sz w:val="18"/>
          <w:szCs w:val="18"/>
          <w:color w:val="231F20"/>
        </w:rPr>
        <w:t>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generate meaningful product revenue will depend on consumer adoption of electric vehicles.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electric vehicle quality, safety, design, performance and cost;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limited range over which electric vehicles may be driven on a single battery charge;</w:t>
      </w:r>
    </w:p>
    <w:p>
      <w:pPr>
        <w:spacing w:after="0" w:line="117" w:lineRule="exact"/>
        <w:rPr>
          <w:rFonts w:ascii="Times New Roman" w:cs="Times New Roman" w:eastAsia="Times New Roman" w:hAnsi="Times New Roman"/>
          <w:sz w:val="18"/>
          <w:szCs w:val="18"/>
          <w:color w:val="231F20"/>
        </w:rPr>
      </w:pPr>
    </w:p>
    <w:p>
      <w:pPr>
        <w:ind w:left="660" w:right="260" w:hanging="328"/>
        <w:spacing w:after="0" w:line="312" w:lineRule="auto"/>
        <w:tabs>
          <w:tab w:leader="none" w:pos="655"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31"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concerns about electric grid capacity and reliability;</w:t>
      </w:r>
    </w:p>
    <w:p>
      <w:pPr>
        <w:spacing w:after="0" w:line="117" w:lineRule="exact"/>
        <w:rPr>
          <w:rFonts w:ascii="Times New Roman" w:cs="Times New Roman" w:eastAsia="Times New Roman" w:hAnsi="Times New Roman"/>
          <w:sz w:val="18"/>
          <w:szCs w:val="18"/>
          <w:color w:val="231F20"/>
        </w:rPr>
      </w:pPr>
    </w:p>
    <w:p>
      <w:pPr>
        <w:ind w:left="660" w:right="4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other alternative fuel vehicles, including plug-in hybrid electric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improvements in the fuel economy of the internal combustion engine;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and availability of service for electric vehicles, especially in international markets;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in the cost of oil and gasoline;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regulations and economic incentives promoting fuel efficiency and alternate forms of energy;</w:t>
      </w:r>
    </w:p>
    <w:p>
      <w:pPr>
        <w:spacing w:after="0" w:line="117" w:lineRule="exact"/>
        <w:rPr>
          <w:rFonts w:ascii="Times New Roman" w:cs="Times New Roman" w:eastAsia="Times New Roman" w:hAnsi="Times New Roman"/>
          <w:sz w:val="18"/>
          <w:szCs w:val="18"/>
          <w:color w:val="231F20"/>
        </w:rPr>
      </w:pPr>
    </w:p>
    <w:p>
      <w:pPr>
        <w:ind w:left="660" w:right="80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charging stations and cost to charge an electric vehicle, especially in international markets, and related infrastructure costs and standardization;</w:t>
      </w:r>
    </w:p>
    <w:p>
      <w:pPr>
        <w:spacing w:after="0" w:line="53" w:lineRule="exact"/>
        <w:rPr>
          <w:rFonts w:ascii="Times New Roman" w:cs="Times New Roman" w:eastAsia="Times New Roman" w:hAnsi="Times New Roman"/>
          <w:sz w:val="18"/>
          <w:szCs w:val="18"/>
          <w:color w:val="231F20"/>
        </w:rPr>
      </w:pPr>
    </w:p>
    <w:p>
      <w:pPr>
        <w:ind w:left="660" w:right="2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tax and other governmental incentives to purchase and operate electric vehicles or future regulation requiring increased use of nonpolluting vehicles;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macroeconomic factors.</w:t>
      </w:r>
    </w:p>
    <w:p>
      <w:pPr>
        <w:spacing w:after="0" w:line="2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Developments in electric vehicle or alternative fuel technology or improvements in the internal combustion engine may adversely affect the demand for our vehicles.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Extended periods of low gasoline or other petroleum-based fuel prices could adversely affect demand for our vehicles, which would adversely affect our business, prospects, results of operations and financial condition.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unavailability, reduction or elimination of certain government and economic programs could have a material adverse effect on our business, prospects, financial condition and results of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7" w:name="page48"/>
    <w:bookmarkEnd w:id="47"/>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231F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manage our future growth effectively, we may not be able to develop, manufacture, distribute, market and sell our vehicles successfully.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Any failure to manage our growth effectively could materially and adversely affect our business, prospects, results of operations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intend to expand our operations significantly. We expect our future expansion will include:</w:t>
      </w:r>
    </w:p>
    <w:p>
      <w:pPr>
        <w:spacing w:after="0" w:line="9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our management team;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hiring and training new personnel;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or expanding design, manufacturing, sales and service facilities;</w:t>
      </w:r>
    </w:p>
    <w:p>
      <w:pPr>
        <w:spacing w:after="0" w:line="117" w:lineRule="exact"/>
        <w:rPr>
          <w:rFonts w:ascii="Times New Roman" w:cs="Times New Roman" w:eastAsia="Times New Roman" w:hAnsi="Times New Roman"/>
          <w:sz w:val="18"/>
          <w:szCs w:val="18"/>
          <w:color w:val="231F20"/>
        </w:rPr>
      </w:pPr>
    </w:p>
    <w:p>
      <w:pPr>
        <w:ind w:left="660" w:right="7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implementing and enhancing administrative infrastructure, systems and processes, including in connection with our transition to a public company;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into new markets and establishing sales, service and/or manufacturing operations in many of those markets.</w:t>
      </w:r>
    </w:p>
    <w:p>
      <w:pPr>
        <w:spacing w:after="0" w:line="23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231F20"/>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w:t>
      </w:r>
      <w:r>
        <w:rPr>
          <w:rFonts w:ascii="Times New Roman" w:cs="Times New Roman" w:eastAsia="Times New Roman" w:hAnsi="Times New Roman"/>
          <w:sz w:val="18"/>
          <w:szCs w:val="18"/>
          <w:color w:val="000000"/>
        </w:rPr>
        <w:t>pects. Our employee equity program is a key factor in our ability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attract and retain talent and continue to support the growth of the company. If </w:t>
      </w:r>
      <w:r>
        <w:rPr>
          <w:rFonts w:ascii="Times New Roman" w:cs="Times New Roman" w:eastAsia="Times New Roman" w:hAnsi="Times New Roman"/>
          <w:sz w:val="18"/>
          <w:szCs w:val="18"/>
          <w:color w:val="231F20"/>
        </w:rPr>
        <w:t>we are unable to grant equity awards, or if we are forced to reduce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value of equity awards we grant due to shortage of shares available for issuance under our stock incentive plan, we may not be able to attract, hire and retain the personnel necessary for our business, which would have a material adverse effect on our business, prospects financial condition and results of operations.</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addition, we have no experience to date in high volume manufacturing of our vehicles. We cannot assure our investors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84" w:lineRule="exact"/>
        <w:rPr>
          <w:sz w:val="20"/>
          <w:szCs w:val="20"/>
          <w:color w:val="auto"/>
        </w:rPr>
      </w:pPr>
    </w:p>
    <w:p>
      <w:pPr>
        <w:jc w:val="both"/>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ectPr>
          <w:pgSz w:w="11900" w:h="16838" w:orient="portrait"/>
          <w:cols w:equalWidth="0" w:num="1">
            <w:col w:w="11240"/>
          </w:cols>
          <w:pgMar w:left="320" w:top="1008" w:right="3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8" w:name="page49"/>
    <w:bookmarkEnd w:id="48"/>
    <w:p>
      <w:pPr>
        <w:ind w:right="80"/>
        <w:spacing w:after="0" w:line="256" w:lineRule="auto"/>
        <w:rPr>
          <w:sz w:val="20"/>
          <w:szCs w:val="20"/>
          <w:color w:val="auto"/>
        </w:rPr>
      </w:pPr>
      <w:r>
        <w:rPr>
          <w:rFonts w:ascii="Times New Roman" w:cs="Times New Roman" w:eastAsia="Times New Roman" w:hAnsi="Times New Roman"/>
          <w:sz w:val="18"/>
          <w:szCs w:val="18"/>
          <w:color w:val="231F20"/>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and the recent conflict in Ukraine.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vehicles are designed with advanced driver assistance system (“</w:t>
      </w:r>
      <w:r>
        <w:rPr>
          <w:rFonts w:ascii="Times New Roman" w:cs="Times New Roman" w:eastAsia="Times New Roman" w:hAnsi="Times New Roman"/>
          <w:sz w:val="18"/>
          <w:szCs w:val="18"/>
          <w:i w:val="1"/>
          <w:iCs w:val="1"/>
          <w:color w:val="231F20"/>
        </w:rPr>
        <w:t>ADAS</w:t>
      </w:r>
      <w:r>
        <w:rPr>
          <w:rFonts w:ascii="Times New Roman" w:cs="Times New Roman" w:eastAsia="Times New Roman" w:hAnsi="Times New Roman"/>
          <w:sz w:val="18"/>
          <w:szCs w:val="18"/>
          <w:color w:val="231F20"/>
        </w:rPr>
        <w:t xml:space="preserve">”) hardware, and we expect to release a Lucid Air software update and launch Project Gravity with Level 2 (partial automation) ADAS functionality, which we plan to upgrade with additional capabilities over time. </w:t>
      </w:r>
      <w:r>
        <w:rPr>
          <w:rFonts w:ascii="Times New Roman" w:cs="Times New Roman" w:eastAsia="Times New Roman" w:hAnsi="Times New Roman"/>
          <w:sz w:val="18"/>
          <w:szCs w:val="18"/>
          <w:color w:val="000000"/>
        </w:rPr>
        <w:t>ADAS</w:t>
      </w:r>
      <w:r>
        <w:rPr>
          <w:rFonts w:ascii="Times New Roman" w:cs="Times New Roman" w:eastAsia="Times New Roman" w:hAnsi="Times New Roman"/>
          <w:sz w:val="18"/>
          <w:szCs w:val="18"/>
          <w:color w:val="231F20"/>
        </w:rPr>
        <w:t xml:space="preserve">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w:t>
      </w:r>
      <w:r>
        <w:rPr>
          <w:rFonts w:ascii="Times New Roman" w:cs="Times New Roman" w:eastAsia="Times New Roman" w:hAnsi="Times New Roman"/>
          <w:sz w:val="18"/>
          <w:szCs w:val="18"/>
          <w:color w:val="000000"/>
        </w:rPr>
        <w:t>ADAS</w:t>
      </w:r>
      <w:r>
        <w:rPr>
          <w:rFonts w:ascii="Times New Roman" w:cs="Times New Roman" w:eastAsia="Times New Roman" w:hAnsi="Times New Roman"/>
          <w:sz w:val="18"/>
          <w:szCs w:val="18"/>
          <w:color w:val="231F20"/>
        </w:rPr>
        <w:t xml:space="preserve"> features were active, and these crash reports will become publicly available. To the extent accidents associated with our </w:t>
      </w:r>
      <w:r>
        <w:rPr>
          <w:rFonts w:ascii="Times New Roman" w:cs="Times New Roman" w:eastAsia="Times New Roman" w:hAnsi="Times New Roman"/>
          <w:sz w:val="18"/>
          <w:szCs w:val="18"/>
          <w:color w:val="000000"/>
        </w:rPr>
        <w:t>ADAS</w:t>
      </w:r>
      <w:r>
        <w:rPr>
          <w:rFonts w:ascii="Times New Roman" w:cs="Times New Roman" w:eastAsia="Times New Roman" w:hAnsi="Times New Roman"/>
          <w:sz w:val="18"/>
          <w:szCs w:val="18"/>
          <w:color w:val="231F20"/>
        </w:rPr>
        <w:t xml:space="preserve">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231F20"/>
        </w:rPr>
        <w:t xml:space="preserve">In addition, we face substantial competition in the development and deployment of </w:t>
      </w:r>
      <w:r>
        <w:rPr>
          <w:rFonts w:ascii="Times New Roman" w:cs="Times New Roman" w:eastAsia="Times New Roman" w:hAnsi="Times New Roman"/>
          <w:sz w:val="18"/>
          <w:szCs w:val="18"/>
          <w:color w:val="000000"/>
        </w:rPr>
        <w:t>ADAS</w:t>
      </w:r>
      <w:r>
        <w:rPr>
          <w:rFonts w:ascii="Times New Roman" w:cs="Times New Roman" w:eastAsia="Times New Roman" w:hAnsi="Times New Roman"/>
          <w:sz w:val="18"/>
          <w:szCs w:val="18"/>
          <w:color w:val="231F20"/>
        </w:rPr>
        <w:t xml:space="preserve"> technologies. Many of our competitors, including established automakers and technology companies, have devoted significant time and resources to developing self-driving technologies. If we are unable to develop competitive Level 2 or more advanced </w:t>
      </w:r>
      <w:r>
        <w:rPr>
          <w:rFonts w:ascii="Times New Roman" w:cs="Times New Roman" w:eastAsia="Times New Roman" w:hAnsi="Times New Roman"/>
          <w:sz w:val="18"/>
          <w:szCs w:val="18"/>
          <w:color w:val="000000"/>
        </w:rPr>
        <w:t>ADAS</w:t>
      </w:r>
      <w:r>
        <w:rPr>
          <w:rFonts w:ascii="Times New Roman" w:cs="Times New Roman" w:eastAsia="Times New Roman" w:hAnsi="Times New Roman"/>
          <w:sz w:val="18"/>
          <w:szCs w:val="18"/>
          <w:color w:val="231F20"/>
        </w:rPr>
        <w:t xml:space="preserve"> technologies in-house or acquire access to such technologies via partnerships or investments in other companies or assets, we may be unable to equip our vehicles with competitive </w:t>
      </w:r>
      <w:r>
        <w:rPr>
          <w:rFonts w:ascii="Times New Roman" w:cs="Times New Roman" w:eastAsia="Times New Roman" w:hAnsi="Times New Roman"/>
          <w:sz w:val="18"/>
          <w:szCs w:val="18"/>
          <w:color w:val="000000"/>
        </w:rPr>
        <w:t>ADAS</w:t>
      </w:r>
      <w:r>
        <w:rPr>
          <w:rFonts w:ascii="Times New Roman" w:cs="Times New Roman" w:eastAsia="Times New Roman" w:hAnsi="Times New Roman"/>
          <w:sz w:val="18"/>
          <w:szCs w:val="18"/>
          <w:color w:val="231F20"/>
        </w:rPr>
        <w:t xml:space="preserve"> features, which could damage our brand, reduce consumer demand for our vehicles or trigger cancellations of reservations and could have a material adverse effect on our business, results of operations, prospects and financial condition.</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 xml:space="preserve">ADAS technology is also subject to considerable regulatory uncertainty, which exposes us to additional risks. See “— Risks Related to Litigation and Regulation </w:t>
      </w:r>
      <w:r>
        <w:rPr>
          <w:rFonts w:ascii="Times New Roman" w:cs="Times New Roman" w:eastAsia="Times New Roman" w:hAnsi="Times New Roman"/>
          <w:sz w:val="18"/>
          <w:szCs w:val="18"/>
          <w:i w:val="1"/>
          <w:iCs w:val="1"/>
          <w:color w:val="231F20"/>
        </w:rPr>
        <w:t>— ADAS technology is subject to uncertain and evolving regulations.</w:t>
      </w:r>
      <w:r>
        <w:rPr>
          <w:rFonts w:ascii="Times New Roman" w:cs="Times New Roman" w:eastAsia="Times New Roman" w:hAnsi="Times New Roman"/>
          <w:sz w:val="18"/>
          <w:szCs w:val="18"/>
          <w:color w:val="231F2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business and prospects depend significantly on our brand.</w:t>
      </w:r>
    </w:p>
    <w:p>
      <w:pPr>
        <w:spacing w:after="0" w:line="22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231F20"/>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w:t>
      </w:r>
    </w:p>
    <w:p>
      <w:pPr>
        <w:sectPr>
          <w:pgSz w:w="11900" w:h="16838" w:orient="portrait"/>
          <w:cols w:equalWidth="0" w:num="1">
            <w:col w:w="11240"/>
          </w:cols>
          <w:pgMar w:left="320" w:top="98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9" w:name="page50"/>
    <w:bookmarkEnd w:id="49"/>
    <w:p>
      <w:pPr>
        <w:ind w:right="20"/>
        <w:spacing w:after="0" w:line="266" w:lineRule="auto"/>
        <w:rPr>
          <w:sz w:val="20"/>
          <w:szCs w:val="20"/>
          <w:color w:val="auto"/>
        </w:rPr>
      </w:pPr>
      <w:r>
        <w:rPr>
          <w:rFonts w:ascii="Times New Roman" w:cs="Times New Roman" w:eastAsia="Times New Roman" w:hAnsi="Times New Roman"/>
          <w:sz w:val="18"/>
          <w:szCs w:val="18"/>
          <w:color w:val="231F20"/>
        </w:rPr>
        <w:t>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6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conforming our vehicles to various international regulatory requirements where our vehicles are sold, or homologation;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localized supply chains and managing international supply chain and logistics costs;</w:t>
      </w:r>
    </w:p>
    <w:p>
      <w:pPr>
        <w:spacing w:after="0" w:line="117" w:lineRule="exact"/>
        <w:rPr>
          <w:rFonts w:ascii="Times New Roman" w:cs="Times New Roman" w:eastAsia="Times New Roman" w:hAnsi="Times New Roman"/>
          <w:sz w:val="18"/>
          <w:szCs w:val="18"/>
          <w:color w:val="231F20"/>
        </w:rPr>
      </w:pPr>
    </w:p>
    <w:p>
      <w:pPr>
        <w:ind w:left="660" w:right="52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sufficient charging points for our customers in those jurisdictions, via partnerships or, if necessary, via development of our own charging networks;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in staffing and managing foreign operations;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attracting customers in new jurisdictions;</w:t>
      </w:r>
    </w:p>
    <w:p>
      <w:pPr>
        <w:spacing w:after="0" w:line="117" w:lineRule="exact"/>
        <w:rPr>
          <w:rFonts w:ascii="Times New Roman" w:cs="Times New Roman" w:eastAsia="Times New Roman" w:hAnsi="Times New Roman"/>
          <w:sz w:val="18"/>
          <w:szCs w:val="18"/>
          <w:color w:val="231F20"/>
        </w:rPr>
      </w:pPr>
    </w:p>
    <w:p>
      <w:pPr>
        <w:jc w:val="both"/>
        <w:ind w:left="660" w:right="44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67" w:lineRule="exact"/>
        <w:rPr>
          <w:rFonts w:ascii="Times New Roman" w:cs="Times New Roman" w:eastAsia="Times New Roman" w:hAnsi="Times New Roman"/>
          <w:sz w:val="18"/>
          <w:szCs w:val="18"/>
          <w:color w:val="231F20"/>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53"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inflation as well as fluctuations in foreign currency exchange rates and interest rates, including risks related to any forward currency contracts, interest rate swaps or other hedging activities we undertake;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United States and foreign government trade restrictions, tariffs and price or exchange controls;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labor laws, regulations and restrictions;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data privacy and security laws, regulations and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 including political risk and customer perceptions based on such changes and risks;</w:t>
      </w:r>
    </w:p>
    <w:p>
      <w:pPr>
        <w:spacing w:after="0" w:line="117"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instability, natural disasters, pandemics (including severity, magnitude and the duration of the COVID-19 pandemic), war or events of terrorism;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If we fail to successfully address these risks, our business, prospects, results of operations and financial condition could be materially harmed.</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Uninsured losses could result in payment of substantial damages, which would decrease our cash reserves and could harm our cash flow and financial condition.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In the ordinary course of business, we may be subject to losses resulting from product liability, accidents, acts of God and other claims against us, for which we may have no insurance coverage. While we currently carry insurance that is customary for our size and operations,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5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There is increased focus, including from governmental organizations and our investors, customers and employees, on ESG issues such as environmental stewardship, climate change, diversity and inclusion, racial justice and workplace conduct.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possible that our stakeholders may not be satisfied with our ESG practices or the speed of their adoption and our systems may not be adequate to meet increasing global regulations on ESG topics. Actual or perceived shortcomings with respect to our ESG initiatives and reporting could negatively impact our business. We could also incur additional costs and require additional resources to monitor, report, and comply with various ESG practices. In addition, a variety of organizations have developed ratings to measure the performance of companies on</w:t>
      </w:r>
    </w:p>
    <w:p>
      <w:pPr>
        <w:sectPr>
          <w:pgSz w:w="11900" w:h="16838" w:orient="portrait"/>
          <w:cols w:equalWidth="0" w:num="1">
            <w:col w:w="11240"/>
          </w:cols>
          <w:pgMar w:left="320" w:top="98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0" w:name="page51"/>
    <w:bookmarkEnd w:id="50"/>
    <w:p>
      <w:pPr>
        <w:ind w:right="60"/>
        <w:spacing w:after="0" w:line="281" w:lineRule="auto"/>
        <w:rPr>
          <w:sz w:val="20"/>
          <w:szCs w:val="20"/>
          <w:color w:val="auto"/>
        </w:rPr>
      </w:pPr>
      <w:r>
        <w:rPr>
          <w:rFonts w:ascii="Times New Roman" w:cs="Times New Roman" w:eastAsia="Times New Roman" w:hAnsi="Times New Roman"/>
          <w:sz w:val="17"/>
          <w:szCs w:val="17"/>
          <w:color w:val="auto"/>
        </w:rPr>
        <w:t>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spacing w:after="0" w:line="16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and Supply Chain</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experienced and may in the future experience significant delays in the design, manufacture, launch and financing of our vehicles, including the Lucid Air and Project Gravity, which could harm our business and prospects.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Many of our vehicles are still in the development and/or testing phase, including all of the variants of the Lucid Air other than the Dream Edition and the Grand Touring,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231F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The continued development of and the ability to manufacture our vehicles, including the Lucid Air and Project Gravity, are and will be subject to risks, including with respect to:</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readiness of firmware features and functions to be integrated into the Lucid Air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finalize release candidate specifications for Project Gravity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delays by us in delivering final component designs to our suppliers;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or our suppliers’ ability to successfully tool their manufacturing facilities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a working supply chain and desired supplier part quality and quantity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accurately manufacture vehicles within specified design tolerances;</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establish, refine and scale, as well as make significant investments in manufacturing, supply chain management and logistics functions, including the related information technology systems and software applications;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adequately reduce and control the costs of key parts and materials;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manage any transitions or changes in our production process, planned or unplanned;</w:t>
      </w:r>
    </w:p>
    <w:p>
      <w:pPr>
        <w:sectPr>
          <w:pgSz w:w="11900" w:h="16838" w:orient="portrait"/>
          <w:cols w:equalWidth="0" w:num="1">
            <w:col w:w="11220"/>
          </w:cols>
          <w:pgMar w:left="320" w:top="985"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51" w:name="page52"/>
    <w:bookmarkEnd w:id="51"/>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occurrence of product defects that cannot be remedied without adversely affecting the production;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secure necessary funding;</w:t>
      </w:r>
    </w:p>
    <w:p>
      <w:pPr>
        <w:spacing w:after="0" w:line="117"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negotiate and execute definitive agreements with various suppliers for hardware, software, or services necessary to engineer or manufacture our vehicles;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required regulatory approvals and certifications;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comply with environmental, safety, and similar regulations and in a timely manner;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secure necessary components, services, or licenses on acceptable terms and in a timely manner;</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recruit, hire, retain and train skilled employees including supply chain management, supplier quality, manufacturing and logistics personnel;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implement effective and efficient quality controls;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disruptions in our supply chain including raw material supplies;</w:t>
      </w:r>
    </w:p>
    <w:p>
      <w:pPr>
        <w:spacing w:after="0" w:line="117" w:lineRule="exact"/>
        <w:rPr>
          <w:rFonts w:ascii="Times New Roman" w:cs="Times New Roman" w:eastAsia="Times New Roman" w:hAnsi="Times New Roman"/>
          <w:sz w:val="18"/>
          <w:szCs w:val="18"/>
          <w:color w:val="231F20"/>
        </w:rPr>
      </w:pPr>
    </w:p>
    <w:p>
      <w:pPr>
        <w:ind w:left="660" w:right="7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delays, backlog in manufacturing and research and development of new models, and cost overruns;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severity, magnitude and duration of the ongoing COVID-19 pandemic, including related business interruptions and other effects;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other risks identified herein.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 xml:space="preserve">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“Risks Related to Financing and Strategic Transactions </w:t>
      </w:r>
      <w:r>
        <w:rPr>
          <w:rFonts w:ascii="Times New Roman" w:cs="Times New Roman" w:eastAsia="Times New Roman" w:hAnsi="Times New Roman"/>
          <w:sz w:val="18"/>
          <w:szCs w:val="18"/>
          <w:i w:val="1"/>
          <w:iCs w:val="1"/>
          <w:color w:val="231F20"/>
        </w:rPr>
        <w:t>— We will require additional capital to support business growth, and this capital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might not be available on commercially reasonable terms, or at all.”</w:t>
      </w:r>
    </w:p>
    <w:p>
      <w:pPr>
        <w:spacing w:after="0" w:line="206" w:lineRule="exact"/>
        <w:rPr>
          <w:sz w:val="20"/>
          <w:szCs w:val="20"/>
          <w:color w:val="auto"/>
        </w:rPr>
      </w:pPr>
    </w:p>
    <w:p>
      <w:pPr>
        <w:jc w:val="both"/>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We may also be at a disadvantage in negotiating supply agreements for the production of our vehicles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19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w:t>
      </w:r>
    </w:p>
    <w:p>
      <w:pPr>
        <w:sectPr>
          <w:pgSz w:w="11900" w:h="16838" w:orient="portrait"/>
          <w:cols w:equalWidth="0" w:num="1">
            <w:col w:w="11220"/>
          </w:cols>
          <w:pgMar w:left="320" w:top="877"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52" w:name="page53"/>
    <w:bookmarkEnd w:id="52"/>
    <w:p>
      <w:pPr>
        <w:spacing w:after="0" w:line="261" w:lineRule="auto"/>
        <w:rPr>
          <w:sz w:val="20"/>
          <w:szCs w:val="20"/>
          <w:color w:val="auto"/>
        </w:rPr>
      </w:pPr>
      <w:r>
        <w:rPr>
          <w:rFonts w:ascii="Times New Roman" w:cs="Times New Roman" w:eastAsia="Times New Roman" w:hAnsi="Times New Roman"/>
          <w:sz w:val="18"/>
          <w:szCs w:val="18"/>
          <w:color w:val="231F20"/>
        </w:rPr>
        <w:t>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 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In addition, we have experienced, and in the future could continue to experience, delays if our suppliers do not meet agreed upon timelines, experience capacity constraints, or deliver components that do not meet our quality standards.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2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231F20"/>
        </w:rPr>
        <w:t>Furthermore, as the scale of our vehicle production increases, we will need to accurately forecast, purchase, warehouse and transport components to our manufacturing facilities and servicing locations internationally and at much higher volumes. We have not yet scaled production in our manufacturing facilities to significant volumes or begun servicing vehicles at significant volumes. Accordingly, our ability to scale production and vehicle servicing and mitigate risks associated with these activities has not been thoroughly tested. If we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Increases in costs, disruption of supply or shortage of materials, in particular for lithium-ion cells or semiconductors, could harm our business.</w:t>
      </w:r>
    </w:p>
    <w:p>
      <w:pPr>
        <w:spacing w:after="0" w:line="24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inflationary pressure and global demand for these materials, including</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3" w:name="page54"/>
    <w:bookmarkEnd w:id="53"/>
    <w:p>
      <w:pPr>
        <w:ind w:right="160"/>
        <w:spacing w:after="0" w:line="266" w:lineRule="auto"/>
        <w:rPr>
          <w:sz w:val="20"/>
          <w:szCs w:val="20"/>
          <w:color w:val="auto"/>
        </w:rPr>
      </w:pPr>
      <w:r>
        <w:rPr>
          <w:rFonts w:ascii="Times New Roman" w:cs="Times New Roman" w:eastAsia="Times New Roman" w:hAnsi="Times New Roman"/>
          <w:sz w:val="18"/>
          <w:szCs w:val="18"/>
          <w:color w:val="231F20"/>
        </w:rPr>
        <w:t>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311" w:lineRule="exact"/>
        <w:rPr>
          <w:sz w:val="20"/>
          <w:szCs w:val="20"/>
          <w:color w:val="auto"/>
        </w:rPr>
      </w:pPr>
    </w:p>
    <w:p>
      <w:pPr>
        <w:ind w:left="660" w:right="48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increase in the cost, or decrease in the available supply, of materials, such as cobalt, used in lithium-ion cells;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 in the supply of cells due to quality issues or recalls by battery cell manufacturers; and</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value of any foreign currencies, and the Korean Won in particular, in which battery cell and related raw material purchases are or may be denominated against the U.S. dollar.</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2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Furthermore, currency fluctuations, tariffs or shortages in petroleum and other economic or political conditions have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20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8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231F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29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production and delivery of our vehicles, including the Lucid Air;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market acceptance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customers or inability to attract new customers;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engineering or other resources for remedying the defect or error;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our brand or reputation;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service and warranty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action by customers or third parties, including product liability claims;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penalties imposed by regulatory authorities.</w:t>
      </w:r>
    </w:p>
    <w:p>
      <w:pPr>
        <w:sectPr>
          <w:pgSz w:w="11900" w:h="16838" w:orient="portrait"/>
          <w:cols w:equalWidth="0" w:num="1">
            <w:col w:w="11220"/>
          </w:cols>
          <w:pgMar w:left="320" w:top="756"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8"/>
          <w:szCs w:val="18"/>
          <w:color w:val="231F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20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successfully tool our manufacturing facilities or if our manufacturing facilities become inoperable, we will be unable to produce our vehicles and our business will be harmed.</w:t>
      </w:r>
    </w:p>
    <w:p>
      <w:pPr>
        <w:spacing w:after="0" w:line="1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While we have completed the initial phase of construction at our manufacturing facilities in Casa Grande, Arizona, tooling our facilities for production of our vehicles and our future expansion plans are complicated and present significant challe</w:t>
      </w:r>
      <w:r>
        <w:rPr>
          <w:rFonts w:ascii="Times New Roman" w:cs="Times New Roman" w:eastAsia="Times New Roman" w:hAnsi="Times New Roman"/>
          <w:sz w:val="18"/>
          <w:szCs w:val="18"/>
          <w:color w:val="000000"/>
        </w:rPr>
        <w:t>nges. In addition, certain o</w:t>
      </w:r>
      <w:r>
        <w:rPr>
          <w:rFonts w:ascii="Times New Roman" w:cs="Times New Roman" w:eastAsia="Times New Roman" w:hAnsi="Times New Roman"/>
          <w:sz w:val="18"/>
          <w:szCs w:val="18"/>
          <w:color w:val="231F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2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likely require repair or remediation to support future production volumes. We plan to address such repairs or remediation as part of the phased build-out of our Casa Grande facility. Although we do not currently expect that we will be required to take vehicle production offline or reduce our planned manufacturing volumes, the repairs or remediation could entail significant costs, and we may be unable to recover some or all of such costs from the applicable contractor(s).</w:t>
      </w:r>
    </w:p>
    <w:p>
      <w:pPr>
        <w:spacing w:after="0" w:line="21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w:t>
      </w:r>
    </w:p>
    <w:p>
      <w:pPr>
        <w:sectPr>
          <w:pgSz w:w="11900" w:h="16838" w:orient="portrait"/>
          <w:cols w:equalWidth="0" w:num="1">
            <w:col w:w="11240"/>
          </w:cols>
          <w:pgMar w:left="320" w:top="1012"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55" w:name="page56"/>
    <w:bookmarkEnd w:id="55"/>
    <w:p>
      <w:pPr>
        <w:ind w:right="280"/>
        <w:spacing w:after="0" w:line="258" w:lineRule="auto"/>
        <w:rPr>
          <w:sz w:val="20"/>
          <w:szCs w:val="20"/>
          <w:color w:val="auto"/>
        </w:rPr>
      </w:pPr>
      <w:r>
        <w:rPr>
          <w:rFonts w:ascii="Times New Roman" w:cs="Times New Roman" w:eastAsia="Times New Roman" w:hAnsi="Times New Roman"/>
          <w:sz w:val="18"/>
          <w:szCs w:val="18"/>
          <w:color w:val="231F20"/>
        </w:rPr>
        <w:t>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2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no experience to date in high volume manufacture of our vehicles.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cannot provide any assurance as to whether we will be able to develop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such logistics and production processes and capabilities within our projected costs and timelines could have a material adverse effect on our business, results of operations, prospects and financial condition.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vehicles fail to perform as expected, our ability to develop, market and sell or lease our products could be harmed.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 xml:space="preserve">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w:t>
      </w:r>
      <w:r>
        <w:rPr>
          <w:rFonts w:ascii="Times New Roman" w:cs="Times New Roman" w:eastAsia="Times New Roman" w:hAnsi="Times New Roman"/>
          <w:sz w:val="18"/>
          <w:szCs w:val="18"/>
          <w:color w:val="000000"/>
        </w:rPr>
        <w:t>Any such defects or noncompliance with legal requirements could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also result in safety recalls. See “— Risks Related to Litigation and Regulation — </w:t>
      </w:r>
      <w:r>
        <w:rPr>
          <w:rFonts w:ascii="Times New Roman" w:cs="Times New Roman" w:eastAsia="Times New Roman" w:hAnsi="Times New Roman"/>
          <w:sz w:val="18"/>
          <w:szCs w:val="18"/>
          <w:i w:val="1"/>
          <w:iCs w:val="1"/>
          <w:color w:val="000000"/>
        </w:rPr>
        <w:t>We have in the past and may choose in the future, or we may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compelled, to undertake product recalls or take other actions, which could adversely affect our business, prospects, results of operations, reputation and financial condition.” </w:t>
      </w:r>
      <w:r>
        <w:rPr>
          <w:rFonts w:ascii="Times New Roman" w:cs="Times New Roman" w:eastAsia="Times New Roman" w:hAnsi="Times New Roman"/>
          <w:sz w:val="18"/>
          <w:szCs w:val="18"/>
          <w:color w:val="231F20"/>
        </w:rPr>
        <w:t>As a new entrant to the industry attempting to build customer relationships and earn trust, these effects could be significantly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detrimental to us. Additionally, problems and defects experienced by other electric consumer vehicles could by association have a negative impact on perception and customer demand for our vehicles.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w:t>
      </w:r>
    </w:p>
    <w:p>
      <w:pPr>
        <w:sectPr>
          <w:pgSz w:w="11900" w:h="16838" w:orient="portrait"/>
          <w:cols w:equalWidth="0" w:num="1">
            <w:col w:w="11240"/>
          </w:cols>
          <w:pgMar w:left="320" w:top="769"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6" w:name="page57"/>
    <w:bookmarkEnd w:id="56"/>
    <w:p>
      <w:pPr>
        <w:ind w:right="260"/>
        <w:spacing w:after="0" w:line="256" w:lineRule="auto"/>
        <w:rPr>
          <w:sz w:val="20"/>
          <w:szCs w:val="20"/>
          <w:color w:val="auto"/>
        </w:rPr>
      </w:pPr>
      <w:r>
        <w:rPr>
          <w:rFonts w:ascii="Times New Roman" w:cs="Times New Roman" w:eastAsia="Times New Roman" w:hAnsi="Times New Roman"/>
          <w:sz w:val="18"/>
          <w:szCs w:val="18"/>
          <w:color w:val="231F20"/>
        </w:rPr>
        <w:t>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face challenges providing charging solutions for our vehicles.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spacing w:after="0" w:line="18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231F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7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231F20"/>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or develop and implement the necessary IT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21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31F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w:t>
      </w:r>
    </w:p>
    <w:p>
      <w:pPr>
        <w:sectPr>
          <w:pgSz w:w="11900" w:h="16838" w:orient="portrait"/>
          <w:cols w:equalWidth="0" w:num="1">
            <w:col w:w="11240"/>
          </w:cols>
          <w:pgMar w:left="320" w:top="985"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7" w:name="page58"/>
    <w:bookmarkEnd w:id="57"/>
    <w:p>
      <w:pPr>
        <w:ind w:right="140"/>
        <w:spacing w:after="0" w:line="282" w:lineRule="auto"/>
        <w:rPr>
          <w:sz w:val="20"/>
          <w:szCs w:val="20"/>
          <w:color w:val="auto"/>
        </w:rPr>
      </w:pPr>
      <w:r>
        <w:rPr>
          <w:rFonts w:ascii="Times New Roman" w:cs="Times New Roman" w:eastAsia="Times New Roman" w:hAnsi="Times New Roman"/>
          <w:sz w:val="18"/>
          <w:szCs w:val="18"/>
          <w:color w:val="231F20"/>
        </w:rPr>
        <w:t>be subject to claims from our customers, which could result in loss of revenue or damages, and our business, results of operations, prospects and financial condition could be materially and adversely affected.</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8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facilities or operations could be adversely affected by events outside of our control, such as natural disasters, wars, health epidemics or pandemics, or security incidents.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We and our suppliers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 w:cs="Times New Roman" w:eastAsia="Times New Roman" w:hAnsi="Times New Roman"/>
          <w:sz w:val="18"/>
          <w:szCs w:val="18"/>
          <w:i w:val="1"/>
          <w:iCs w:val="1"/>
          <w:color w:val="231F20"/>
        </w:rPr>
        <w:t>A failure to properly comply with foreign trade zone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laws and regulations could increase the cost of our duties and tariffs.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 addition, the military invasion of Ukraine by Russia and the sanctions against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 xml:space="preserve">Russia resulting from such conflict may increase the likelihood of supply chain interruptions and may impair our ability to compete in current or future markets, or otherwise subject us to potential liability. See “— Risks Related to Litigation and Regulation — </w:t>
      </w:r>
      <w:r>
        <w:rPr>
          <w:rFonts w:ascii="Times New Roman" w:cs="Times New Roman" w:eastAsia="Times New Roman" w:hAnsi="Times New Roman"/>
          <w:sz w:val="18"/>
          <w:szCs w:val="18"/>
          <w:i w:val="1"/>
          <w:iCs w:val="1"/>
          <w:color w:val="000000"/>
        </w:rPr>
        <w:t>Changes in U.S. trade policy, including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imposition of tariffs or revocation of normal trade relations and the resulting consequences, could adversely affect our business, prospects, results of operations and financial condition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We may incur significant expenses or delays relating to such events outside of our control, which could have a</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material adverse impact on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vehicles will make use of lithium-ion battery cells, which have been observed to catch fire or vent smoke and flame.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w:t>
      </w:r>
    </w:p>
    <w:p>
      <w:pPr>
        <w:sectPr>
          <w:pgSz w:w="11900" w:h="16838" w:orient="portrait"/>
          <w:cols w:equalWidth="0" w:num="1">
            <w:col w:w="11220"/>
          </w:cols>
          <w:pgMar w:left="320" w:top="985"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58" w:name="page59"/>
    <w:bookmarkEnd w:id="58"/>
    <w:p>
      <w:pPr>
        <w:ind w:right="40"/>
        <w:spacing w:after="0" w:line="256" w:lineRule="auto"/>
        <w:rPr>
          <w:sz w:val="20"/>
          <w:szCs w:val="20"/>
          <w:color w:val="auto"/>
        </w:rPr>
      </w:pPr>
      <w:r>
        <w:rPr>
          <w:rFonts w:ascii="Times New Roman" w:cs="Times New Roman" w:eastAsia="Times New Roman" w:hAnsi="Times New Roman"/>
          <w:sz w:val="18"/>
          <w:szCs w:val="18"/>
          <w:color w:val="231F20"/>
        </w:rPr>
        <w:t>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addition, as we expand our service network and scale the manufacturing of our vehicles and any future energy storage products, we will need to store lithium-ion cells at our Lucid Studios and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Cybersecurity and Data Privacy</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Our products contain complex information technology systems. For example, our vehicles are designed with built-in data connectivity to accept and install periodic remote updates to improve their functionality.</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Furthermore, cyber threat actors may in the future attempt to gain unauthorized access to, modify, alter and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our proprietary software codes), products, and systems, causing data breach, or disruption, modification, destruction to our systems and applications. As a result, we may suffer monetary losses, business interruption, and long-lasting operational issues, damage to our reputation and brand, loss of our intellectual property or trade secrets.</w:t>
      </w:r>
    </w:p>
    <w:p>
      <w:pPr>
        <w:sectPr>
          <w:pgSz w:w="11900" w:h="16838" w:orient="portrait"/>
          <w:cols w:equalWidth="0" w:num="1">
            <w:col w:w="11240"/>
          </w:cols>
          <w:pgMar w:left="320" w:top="985"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9" w:name="page60"/>
    <w:bookmarkEnd w:id="59"/>
    <w:p>
      <w:pPr>
        <w:spacing w:after="0" w:line="252" w:lineRule="auto"/>
        <w:rPr>
          <w:sz w:val="20"/>
          <w:szCs w:val="20"/>
          <w:color w:val="auto"/>
        </w:rPr>
      </w:pPr>
      <w:r>
        <w:rPr>
          <w:rFonts w:ascii="Times New Roman" w:cs="Times New Roman" w:eastAsia="Times New Roman" w:hAnsi="Times New Roman"/>
          <w:sz w:val="18"/>
          <w:szCs w:val="18"/>
          <w:color w:val="231F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In addition, some members of the U.S. federal government, including certain members of Congress and the National Highway Traffic Safety Administration (“</w:t>
      </w:r>
      <w:r>
        <w:rPr>
          <w:rFonts w:ascii="Times New Roman" w:cs="Times New Roman" w:eastAsia="Times New Roman" w:hAnsi="Times New Roman"/>
          <w:sz w:val="18"/>
          <w:szCs w:val="18"/>
          <w:i w:val="1"/>
          <w:iCs w:val="1"/>
          <w:color w:val="231F20"/>
        </w:rPr>
        <w:t>NHTSA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existing architectures/new vehicles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9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8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w:t>
      </w:r>
    </w:p>
    <w:p>
      <w:pPr>
        <w:sectPr>
          <w:pgSz w:w="11900" w:h="16838" w:orient="portrait"/>
          <w:cols w:equalWidth="0" w:num="1">
            <w:col w:w="11220"/>
          </w:cols>
          <w:pgMar w:left="320" w:top="985"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60" w:name="page61"/>
    <w:bookmarkEnd w:id="60"/>
    <w:p>
      <w:pPr>
        <w:ind w:right="960"/>
        <w:spacing w:after="0" w:line="282" w:lineRule="auto"/>
        <w:rPr>
          <w:sz w:val="20"/>
          <w:szCs w:val="20"/>
          <w:color w:val="auto"/>
        </w:rPr>
      </w:pPr>
      <w:r>
        <w:rPr>
          <w:rFonts w:ascii="Times New Roman" w:cs="Times New Roman" w:eastAsia="Times New Roman" w:hAnsi="Times New Roman"/>
          <w:sz w:val="18"/>
          <w:szCs w:val="18"/>
          <w:color w:val="231F20"/>
        </w:rPr>
        <w:t>vehicle’s use, such as charge time, battery usage, geolocation, mileage and driving behavior, in order to aid it in vehicle diagnostics, repair and maintenance, as well as to help us customize and improve the driving and riding experience.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20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231F20"/>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Times New Roman" w:cs="Times New Roman" w:eastAsia="Times New Roman" w:hAnsi="Times New Roman"/>
          <w:sz w:val="18"/>
          <w:szCs w:val="18"/>
          <w:i w:val="1"/>
          <w:iCs w:val="1"/>
          <w:color w:val="231F20"/>
        </w:rPr>
        <w:t>GDPR</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which became effective in May 2018, California adopted the California Consumer Privacy Act of 2018 (“</w:t>
      </w:r>
      <w:r>
        <w:rPr>
          <w:rFonts w:ascii="Times New Roman" w:cs="Times New Roman" w:eastAsia="Times New Roman" w:hAnsi="Times New Roman"/>
          <w:sz w:val="18"/>
          <w:szCs w:val="18"/>
          <w:i w:val="1"/>
          <w:iCs w:val="1"/>
          <w:color w:val="231F20"/>
        </w:rPr>
        <w:t>CCPA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which became effective in January 2020, Canada adopted the Personal Information Protection and Electronic Documents Act (“</w:t>
      </w:r>
      <w:r>
        <w:rPr>
          <w:rFonts w:ascii="Times New Roman" w:cs="Times New Roman" w:eastAsia="Times New Roman" w:hAnsi="Times New Roman"/>
          <w:sz w:val="18"/>
          <w:szCs w:val="18"/>
          <w:i w:val="1"/>
          <w:iCs w:val="1"/>
          <w:color w:val="231F20"/>
        </w:rPr>
        <w:t>PIPEDA</w:t>
      </w:r>
      <w:r>
        <w:rPr>
          <w:rFonts w:ascii="Times New Roman" w:cs="Times New Roman" w:eastAsia="Times New Roman" w:hAnsi="Times New Roman"/>
          <w:sz w:val="18"/>
          <w:szCs w:val="18"/>
          <w:color w:val="231F20"/>
        </w:rPr>
        <w:t>”) and continues to amend the statute, the United Arab Emirates adopted the Data Protection Law (“</w:t>
      </w:r>
      <w:r>
        <w:rPr>
          <w:rFonts w:ascii="Times New Roman" w:cs="Times New Roman" w:eastAsia="Times New Roman" w:hAnsi="Times New Roman"/>
          <w:sz w:val="18"/>
          <w:szCs w:val="18"/>
          <w:i w:val="1"/>
          <w:iCs w:val="1"/>
          <w:color w:val="231F20"/>
        </w:rPr>
        <w:t>DPL</w:t>
      </w:r>
      <w:r>
        <w:rPr>
          <w:rFonts w:ascii="Times New Roman" w:cs="Times New Roman" w:eastAsia="Times New Roman" w:hAnsi="Times New Roman"/>
          <w:sz w:val="18"/>
          <w:szCs w:val="18"/>
          <w:color w:val="231F20"/>
        </w:rPr>
        <w:t>”), which became effective in January 2022, and the Kingdom of Saudi Arabia enacted the Personal Data Protection Law (“</w:t>
      </w:r>
      <w:r>
        <w:rPr>
          <w:rFonts w:ascii="Times New Roman" w:cs="Times New Roman" w:eastAsia="Times New Roman" w:hAnsi="Times New Roman"/>
          <w:sz w:val="18"/>
          <w:szCs w:val="18"/>
          <w:i w:val="1"/>
          <w:iCs w:val="1"/>
          <w:color w:val="231F20"/>
        </w:rPr>
        <w:t>PDPL</w:t>
      </w:r>
      <w:r>
        <w:rPr>
          <w:rFonts w:ascii="Times New Roman" w:cs="Times New Roman" w:eastAsia="Times New Roman" w:hAnsi="Times New Roman"/>
          <w:sz w:val="18"/>
          <w:szCs w:val="18"/>
          <w:color w:val="231F20"/>
        </w:rPr>
        <w:t>”) which will take effect in March 2023.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21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w:t>
      </w:r>
      <w:r>
        <w:rPr>
          <w:rFonts w:ascii="Times New Roman" w:cs="Times New Roman" w:eastAsia="Times New Roman" w:hAnsi="Times New Roman"/>
          <w:sz w:val="18"/>
          <w:szCs w:val="18"/>
          <w:i w:val="1"/>
          <w:iCs w:val="1"/>
          <w:color w:val="231F20"/>
        </w:rPr>
        <w:t>CPRA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will significantly modify the CCPA, including by expanding California residents’ rights with respect to certain sensitive personal information. The CPRA also creates a new state agency that will be vested with the authority to implement and enforce the CCPA and the CPRA.</w:t>
      </w:r>
    </w:p>
    <w:p>
      <w:pPr>
        <w:spacing w:after="0" w:line="20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231F20"/>
        </w:rPr>
        <w:t>Other states, including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20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w:t>
      </w:r>
    </w:p>
    <w:p>
      <w:pPr>
        <w:sectPr>
          <w:pgSz w:w="11900" w:h="16838" w:orient="portrait"/>
          <w:cols w:equalWidth="0" w:num="1">
            <w:col w:w="11240"/>
          </w:cols>
          <w:pgMar w:left="320" w:top="985"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1" w:name="page62"/>
    <w:bookmarkEnd w:id="61"/>
    <w:p>
      <w:pPr>
        <w:ind w:right="20"/>
        <w:spacing w:after="0" w:line="261" w:lineRule="auto"/>
        <w:rPr>
          <w:sz w:val="20"/>
          <w:szCs w:val="20"/>
          <w:color w:val="auto"/>
        </w:rPr>
      </w:pPr>
      <w:r>
        <w:rPr>
          <w:rFonts w:ascii="Times New Roman" w:cs="Times New Roman" w:eastAsia="Times New Roman" w:hAnsi="Times New Roman"/>
          <w:sz w:val="18"/>
          <w:szCs w:val="18"/>
          <w:color w:val="231F20"/>
        </w:rPr>
        <w:t>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Employees and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key personnel or an inability to attract, retain and motivate qualified personnel may impair our ability to expand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especially if we are unable to grant equity awards or if the volatility of our stock price increases.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in particular, engineers and Arizona, where we have a substantial presence and a need for a large skilled repair, logistics,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recent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highly dependent on the services of Peter Rawlinson, our Chief Executive Officer and Chief Technology Officer.</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will need to hire and train a significant number of employees to engage in full-scale commercial manufacturing operations, and our business could be adversely affected by labor and union activities.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Litigation and Regulation</w:t>
      </w:r>
    </w:p>
    <w:p>
      <w:pPr>
        <w:spacing w:after="0" w:line="22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231F20"/>
        </w:rPr>
        <w:t>challenging, burdensome, time consuming and expensive. If compliance results in delays or substantial expenses, our business could be adversely affected.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regulatory limitations on our ability to sell vehicles directly, which could materially and adversely affect our ability to sell our vehicles.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or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5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right="40"/>
        <w:spacing w:after="0" w:line="253" w:lineRule="auto"/>
        <w:rPr>
          <w:sz w:val="20"/>
          <w:szCs w:val="20"/>
          <w:color w:val="auto"/>
        </w:rPr>
      </w:pPr>
      <w:r>
        <w:rPr>
          <w:rFonts w:ascii="Times New Roman" w:cs="Times New Roman" w:eastAsia="Times New Roman" w:hAnsi="Times New Roman"/>
          <w:sz w:val="18"/>
          <w:szCs w:val="18"/>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April 1, 2022, a putative class action was filed by purported shareholder Victor Mangino under federal securities laws against Lucid Group, Inc. and certain officers of the Company relating to statements updated projections and guidance provided in the late 2021 to early 2022 timeframe. The complaint was filed in the Northern District of California, captioned Victor W. Mangino v. Lucid Group, Inc., et al., Case No. 3:22-cv-02094-JD. The complaint names as defendants Lucid Group, Inc. and the Company’s chief executive officer and chief financial officer, and generally alleges that defendants purportedly made false or misleading statements regarding delivery and revenue projections and related matters. The Complaint seeks certification of the action as a class action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become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w:t>
      </w:r>
    </w:p>
    <w:p>
      <w:pPr>
        <w:sectPr>
          <w:pgSz w:w="11900" w:h="16838" w:orient="portrait"/>
          <w:cols w:equalWidth="0" w:num="1">
            <w:col w:w="11240"/>
          </w:cols>
          <w:pgMar w:left="320" w:top="985"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5" w:name="page66"/>
    <w:bookmarkEnd w:id="65"/>
    <w:p>
      <w:pPr>
        <w:ind w:right="40"/>
        <w:spacing w:after="0" w:line="253" w:lineRule="auto"/>
        <w:rPr>
          <w:sz w:val="20"/>
          <w:szCs w:val="20"/>
          <w:color w:val="auto"/>
        </w:rPr>
      </w:pPr>
      <w:r>
        <w:rPr>
          <w:rFonts w:ascii="Times New Roman" w:cs="Times New Roman" w:eastAsia="Times New Roman" w:hAnsi="Times New Roman"/>
          <w:sz w:val="18"/>
          <w:szCs w:val="18"/>
          <w:color w:val="231F20"/>
        </w:rPr>
        <w:t xml:space="preserve">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Times New Roman" w:cs="Times New Roman" w:eastAsia="Times New Roman" w:hAnsi="Times New Roman"/>
          <w:sz w:val="18"/>
          <w:szCs w:val="18"/>
          <w:i w:val="1"/>
          <w:iCs w:val="1"/>
          <w:color w:val="231F20"/>
        </w:rPr>
        <w:t>ADAS</w:t>
      </w:r>
      <w:r>
        <w:rPr>
          <w:rFonts w:ascii="Times New Roman" w:cs="Times New Roman" w:eastAsia="Times New Roman" w:hAnsi="Times New Roman"/>
          <w:sz w:val="18"/>
          <w:szCs w:val="18"/>
          <w:color w:val="231F20"/>
        </w:rPr>
        <w:t xml:space="preserve"> features in our vehicles. See “— Risks Related to Litigation and Regulation — </w:t>
      </w:r>
      <w:r>
        <w:rPr>
          <w:rFonts w:ascii="Times New Roman" w:cs="Times New Roman" w:eastAsia="Times New Roman" w:hAnsi="Times New Roman"/>
          <w:sz w:val="18"/>
          <w:szCs w:val="18"/>
          <w:i w:val="1"/>
          <w:iCs w:val="1"/>
          <w:color w:val="231F20"/>
        </w:rPr>
        <w:t>ADAS technology is subject to uncertain and evolving regulations</w:t>
      </w:r>
      <w:r>
        <w:rPr>
          <w:rFonts w:ascii="Times New Roman" w:cs="Times New Roman" w:eastAsia="Times New Roman" w:hAnsi="Times New Roman"/>
          <w:sz w:val="18"/>
          <w:szCs w:val="18"/>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8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exposed to delays, limitations and risks related to the environmental permits and other operating permits required to operate our manufacturing facilities.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 w:cs="Times New Roman" w:eastAsia="Times New Roman" w:hAnsi="Times New Roman"/>
          <w:sz w:val="18"/>
          <w:szCs w:val="18"/>
          <w:i w:val="1"/>
          <w:iCs w:val="1"/>
          <w:color w:val="231F20"/>
        </w:rPr>
        <w:t>We have experienced and may in the future experience significant delays in the design, manufacture, launch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financing of our vehicles, including the Lucid Air and Project Gravity, which could harm our business and prospects.</w:t>
      </w:r>
      <w:r>
        <w:rPr>
          <w:rFonts w:ascii="Times New Roman" w:cs="Times New Roman" w:eastAsia="Times New Roman" w:hAnsi="Times New Roman"/>
          <w:sz w:val="18"/>
          <w:szCs w:val="18"/>
          <w:color w:val="231F20"/>
        </w:rPr>
        <w:t>”</w:t>
      </w:r>
    </w:p>
    <w:p>
      <w:pPr>
        <w:spacing w:after="0" w:line="18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5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87"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231F20"/>
        </w:rPr>
        <w:t>Additionally, non-compliance could result in delay or suspension of production or cessation of operations. The costs required to comply with workplace safety laws can be significant, and non-compliance could adversely affect our</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6" w:name="page67"/>
    <w:bookmarkEnd w:id="66"/>
    <w:p>
      <w:pPr>
        <w:ind w:right="500"/>
        <w:spacing w:after="0" w:line="282" w:lineRule="auto"/>
        <w:rPr>
          <w:sz w:val="20"/>
          <w:szCs w:val="20"/>
          <w:color w:val="auto"/>
        </w:rPr>
      </w:pPr>
      <w:r>
        <w:rPr>
          <w:rFonts w:ascii="Times New Roman" w:cs="Times New Roman" w:eastAsia="Times New Roman" w:hAnsi="Times New Roman"/>
          <w:sz w:val="18"/>
          <w:szCs w:val="18"/>
          <w:color w:val="231F20"/>
        </w:rPr>
        <w:t>production or other operations, including with respect to the production of the Lucid Air, which could have a material adverse effect on our business, prospects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ADAS technology is subject to uncertain and evolving regulations.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8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laws that could subject us to liability if we are not in compliance with such laws.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5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231F20"/>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w:t>
      </w:r>
    </w:p>
    <w:p>
      <w:pPr>
        <w:sectPr>
          <w:pgSz w:w="11900" w:h="16838" w:orient="portrait"/>
          <w:cols w:equalWidth="0" w:num="1">
            <w:col w:w="11240"/>
          </w:cols>
          <w:pgMar w:left="320" w:top="98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7" w:name="page68"/>
    <w:bookmarkEnd w:id="67"/>
    <w:p>
      <w:pPr>
        <w:ind w:right="300"/>
        <w:spacing w:after="0" w:line="289" w:lineRule="auto"/>
        <w:rPr>
          <w:sz w:val="20"/>
          <w:szCs w:val="20"/>
          <w:color w:val="auto"/>
        </w:rPr>
      </w:pPr>
      <w:r>
        <w:rPr>
          <w:rFonts w:ascii="Times New Roman" w:cs="Times New Roman" w:eastAsia="Times New Roman" w:hAnsi="Times New Roman"/>
          <w:sz w:val="17"/>
          <w:szCs w:val="17"/>
          <w:color w:val="231F20"/>
        </w:rPr>
        <w:t>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December, the United States adopted the Uyghur Forced Labor Prevention Act (“</w:t>
      </w:r>
      <w:r>
        <w:rPr>
          <w:rFonts w:ascii="Times New Roman" w:cs="Times New Roman" w:eastAsia="Times New Roman" w:hAnsi="Times New Roman"/>
          <w:sz w:val="18"/>
          <w:szCs w:val="18"/>
          <w:i w:val="1"/>
          <w:iCs w:val="1"/>
          <w:color w:val="auto"/>
        </w:rPr>
        <w:t>UFLPA</w:t>
      </w:r>
      <w:r>
        <w:rPr>
          <w:rFonts w:ascii="Times New Roman" w:cs="Times New Roman" w:eastAsia="Times New Roman" w:hAnsi="Times New Roman"/>
          <w:sz w:val="18"/>
          <w:szCs w:val="18"/>
          <w:color w:val="auto"/>
        </w:rPr>
        <w:t xml:space="preserve">”)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Times New Roman" w:cs="Times New Roman" w:eastAsia="Times New Roman" w:hAnsi="Times New Roman"/>
          <w:sz w:val="18"/>
          <w:szCs w:val="18"/>
          <w:color w:val="231F20"/>
        </w:rPr>
        <w:t>and could have an adverse effect on our business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operations</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In early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the United States recently enacted federal legislation that revokes normal trade relations between Russia and Belarus. As a result,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failure to properly comply with foreign trade zone laws and regulations could increase the cost of our duties and tariffs.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Intellectual Property</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w:t>
      </w:r>
    </w:p>
    <w:p>
      <w:pPr>
        <w:sectPr>
          <w:pgSz w:w="11900" w:h="16838" w:orient="portrait"/>
          <w:cols w:equalWidth="0" w:num="1">
            <w:col w:w="11240"/>
          </w:cols>
          <w:pgMar w:left="320" w:top="985"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8" w:name="page69"/>
    <w:bookmarkEnd w:id="68"/>
    <w:p>
      <w:pPr>
        <w:jc w:val="both"/>
        <w:ind w:right="120"/>
        <w:spacing w:after="0" w:line="266" w:lineRule="auto"/>
        <w:rPr>
          <w:sz w:val="20"/>
          <w:szCs w:val="20"/>
          <w:color w:val="auto"/>
        </w:rPr>
      </w:pPr>
      <w:r>
        <w:rPr>
          <w:rFonts w:ascii="Times New Roman" w:cs="Times New Roman" w:eastAsia="Times New Roman" w:hAnsi="Times New Roman"/>
          <w:sz w:val="18"/>
          <w:szCs w:val="18"/>
          <w:color w:val="231F20"/>
        </w:rPr>
        <w:t>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The measures we take to obtain, maintain, protect and enforce our intellectual property, including preventing unauthorized use by third parties, may not be effective for various reasons, including the following:</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patent applications we file may not result in the issuance of patents;</w:t>
      </w:r>
    </w:p>
    <w:p>
      <w:pPr>
        <w:spacing w:after="0" w:line="117"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the first inventor of the subject matter to which we have filed a particular patent application, and we may not be the first party to file such a patent application;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our issued patents may not be broad enough to protect our inventions and proprietary technology;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issued patents may be challenged or invalidated by our competitors or other third parties;</w:t>
      </w:r>
    </w:p>
    <w:p>
      <w:pPr>
        <w:spacing w:after="0" w:line="117" w:lineRule="exact"/>
        <w:rPr>
          <w:rFonts w:ascii="Times New Roman" w:cs="Times New Roman" w:eastAsia="Times New Roman" w:hAnsi="Times New Roman"/>
          <w:sz w:val="18"/>
          <w:szCs w:val="18"/>
          <w:color w:val="231F20"/>
        </w:rPr>
      </w:pPr>
    </w:p>
    <w:p>
      <w:pPr>
        <w:ind w:left="660" w:right="26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have a finite term, and competitors and other third parties may offer identical or similar products after the expiration of our patents that cover such products;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employees, contractors or business partners may breach their confidentiality, non-disclosure and non-use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independently develop technologies that are the same or similar to ours;</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associated with enforcing patents or other intellectual property rights, or confidentiality and invention assignment agreements may make enforcement impracticable;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circumvent or otherwise design around our patents or other intellectual property.</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ectPr>
          <w:pgSz w:w="11900" w:h="16838" w:orient="portrait"/>
          <w:cols w:equalWidth="0" w:num="1">
            <w:col w:w="11180"/>
          </w:cols>
          <w:pgMar w:left="320" w:top="985" w:right="399"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69" w:name="page70"/>
    <w:bookmarkEnd w:id="69"/>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8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including treble damages for willful infringement, or ongoing royalty payments;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developing, selling, leasing, using or incorporating certain components into vehicles or offering goods or services that incorporate or use the asserted intellectual property;</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a license from the owner of the asserted intellectual property, which license may not be available on reasonable terms, or at all;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 with other unfavorable terms; 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alternative branding for our products and services.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Some of our products contain open source software, which may pose particular risks to our proprietary software, products and services in a manner that could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w:t>
      </w:r>
    </w:p>
    <w:p>
      <w:pPr>
        <w:sectPr>
          <w:pgSz w:w="11900" w:h="16838" w:orient="portrait"/>
          <w:cols w:equalWidth="0" w:num="1">
            <w:col w:w="11240"/>
          </w:cols>
          <w:pgMar w:left="320" w:top="981" w:right="3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0" w:name="page71"/>
    <w:bookmarkEnd w:id="70"/>
    <w:p>
      <w:pPr>
        <w:ind w:right="160"/>
        <w:spacing w:after="0" w:line="282" w:lineRule="auto"/>
        <w:rPr>
          <w:sz w:val="20"/>
          <w:szCs w:val="20"/>
          <w:color w:val="auto"/>
        </w:rPr>
      </w:pPr>
      <w:r>
        <w:rPr>
          <w:rFonts w:ascii="Times New Roman" w:cs="Times New Roman" w:eastAsia="Times New Roman" w:hAnsi="Times New Roman"/>
          <w:sz w:val="18"/>
          <w:szCs w:val="18"/>
          <w:color w:val="231F20"/>
        </w:rPr>
        <w:t>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7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231F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Financing and Strategic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require additional capital to support business growth, and this capital might not be available on commercially reasonable terms, or at all.</w:t>
      </w:r>
    </w:p>
    <w:p>
      <w:pPr>
        <w:spacing w:after="0" w:line="243"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231F20"/>
        </w:rPr>
        <w:t xml:space="preserve">We have funded our operations since inception primarily through equity and convertible debt financings. For example, in December 2021, we issued approximately </w:t>
      </w:r>
      <w:r>
        <w:rPr>
          <w:rFonts w:ascii="Times New Roman" w:cs="Times New Roman" w:eastAsia="Times New Roman" w:hAnsi="Times New Roman"/>
          <w:sz w:val="18"/>
          <w:szCs w:val="18"/>
          <w:color w:val="000000"/>
        </w:rPr>
        <w:t>$2 billion of 1.25% convertible senior notes due 2026 (the “2026 Notes”)</w:t>
      </w:r>
      <w:r>
        <w:rPr>
          <w:rFonts w:ascii="Times New Roman" w:cs="Times New Roman" w:eastAsia="Times New Roman" w:hAnsi="Times New Roman"/>
          <w:sz w:val="18"/>
          <w:szCs w:val="18"/>
          <w:color w:val="231F20"/>
        </w:rPr>
        <w:t xml:space="preserve">.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w:t>
      </w:r>
      <w:r>
        <w:rPr>
          <w:rFonts w:ascii="Times New Roman" w:cs="Times New Roman" w:eastAsia="Times New Roman" w:hAnsi="Times New Roman"/>
          <w:sz w:val="18"/>
          <w:szCs w:val="18"/>
          <w:color w:val="000000"/>
        </w:rPr>
        <w:t>In addition, during fiscal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year 2022, we have and we expect to settle tax withholding obligations in connection with vesting of the restricted stock units granted to Peter Rawlinson, our Chief Executive Officer and Chief Technology Officer, that were previously granted to him in March 2021 </w:t>
      </w:r>
      <w:r>
        <w:rPr>
          <w:rFonts w:ascii="Times New Roman" w:cs="Times New Roman" w:eastAsia="Times New Roman" w:hAnsi="Times New Roman"/>
          <w:sz w:val="18"/>
          <w:szCs w:val="18"/>
          <w:color w:val="231F20"/>
        </w:rPr>
        <w:t>through “net settlement,” i.e., by remitting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amortization, the interest expense that we expect to recognize for the 2026 Notes for accounting purposes will be greater than the cash interest payments we will pay on the 2026 Notes, which will result in higher reported loss.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19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2021, we issued approximately $2.0 billion principal amount of 2026 Notes. See Note 6 - Long-Term Debt to our condensed consolidated financial statements included elsewhere in this Quarterly Report for further information on our outstanding debt obligations. 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our indebtedness, combined with our other existing and future financial obligations and contractual commitments, could have other important consequences. For example, it could:</w:t>
      </w:r>
    </w:p>
    <w:p>
      <w:pPr>
        <w:spacing w:after="0" w:line="54" w:lineRule="exact"/>
        <w:rPr>
          <w:sz w:val="20"/>
          <w:szCs w:val="20"/>
          <w:color w:val="auto"/>
        </w:rPr>
      </w:pPr>
    </w:p>
    <w:p>
      <w:pPr>
        <w:ind w:left="660" w:right="220" w:hanging="328"/>
        <w:spacing w:after="0" w:line="266" w:lineRule="auto"/>
        <w:tabs>
          <w:tab w:leader="none" w:pos="4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adverse changes in general U.S. and worldwide economic, industry and competitive conditions and adverse changes in government regulation;</w:t>
      </w:r>
    </w:p>
    <w:p>
      <w:pPr>
        <w:spacing w:after="0" w:line="6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w:t>
      </w:r>
    </w:p>
    <w:p>
      <w:pPr>
        <w:spacing w:after="0" w:line="11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amounts to fund acquisitions, for working capital and for other general corporate purposes; and</w:t>
      </w:r>
    </w:p>
    <w:p>
      <w:pPr>
        <w:spacing w:after="0" w:line="11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our company less attractive or more difficult.</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under certain of our future debt instruments, we may be subject to customary affirmative and negative covenants regarding our business and operations, including limitations on our ability to enter into certain acquisitions or consolidations or engage in certain asset dispositions. Any debt financing secured by us in the future could involve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2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still incur substantially more debt or take other actions that would diminish our ability to make payments on our 2026 Notes when due.</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subject to the restrictions contained in our debt instruments, some of which may be secured debt. We are not restricted under the terms of the indenture governing our 2026 Notes from incurring additional debt, securing existing or future debt, recapitalizing our debt or taking a number of other actions that are not limited by the</w:t>
      </w:r>
    </w:p>
    <w:p>
      <w:pPr>
        <w:sectPr>
          <w:pgSz w:w="11900" w:h="16838" w:orient="portrait"/>
          <w:cols w:equalWidth="0" w:num="1">
            <w:col w:w="11240"/>
          </w:cols>
          <w:pgMar w:left="320" w:top="769"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terms of such indenture governing our 2026 Notes that could have the effect of diminishing our ability to make payments on our 2026 Notes when due.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rating agency may not rate the 2026 Notes or may assign a rating that is lower than expected.</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common stock and the 2026 Notes could significantly decline.</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identify adequate strategic relationship opportunities or form strategic relationships, in the future.</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1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3" w:name="page74"/>
    <w:bookmarkEnd w:id="73"/>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financial results may vary significantly from period to period due to fluctuations in our production levels, operating costs, product demand and other factors.</w:t>
      </w:r>
    </w:p>
    <w:p>
      <w:pPr>
        <w:spacing w:after="0" w:line="17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231F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net operating loss carryforwards and certain other tax attributes may be limited.</w:t>
      </w:r>
    </w:p>
    <w:p>
      <w:pPr>
        <w:spacing w:after="0" w:line="21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231F20"/>
        </w:rPr>
        <w:t>We have accumulated U.S. federal and state net operating loss (“</w:t>
      </w:r>
      <w:r>
        <w:rPr>
          <w:rFonts w:ascii="Times New Roman" w:cs="Times New Roman" w:eastAsia="Times New Roman" w:hAnsi="Times New Roman"/>
          <w:sz w:val="18"/>
          <w:szCs w:val="18"/>
          <w:i w:val="1"/>
          <w:iCs w:val="1"/>
          <w:color w:val="231F20"/>
        </w:rPr>
        <w:t>NOL</w:t>
      </w:r>
      <w:r>
        <w:rPr>
          <w:rFonts w:ascii="Times New Roman" w:cs="Times New Roman" w:eastAsia="Times New Roman" w:hAnsi="Times New Roman"/>
          <w:sz w:val="18"/>
          <w:szCs w:val="18"/>
          <w:color w:val="231F20"/>
        </w:rPr>
        <w:t xml:space="preserve">”) carryforwards and research and development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we also had U.S. federal research and development credit carryforwards which will begin to expire in 2034 and state research and development credit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carryforwards with no expiration. As of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we maintain a full valuation allowance for our net deferred tax assets.</w:t>
      </w:r>
    </w:p>
    <w:p>
      <w:pPr>
        <w:spacing w:after="0" w:line="19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231F20"/>
        </w:rPr>
        <w:t>Our U.S. federal and state NOL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231F20"/>
        </w:rPr>
        <w:t>In general, an “ownership change” will occur if there is a cumulative change in our ownership by “5-percent shareholders” that exceeds 50 percentage points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We have not yet completed an analysis of whether the business combination also caused an “ownership change.” In addition, future changes in our stock ownership may be outside of our control. If we undergo an ownership change, we may be prevented from fully utilizing</w:t>
      </w:r>
    </w:p>
    <w:p>
      <w:pPr>
        <w:sectPr>
          <w:pgSz w:w="11900" w:h="16838" w:orient="portrait"/>
          <w:cols w:equalWidth="0" w:num="1">
            <w:col w:w="11220"/>
          </w:cols>
          <w:pgMar w:left="320" w:top="981"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74" w:name="page75"/>
    <w:bookmarkEnd w:id="74"/>
    <w:p>
      <w:pPr>
        <w:ind w:right="80"/>
        <w:spacing w:after="0" w:line="266" w:lineRule="auto"/>
        <w:rPr>
          <w:sz w:val="20"/>
          <w:szCs w:val="20"/>
          <w:color w:val="auto"/>
        </w:rPr>
      </w:pPr>
      <w:r>
        <w:rPr>
          <w:rFonts w:ascii="Times New Roman" w:cs="Times New Roman" w:eastAsia="Times New Roman" w:hAnsi="Times New Roman"/>
          <w:sz w:val="18"/>
          <w:szCs w:val="18"/>
          <w:color w:val="231F20"/>
        </w:rPr>
        <w:t>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It is possible that we will not generate taxable income in time to use any of our NOL carryforwards and research and development credits before their expiration.</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may change our corporate structure, our business operations or certain agreements that we have entered into relating to taxes in a particular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changes may materially and adversely impact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warrants are accounted for as liabilities and the changes in value of our warrants could have a material effect on our financial results.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Public Company Requirements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requirements of being a public company may strain our resources and distract our management, which could make it difficult to manage our business.</w:t>
      </w:r>
    </w:p>
    <w:p>
      <w:pPr>
        <w:spacing w:after="0" w:line="18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w:t>
      </w:r>
    </w:p>
    <w:p>
      <w:pPr>
        <w:sectPr>
          <w:pgSz w:w="11900" w:h="16838" w:orient="portrait"/>
          <w:cols w:equalWidth="0" w:num="1">
            <w:col w:w="11240"/>
          </w:cols>
          <w:pgMar w:left="320" w:top="98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5" w:name="page76"/>
    <w:bookmarkEnd w:id="75"/>
    <w:p>
      <w:pPr>
        <w:ind w:right="140"/>
        <w:spacing w:after="0" w:line="258" w:lineRule="auto"/>
        <w:rPr>
          <w:sz w:val="20"/>
          <w:szCs w:val="20"/>
          <w:color w:val="auto"/>
        </w:rPr>
      </w:pPr>
      <w:r>
        <w:rPr>
          <w:rFonts w:ascii="Times New Roman" w:cs="Times New Roman" w:eastAsia="Times New Roman" w:hAnsi="Times New Roman"/>
          <w:sz w:val="18"/>
          <w:szCs w:val="18"/>
          <w:color w:val="231F20"/>
        </w:rPr>
        <w:t>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 w:cs="Times New Roman" w:eastAsia="Times New Roman" w:hAnsi="Times New Roman"/>
          <w:sz w:val="18"/>
          <w:szCs w:val="18"/>
          <w:color w:val="000000"/>
        </w:rPr>
        <w:t>In addition, changing laws, regulations, and standards related to corporate governance and public disclosure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 xml:space="preserve">To implement, maintain and improve the effectiveness of our disclosure controls and procedures, we will need to commit significant resources, hire additional staff and provide additional management oversight. </w:t>
      </w:r>
      <w:r>
        <w:rPr>
          <w:rFonts w:ascii="Times New Roman" w:cs="Times New Roman" w:eastAsia="Times New Roman" w:hAnsi="Times New Roman"/>
          <w:sz w:val="18"/>
          <w:szCs w:val="18"/>
          <w:color w:val="000000"/>
        </w:rPr>
        <w:t>To comply with the requirements of being a public company, we have undertaken,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expect to continue to further undertake in the future, various actions, such as, hiring additional accounting staff and implementing new internal controls and procedures </w:t>
      </w:r>
      <w:r>
        <w:rPr>
          <w:rFonts w:ascii="Times New Roman" w:cs="Times New Roman" w:eastAsia="Times New Roman" w:hAnsi="Times New Roman"/>
          <w:sz w:val="18"/>
          <w:szCs w:val="18"/>
          <w:color w:val="231F20"/>
        </w:rPr>
        <w:t>for the purpose of addressing the standards and requirements applicable to public companies. Sustaining our growth also will require us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21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recently ceased to be an emerging growth company, and now are required to comply with certain heightened reporting requirements, including those relating to auditing standards and disclosure about our executive compensation.</w:t>
      </w:r>
    </w:p>
    <w:p>
      <w:pPr>
        <w:spacing w:after="0" w:line="18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231F20"/>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pacing w:after="0" w:line="189"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76"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As part of such requirements, we are required to provide management’s attestation on the report on internal control over financial reporting by our independent registered public accounting firm. Prior to the Transactions, we were a special purpose acquisition company formed for the purpose of effecting a merger, capital stock exchange, asset acquisition, stock purchase, reorganization or other similar business combination</w:t>
      </w:r>
    </w:p>
    <w:p>
      <w:pPr>
        <w:sectPr>
          <w:pgSz w:w="11900" w:h="16838" w:orient="portrait"/>
          <w:cols w:equalWidth="0" w:num="1">
            <w:col w:w="11220"/>
          </w:cols>
          <w:pgMar w:left="320" w:top="769"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76" w:name="page77"/>
    <w:bookmarkEnd w:id="76"/>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with one or more operating businesses. As a result, previously existing internal controls are no longer applicable or comprehensive enough as Churchill’s operations prior to the Transactions were insignificant compared to those of the consolidated entity post-Transactions. The design of internal controls over financial reporting for our business post-Transactions has required and will continue to require significant time and resources from management and other personnel.</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are required to report any control deficiencies that constitute a “material weakness” in our internal control over financial reporting. We had previously identified material weaknesses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in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9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is no guarantee that an active and liquid public market for our securities will be sustained.</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231F20"/>
        </w:rPr>
        <w:t>Our common stock has been trading on a national securities exchange for less than 12 months. 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spacing w:after="0" w:line="6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holders of our common stock may not be able to liquidate their investment in shares of our common stock;</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holders of our common stock may not be able to resell their shares of our common stock at favorable prices, or at all;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price of shares of our common stock may experience significant price volatility;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less efficiency in carrying out purchase and sale orders with respect to our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price of our common stock is volatile, and this volatility may negatively impact the market price of our common stock and the trading price of the 2026 notes.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broader stock market in general, or in our industry in particular;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financial results or the quarterly financial results of companies perceived to be similar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market’s expectations about our operating results;</w:t>
      </w:r>
    </w:p>
    <w:p>
      <w:pPr>
        <w:sectPr>
          <w:pgSz w:w="11900" w:h="16838" w:orient="portrait"/>
          <w:cols w:equalWidth="0" w:num="1">
            <w:col w:w="11240"/>
          </w:cols>
          <w:pgMar w:left="320" w:top="98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7" w:name="page78"/>
    <w:bookmarkEnd w:id="77"/>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the number of unit reservations, financial projections and any other guidance or metrics that we may publicly disclose from time to time;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speculation in the press or investment community;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developments in our business, competitors’ businesses or the competitive landscape generally;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the achievement of objectives under our business plan and the timing and amount of costs we incur in connection therewith;</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financial estimates and recommendations by securities analysts concerning us or the market in general;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or investigations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volume of our common stock available for public sale;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major change in our Board or management;</w:t>
      </w:r>
    </w:p>
    <w:p>
      <w:pPr>
        <w:spacing w:after="0" w:line="117" w:lineRule="exact"/>
        <w:rPr>
          <w:rFonts w:ascii="Times New Roman" w:cs="Times New Roman" w:eastAsia="Times New Roman" w:hAnsi="Times New Roman"/>
          <w:sz w:val="18"/>
          <w:szCs w:val="18"/>
          <w:color w:val="231F20"/>
        </w:rPr>
      </w:pPr>
    </w:p>
    <w:p>
      <w:pPr>
        <w:jc w:val="both"/>
        <w:ind w:left="660" w:right="400" w:hanging="328"/>
        <w:spacing w:after="0" w:line="312" w:lineRule="auto"/>
        <w:tabs>
          <w:tab w:leader="none" w:pos="655"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31" w:lineRule="exact"/>
        <w:rPr>
          <w:rFonts w:ascii="Times New Roman" w:cs="Times New Roman" w:eastAsia="Times New Roman" w:hAnsi="Times New Roman"/>
          <w:sz w:val="17"/>
          <w:szCs w:val="17"/>
          <w:color w:val="231F20"/>
        </w:rPr>
      </w:pPr>
    </w:p>
    <w:p>
      <w:pPr>
        <w:ind w:left="660" w:right="8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and political conditions, such as recessions, interest rates, pandemics (such as COVID-19), inflation, changes in diplomatic and trade relationships and acts of war or terrorism, and natural disasters;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risk factors listed in this section “Risk Factors.”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2026 Notes or any observation period for a conversion of 2026 Notes.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w:t>
      </w:r>
    </w:p>
    <w:p>
      <w:pPr>
        <w:sectPr>
          <w:pgSz w:w="11900" w:h="16838" w:orient="portrait"/>
          <w:cols w:equalWidth="0" w:num="1">
            <w:col w:w="11220"/>
          </w:cols>
          <w:pgMar w:left="320" w:top="877"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78" w:name="page79"/>
    <w:bookmarkEnd w:id="78"/>
    <w:p>
      <w:pPr>
        <w:jc w:val="both"/>
        <w:ind w:right="240"/>
        <w:spacing w:after="0" w:line="250" w:lineRule="auto"/>
        <w:rPr>
          <w:sz w:val="20"/>
          <w:szCs w:val="20"/>
          <w:color w:val="auto"/>
        </w:rPr>
      </w:pPr>
      <w:r>
        <w:rPr>
          <w:rFonts w:ascii="Times New Roman" w:cs="Times New Roman" w:eastAsia="Times New Roman" w:hAnsi="Times New Roman"/>
          <w:sz w:val="18"/>
          <w:szCs w:val="18"/>
          <w:color w:val="231F20"/>
        </w:rPr>
        <w:t>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9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31F20"/>
        </w:rPr>
        <w:t>Pursuant to the Investor Rights Agreement, the Sponsor has agreed to restrictions on the sale or transfer of shares of common stock and Private Placement Warrants held by it for a period of 18 months after the Closing of the Transactions. However, following the expiration of this lock-up period, the Sponsor will not be restricted from selling our securities held by it, other than by applicable securities laws. 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83"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As of March 31, 2022, Ayar held approximately 60.9%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Sponsor and Ayar beneficially own a significant equity interest in us and may take actions that conflict with your interests.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do not anticipate paying any cash dividends for the foreseeable future.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31F20"/>
        </w:rPr>
        <w:t>We have never declared or paid cash dividends on our capital stock, and we do not anticipate paying any cash dividends in the foreseeable future. We currently intend to retain our future earnings, if any, for the foreseeable future, to fund the development and growth of our business.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Please see the section titled “Management’s Discussion and Analysis of Financial Condition and Results of Operations — Liquidity and Capital Resources” in this Quarterly Report.</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current bylaws designate a state court within the State of Delaware, to the fullest extent permitted by law, as the sole and exclusive forum for certain types of actions and proceedings that may be initiated by our stockholders, which could limit the ability of our</w:t>
      </w:r>
    </w:p>
    <w:p>
      <w:pPr>
        <w:sectPr>
          <w:pgSz w:w="11900" w:h="16838" w:orient="portrait"/>
          <w:cols w:equalWidth="0" w:num="1">
            <w:col w:w="11240"/>
          </w:cols>
          <w:pgMar w:left="320" w:top="756"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79" w:name="page80"/>
    <w:bookmarkEnd w:id="79"/>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stockholders to obtain a favorable judicial forum for disputes with us or with our directors, officers or employees and may discourage stockholders from bringing such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Under our current bylaws, unless we consent in writing to the selection of an alternative forum, the sole and exclusive forum will be a state court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State of Delaware (or, if no state court located within the State of Delaware has jurisdiction, the federal district court for the District of Delaware) for:</w:t>
      </w:r>
    </w:p>
    <w:p>
      <w:pPr>
        <w:spacing w:after="0" w:line="9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a fiduciary duty owed by any of our directors, officers or employees to us or our stockholders;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governed by the internal affairs doctrine.</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Some provisions of Delaware law and our current certificate of incorporation and our current bylaws may deter third parties from acquiring us and diminish the value of our common stock and the 2026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4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53" w:lineRule="exact"/>
        <w:rPr>
          <w:rFonts w:ascii="Times New Roman" w:cs="Times New Roman" w:eastAsia="Times New Roman" w:hAnsi="Times New Roman"/>
          <w:sz w:val="18"/>
          <w:szCs w:val="18"/>
          <w:color w:val="231F20"/>
        </w:rPr>
      </w:pPr>
    </w:p>
    <w:p>
      <w:pPr>
        <w:ind w:left="660" w:right="18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Investor Rights Agreement, advance notice for nominations of directors by stockholders and for stockholders to include matters to be considered at stockholder meetings;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limitations on convening special stockholder meetings.</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prior to such time, the Board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ectPr>
          <w:pgSz w:w="11900" w:h="16838" w:orient="portrait"/>
          <w:cols w:equalWidth="0" w:num="1">
            <w:col w:w="11220"/>
          </w:cols>
          <w:pgMar w:left="320" w:top="981" w:right="35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80" w:name="page81"/>
    <w:bookmarkEnd w:id="80"/>
    <w:p>
      <w:pPr>
        <w:ind w:right="20"/>
        <w:spacing w:after="0" w:line="258" w:lineRule="auto"/>
        <w:rPr>
          <w:sz w:val="20"/>
          <w:szCs w:val="20"/>
          <w:color w:val="auto"/>
        </w:rPr>
      </w:pPr>
      <w:r>
        <w:rPr>
          <w:rFonts w:ascii="Times New Roman" w:cs="Times New Roman" w:eastAsia="Times New Roman" w:hAnsi="Times New Roman"/>
          <w:sz w:val="18"/>
          <w:szCs w:val="18"/>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79" w:lineRule="exact"/>
        <w:rPr>
          <w:sz w:val="20"/>
          <w:szCs w:val="20"/>
          <w:color w:val="auto"/>
        </w:rPr>
      </w:pPr>
    </w:p>
    <w:p>
      <w:pPr>
        <w:jc w:val="both"/>
        <w:ind w:right="88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The trading market for our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Industrial Development Fund (“SIDF”) Loan Agreement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27, 2022, Lucid LLC, a limited liability company established in the Kingdom of Saudi Arabia and a subsidiary of the Company (“Lucid LLC”) entered into a loan agreement (as subsequently amended, the “SIDF Loan Agreement”) with the SIDF. See Note 6 – Long-Term Debt – Saudi Industrial Development Fund (“SIDF”) Loan Agreement in our condensed consolidated financial statements included elsewhere in this Quarterly Report, which is incorporated herein by reference, for more information.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SIDF Loan Agreement is only a summary and is qualified in its entirety by reference to the full texts of the Exhibits 10.1 and 10.2 to this Quarterly Report on Form 10-Q, which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GIB Facility Agreement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29, 2022, Lucid LLC entered into a revolving credit facility agreement (the “GIB Facility Agreement”) with Gulf International Bank, an affiliate of PIF, which is an affiliate of Ayar, our controlling stockholder. See Note 20 – Subsequent Events in our condensed consolidated financial statements included elsewhere in this Quarterly Report, which is incorporated herein by reference to the extent it describes the GIB Facility Agreement, for more information.</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GIB Facility Agreement is only a summary and is qualified in its entirety by reference to the full text of the GIB Facility Agreement, which will be filed as an exhibit to the Company’s Quarterly Report on Form 10-Q for the quarter ending June 30, 2022.</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exhibits listed on the Exhibit Index to this Form 10-Q are filed herewith or incorporated by reference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740" w:type="dxa"/>
            <w:vAlign w:val="bottom"/>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File</w:t>
            </w:r>
          </w:p>
        </w:tc>
        <w:tc>
          <w:tcPr>
            <w:tcW w:w="1240" w:type="dxa"/>
            <w:vAlign w:val="bottom"/>
          </w:tcPr>
          <w:p>
            <w:pPr>
              <w:jc w:val="center"/>
              <w:ind w:left="208"/>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960" w:type="dxa"/>
            <w:vAlign w:val="bottom"/>
          </w:tcPr>
          <w:p>
            <w:pPr>
              <w:jc w:val="center"/>
              <w:ind w:left="68"/>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8"/>
        </w:trPr>
        <w:tc>
          <w:tcPr>
            <w:tcW w:w="880" w:type="dxa"/>
            <w:vAlign w:val="bottom"/>
          </w:tcPr>
          <w:p>
            <w:pPr>
              <w:jc w:val="center"/>
              <w:spacing w:after="0" w:line="228" w:lineRule="exact"/>
              <w:rPr>
                <w:sz w:val="20"/>
                <w:szCs w:val="20"/>
                <w:color w:val="auto"/>
              </w:rPr>
            </w:pPr>
            <w:r>
              <w:rPr>
                <w:rFonts w:ascii="Times New Roman" w:cs="Times New Roman" w:eastAsia="Times New Roman" w:hAnsi="Times New Roman"/>
                <w:sz w:val="18"/>
                <w:szCs w:val="18"/>
                <w:color w:val="auto"/>
                <w:w w:val="91"/>
              </w:rPr>
              <w:t>10.1</w:t>
            </w:r>
            <w:r>
              <w:rPr>
                <w:rFonts w:ascii="Times New Roman" w:cs="Times New Roman" w:eastAsia="Times New Roman" w:hAnsi="Times New Roman"/>
                <w:sz w:val="23"/>
                <w:szCs w:val="23"/>
                <w:color w:val="auto"/>
                <w:w w:val="91"/>
                <w:vertAlign w:val="superscript"/>
              </w:rPr>
              <w:t>#</w:t>
            </w:r>
          </w:p>
        </w:tc>
        <w:tc>
          <w:tcPr>
            <w:tcW w:w="100" w:type="dxa"/>
            <w:vAlign w:val="bottom"/>
          </w:tcPr>
          <w:p>
            <w:pPr>
              <w:spacing w:after="0"/>
              <w:rPr>
                <w:sz w:val="19"/>
                <w:szCs w:val="19"/>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Loan Agreement, dated as of February 27, 2022, between Lucid LLC and Saudi</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Industrial Development Fund (English version only)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10.2</w:t>
            </w:r>
            <w:r>
              <w:rPr>
                <w:rFonts w:ascii="Times New Roman" w:cs="Times New Roman" w:eastAsia="Times New Roman" w:hAnsi="Times New Roman"/>
                <w:sz w:val="23"/>
                <w:szCs w:val="23"/>
                <w:color w:val="auto"/>
                <w:w w:val="91"/>
                <w:vertAlign w:val="superscript"/>
              </w:rPr>
              <w:t>#</w:t>
            </w:r>
          </w:p>
        </w:tc>
        <w:tc>
          <w:tcPr>
            <w:tcW w:w="10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Side Letter to Loan Agreement, dated as of February 27, 2022, between Lucid</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LLC and Saudi Industrial Development Fund (English version only)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Letter of Undertaking, dated as of April 20, 2022, between Lucid LLC and</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Ministry of Finance of the Kingdom of Saudi Arabia (English version only)</w:t>
            </w:r>
          </w:p>
        </w:tc>
        <w:tc>
          <w:tcPr>
            <w:tcW w:w="60" w:type="dxa"/>
            <w:vAlign w:val="bottom"/>
            <w:tcBorders>
              <w:bottom w:val="single" w:sz="8" w:color="0000FF"/>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15d-14(a) of the Securities Exchange Act of 1934, as amended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15d-14(a) of the Securities Exchange Act of 1934, as amended</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14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2"/>
                <w:szCs w:val="22"/>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6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Exhibit 101)</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40" w:firstLine="8"/>
        <w:spacing w:after="0" w:line="282"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the exhibit because such information is both (i) not material and (ii) is the type that the registrant treats as private or confidential.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72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LUCID GROUP, INC.</w:t>
            </w:r>
          </w:p>
        </w:tc>
      </w:tr>
      <w:tr>
        <w:trPr>
          <w:trHeight w:val="48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72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Sherry House</w:t>
            </w:r>
          </w:p>
        </w:tc>
      </w:tr>
      <w:tr>
        <w:trPr>
          <w:trHeight w:val="218"/>
        </w:trPr>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Sherry House</w:t>
            </w:r>
          </w:p>
        </w:tc>
      </w:tr>
      <w:tr>
        <w:trPr>
          <w:trHeight w:val="234"/>
        </w:trPr>
        <w:tc>
          <w:tcPr>
            <w:tcW w:w="2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981" w:right="359" w:bottom="1440" w:gutter="0" w:footer="0" w:header="0"/>
        </w:sectPr>
      </w:pPr>
    </w:p>
    <w:bookmarkStart w:id="83" w:name="page84"/>
    <w:bookmarkEnd w:id="83"/>
    <w:p>
      <w:pPr>
        <w:spacing w:after="0" w:line="176"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executed in English and Arabic; Arabic version has been omitted for purposes of this filing.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Name of Allah, The Merciful, The Beneficent</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LOAN AGREEMENT NO. (6400) (SAU7135)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this day 26/07/1443H Corresponding to 27/02/2022Gr The contract is signed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Saudi Industrial Development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public financial organization</w:t>
      </w:r>
      <w:r>
        <w:rPr>
          <w:rFonts w:ascii="Times New Roman" w:cs="Times New Roman" w:eastAsia="Times New Roman" w:hAnsi="Times New Roman"/>
          <w:sz w:val="18"/>
          <w:szCs w:val="18"/>
          <w:color w:val="5B5D5D"/>
        </w:rPr>
        <w:t>,</w:t>
      </w:r>
      <w:r>
        <w:rPr>
          <w:rFonts w:ascii="Times New Roman" w:cs="Times New Roman" w:eastAsia="Times New Roman" w:hAnsi="Times New Roman"/>
          <w:sz w:val="18"/>
          <w:szCs w:val="18"/>
          <w:color w:val="auto"/>
        </w:rPr>
        <w:t xml:space="preserve"> established and existing under the laws and regulations of the Kingdom of Saudi </w:t>
      </w:r>
      <w:r>
        <w:rPr>
          <w:rFonts w:ascii="Times New Roman" w:cs="Times New Roman" w:eastAsia="Times New Roman" w:hAnsi="Times New Roman"/>
          <w:sz w:val="18"/>
          <w:szCs w:val="18"/>
          <w:color w:val="3B3D3F"/>
        </w:rPr>
        <w:t>Arabia,</w:t>
      </w:r>
      <w:r>
        <w:rPr>
          <w:rFonts w:ascii="Times New Roman" w:cs="Times New Roman" w:eastAsia="Times New Roman" w:hAnsi="Times New Roman"/>
          <w:sz w:val="18"/>
          <w:szCs w:val="18"/>
          <w:color w:val="auto"/>
        </w:rPr>
        <w:t xml:space="preserve"> National Address: Building </w:t>
      </w:r>
      <w:r>
        <w:rPr>
          <w:rFonts w:ascii="Times New Roman" w:cs="Times New Roman" w:eastAsia="Times New Roman" w:hAnsi="Times New Roman"/>
          <w:sz w:val="18"/>
          <w:szCs w:val="18"/>
          <w:color w:val="3B3D3F"/>
        </w:rPr>
        <w:t>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(3015) Al Aqeeq Dist., Unit No: (2), Riyadh13519-6483 Kingdom of Saudi Arabia.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426"/>
        </w:rPr>
        <w:t xml:space="preserve">Represented </w:t>
      </w:r>
      <w:r>
        <w:rPr>
          <w:rFonts w:ascii="Times New Roman" w:cs="Times New Roman" w:eastAsia="Times New Roman" w:hAnsi="Times New Roman"/>
          <w:sz w:val="18"/>
          <w:szCs w:val="18"/>
          <w:color w:val="232426"/>
        </w:rPr>
        <w:t>in</w:t>
      </w:r>
      <w:r>
        <w:rPr>
          <w:rFonts w:ascii="Times New Roman" w:cs="Times New Roman" w:eastAsia="Times New Roman" w:hAnsi="Times New Roman"/>
          <w:sz w:val="18"/>
          <w:szCs w:val="18"/>
          <w:b w:val="1"/>
          <w:bCs w:val="1"/>
          <w:color w:val="232426"/>
        </w:rPr>
        <w:t xml:space="preserve"> this Loan Agreement by: </w:t>
      </w:r>
      <w:r>
        <w:rPr>
          <w:rFonts w:ascii="Times New Roman" w:cs="Times New Roman" w:eastAsia="Times New Roman" w:hAnsi="Times New Roman"/>
          <w:sz w:val="18"/>
          <w:szCs w:val="18"/>
          <w:color w:val="232426"/>
        </w:rPr>
        <w:t>Name: Mohammed Bin Abdullah Al-Jasser Position: VP/ Legal and</w:t>
      </w:r>
      <w:r>
        <w:rPr>
          <w:rFonts w:ascii="Times New Roman" w:cs="Times New Roman" w:eastAsia="Times New Roman" w:hAnsi="Times New Roman"/>
          <w:sz w:val="18"/>
          <w:szCs w:val="18"/>
          <w:b w:val="1"/>
          <w:bCs w:val="1"/>
          <w:color w:val="232426"/>
        </w:rPr>
        <w:t xml:space="preserve"> </w:t>
      </w:r>
      <w:r>
        <w:rPr>
          <w:rFonts w:ascii="Times New Roman" w:cs="Times New Roman" w:eastAsia="Times New Roman" w:hAnsi="Times New Roman"/>
          <w:sz w:val="18"/>
          <w:szCs w:val="18"/>
          <w:color w:val="000000"/>
        </w:rPr>
        <w:t>Compliance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Hereinafter referred to as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Lucid Limited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foreign limited </w:t>
      </w:r>
      <w:r>
        <w:rPr>
          <w:rFonts w:ascii="Times New Roman" w:cs="Times New Roman" w:eastAsia="Times New Roman" w:hAnsi="Times New Roman"/>
          <w:sz w:val="18"/>
          <w:szCs w:val="18"/>
          <w:color w:val="111315"/>
        </w:rPr>
        <w:t>liability</w:t>
      </w:r>
      <w:r>
        <w:rPr>
          <w:rFonts w:ascii="Times New Roman" w:cs="Times New Roman" w:eastAsia="Times New Roman" w:hAnsi="Times New Roman"/>
          <w:sz w:val="18"/>
          <w:szCs w:val="18"/>
          <w:color w:val="auto"/>
        </w:rPr>
        <w:t xml:space="preserve"> company </w:t>
      </w:r>
      <w:r>
        <w:rPr>
          <w:rFonts w:ascii="Times New Roman" w:cs="Times New Roman" w:eastAsia="Times New Roman" w:hAnsi="Times New Roman"/>
          <w:sz w:val="18"/>
          <w:szCs w:val="18"/>
          <w:color w:val="111315"/>
        </w:rPr>
        <w:t>-</w:t>
      </w:r>
      <w:r>
        <w:rPr>
          <w:rFonts w:ascii="Times New Roman" w:cs="Times New Roman" w:eastAsia="Times New Roman" w:hAnsi="Times New Roman"/>
          <w:sz w:val="18"/>
          <w:szCs w:val="18"/>
          <w:color w:val="auto"/>
        </w:rPr>
        <w:t xml:space="preserve"> One Person Co.-, established and organized </w:t>
      </w:r>
      <w:r>
        <w:rPr>
          <w:rFonts w:ascii="Times New Roman" w:cs="Times New Roman" w:eastAsia="Times New Roman" w:hAnsi="Times New Roman"/>
          <w:sz w:val="18"/>
          <w:szCs w:val="18"/>
          <w:color w:val="111315"/>
        </w:rPr>
        <w:t>under the</w:t>
      </w:r>
      <w:r>
        <w:rPr>
          <w:rFonts w:ascii="Times New Roman" w:cs="Times New Roman" w:eastAsia="Times New Roman" w:hAnsi="Times New Roman"/>
          <w:sz w:val="18"/>
          <w:szCs w:val="18"/>
          <w:color w:val="auto"/>
        </w:rPr>
        <w:t xml:space="preserve"> Laws and Regulations of the Kingdom of Saudi Arabia.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National </w:t>
      </w:r>
      <w:r>
        <w:rPr>
          <w:rFonts w:ascii="Times New Roman" w:cs="Times New Roman" w:eastAsia="Times New Roman" w:hAnsi="Times New Roman"/>
          <w:sz w:val="18"/>
          <w:szCs w:val="18"/>
          <w:color w:val="3B3D3F"/>
        </w:rPr>
        <w:t>Address:</w:t>
      </w:r>
      <w:r>
        <w:rPr>
          <w:rFonts w:ascii="Times New Roman" w:cs="Times New Roman" w:eastAsia="Times New Roman" w:hAnsi="Times New Roman"/>
          <w:sz w:val="18"/>
          <w:szCs w:val="18"/>
          <w:color w:val="auto"/>
        </w:rPr>
        <w:t xml:space="preserve"> Building No. (3074) Prince Mohammed Bin Abdulaziz Rd - Al-Olaya Unit No. (265) Riyadh </w:t>
      </w:r>
      <w:r>
        <w:rPr>
          <w:rFonts w:ascii="Times New Roman" w:cs="Times New Roman" w:eastAsia="Times New Roman" w:hAnsi="Times New Roman"/>
          <w:sz w:val="18"/>
          <w:szCs w:val="18"/>
          <w:color w:val="111315"/>
        </w:rPr>
        <w:t>12213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6B6B70"/>
        </w:rPr>
        <w:t>-</w:t>
      </w:r>
      <w:r>
        <w:rPr>
          <w:rFonts w:ascii="Times New Roman" w:cs="Times New Roman" w:eastAsia="Times New Roman" w:hAnsi="Times New Roman"/>
          <w:sz w:val="18"/>
          <w:szCs w:val="18"/>
          <w:color w:val="auto"/>
        </w:rPr>
        <w:t xml:space="preserve"> 8022 Kingdom of Saudi Arabia.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426"/>
        </w:rPr>
        <w:t>Registered in th</w:t>
      </w:r>
      <w:r>
        <w:rPr>
          <w:rFonts w:ascii="Times New Roman" w:cs="Times New Roman" w:eastAsia="Times New Roman" w:hAnsi="Times New Roman"/>
          <w:sz w:val="18"/>
          <w:szCs w:val="18"/>
          <w:color w:val="000000"/>
        </w:rPr>
        <w:t>e Commercial Registration of Riyadh under unified No. ( ) dated: 24/09/1442H.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Represented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Faisal Sultan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Nationality: American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Iqama No: ( )</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Position: Manager of the Company and Authorized According to Article of Association Issued from Ministry of Trade Authenticated No.( ) dated 17/09/1442H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Hereinafter referred to as “THE BORROWER”</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The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Maximum amount of the Loan: </w:t>
      </w:r>
      <w:r>
        <w:rPr>
          <w:rFonts w:ascii="Times New Roman" w:cs="Times New Roman" w:eastAsia="Times New Roman" w:hAnsi="Times New Roman"/>
          <w:sz w:val="18"/>
          <w:szCs w:val="18"/>
          <w:color w:val="auto"/>
        </w:rPr>
        <w:t>SR5,190,000,000 (Five Billion, One Hundred Ninety Million Saudi Riyals)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Drawdown Termination Date: </w:t>
      </w:r>
      <w:r>
        <w:rPr>
          <w:rFonts w:ascii="Times New Roman" w:cs="Times New Roman" w:eastAsia="Times New Roman" w:hAnsi="Times New Roman"/>
          <w:sz w:val="18"/>
          <w:szCs w:val="18"/>
          <w:color w:val="auto"/>
        </w:rPr>
        <w:t>29/06/1448H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the Project: </w:t>
      </w:r>
      <w:r>
        <w:rPr>
          <w:rFonts w:ascii="Times New Roman" w:cs="Times New Roman" w:eastAsia="Times New Roman" w:hAnsi="Times New Roman"/>
          <w:sz w:val="18"/>
          <w:szCs w:val="18"/>
          <w:color w:val="auto"/>
        </w:rPr>
        <w:t>Lucid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Purpose of the Project: </w:t>
      </w:r>
      <w:r>
        <w:rPr>
          <w:rFonts w:ascii="Times New Roman" w:cs="Times New Roman" w:eastAsia="Times New Roman" w:hAnsi="Times New Roman"/>
          <w:sz w:val="18"/>
          <w:szCs w:val="18"/>
          <w:color w:val="auto"/>
        </w:rPr>
        <w:t>To Produce Electric Vehicles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of the Project: </w:t>
      </w:r>
      <w:r>
        <w:rPr>
          <w:rFonts w:ascii="Times New Roman" w:cs="Times New Roman" w:eastAsia="Times New Roman" w:hAnsi="Times New Roman"/>
          <w:sz w:val="18"/>
          <w:szCs w:val="18"/>
          <w:color w:val="auto"/>
        </w:rPr>
        <w:t>King Abdullah Economic City – Rabigh</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Loan Installment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6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Amount</w:t>
            </w:r>
          </w:p>
        </w:tc>
        <w:tc>
          <w:tcPr>
            <w:tcW w:w="5240" w:type="dxa"/>
            <w:vAlign w:val="bottom"/>
            <w:tcBorders>
              <w:top w:val="single" w:sz="8" w:color="auto"/>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1760" w:type="dxa"/>
            <w:vAlign w:val="bottom"/>
            <w:tcBorders>
              <w:top w:val="single" w:sz="8" w:color="auto"/>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No.</w:t>
            </w:r>
          </w:p>
        </w:tc>
      </w:tr>
      <w:tr>
        <w:trPr>
          <w:trHeight w:val="48"/>
        </w:trPr>
        <w:tc>
          <w:tcPr>
            <w:tcW w:w="426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15/10/1447H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15/04/1448H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02</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15/10/1448H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15/04/1449H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15/10/1449H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15/04/1450H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06</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15/10/1450H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15/04/1451H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08</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15/10/1451H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15/04/1452H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15/10/1452H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15/04/1453H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15/10/1453H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15/04/1454H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15/10/1454H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15/04/1455H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15/10/1455H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15/04/1456H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15/10/1456H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15/04/1457H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15/10/1457H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15/04/1458H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15/10/1458H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15/04/1459H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15/10/1459H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15/04/1460H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350,000,000</w:t>
            </w:r>
          </w:p>
        </w:tc>
        <w:tc>
          <w:tcPr>
            <w:tcW w:w="5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15/10/1460H</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5,190,000,000</w:t>
            </w:r>
          </w:p>
        </w:tc>
        <w:tc>
          <w:tcPr>
            <w:tcW w:w="52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2"/>
        </w:trPr>
        <w:tc>
          <w:tcPr>
            <w:tcW w:w="4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At all times during the tenure of the Fund’s loan the Borrower, without the prior written approval of the Fund to the contrary, undertakes to the following: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Minimum Current Ratio of 1:1 to be maintained throughout the lifetime of SIDF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 Total Liabilities/tangible net worth ratio not to be greater than 4:1 in the first two years of operations and then not to be greater than 3:1 throughout the remaining lifetime of the SIDF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Dividends: Maximum dividend/ withdrawal not to exceed the lesser of (25%) of the paid -in capital or the Fund’s loan Maturities in any fiscal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Maximum capital expenditures not to exceed SR 305,000,000 per annum.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Maximum lease rental not to exceed SR 152,500,000 per annum.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Operation Date: 4th Quarter 1445H (2nd Quarter 2024).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Special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The Borrower undertakes to comply with the SIDF Industrial Safety requirement s, the standards of the Saudi Standards, Metrology &amp; Quality Organization (SASO), the requirements of the General Authority of Meteorology and Environmental Protection and any other related Authority, whenever there are specifications or requirements applicable to the project and its products.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 The Borrower undertakes to maintain the requirements of the Ministry of Human Resources and Social Development throughout the term of SIDF’s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Borrower undertakes that all dealings between the project and any other related parties are to be conducted at an arms’ length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Borrower undertakes to submit Quarterly Inhouse and Annual Audited Financial Statements for project.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The Borrower undertakes to submit Quarterly project progress report for SIDF review and satisfaction.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Special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Any changes / amendments in the approved items should receive the Fund’s prior approval before disbursement for the amended / changed items.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 Prior to any disbursement of the loan, SIDF to receive a Letter of Comfort from the Public Investment Fund to cover Lucid Limited Co loan acceptable to SIDF.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Prior to any disbursement of the loan, the borrower to submit a valid Land Lease Agreement to the satisfaction of SIDF.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Prior to any disbursement of the loan, SIDF to receive the signed government incentive agreement(s) for the subject project.</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 Prior to any disbursement of the loan, SIDF to amend the loan amount and any adjustments where applicable for any grants provided by the Saudi government.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6- At any disbursement of the Loan, the Borrower to submit an amended Commercial Registration reflecting a minimum Paid-in Capital of 25% of the submitted project costs acceptable to SIDF.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Prior to any disbursement, the borrower to hire a Project Management Consul t ant to the satisfaction of SIDF.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Prior to any disbursement against Building and Civil works, SIDF to be satisfied with their cost and the scope.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Prior to any disbursement against Machinery and Equipment, SIDF to be satisfied with machinery and equipment suppliers, costs and specification.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Prior to any disbursement against IT and Office Equipment, SIDF to be satisfied with its cost and scope.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Prior to any disbursement against Vendor Tooling Assets, SIDF to be satisfied with the supplier plan, tooling agreement(s), and cost.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Prior to the disbursement of the final 20% of the loan, the borrower to hire a Qualified Operation Management team to the satisfaction of SIDF.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13- Prior to the disbursement of the final 20% of the loan, the borrower to obtain all relevant Market Certifications for the proposed products to the satisfaction of SIDF.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Prior to the disbursement of the final 20% of the loan, the borrower to submit a Marketing Plan to the satisfaction of SIDF.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Prior to the disbursement of the final 20% of the loan, the borrower to submit a plan to Recruit and Train Saudi Nationals to the satisfaction of SIDF.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16- Prior to the disbursement of the final 20% of the loan, the borrower to submit a valid Industrial License reflecting the proposed products and installed capacities as appraised by SIDF.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17- Prior to the disbursement of the final 20% of the loan, the borrower to comply with SIDF Industrial Safety and Environmental requirements to the satisfaction of SIDF.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18- Prior to disbursement of the final 20% of the Loan, the parties hereto will make an Inventory over the Borrower’s Fixed Assets and prepare a check list thereof showing their type, description, serial number and origin; to be duly signed by both the Borrower and the Fund’s Credit Consultant.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NOW IT IS HEREBY AGREED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l</w:t>
      </w:r>
      <w:r>
        <w:rPr>
          <w:rFonts w:ascii="Times New Roman" w:cs="Times New Roman" w:eastAsia="Times New Roman" w:hAnsi="Times New Roman"/>
          <w:sz w:val="18"/>
          <w:szCs w:val="18"/>
          <w:color w:val="auto"/>
        </w:rPr>
        <w:t>. (Firstly) :- The introduction of this agreement will be considered an integral part of 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(Secondly):- DEFINITIONS AND INTERPRETATION</w:t>
      </w:r>
    </w:p>
    <w:p>
      <w:pPr>
        <w:spacing w:after="0" w:line="225"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terms used in this agreement, will unless otherwise explicitly contradicting with the context mean :-</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Day” means any day other than Friday, Saturday and the official holidays in Saudi Arabia.</w:t>
      </w:r>
    </w:p>
    <w:p>
      <w:pPr>
        <w:spacing w:after="0" w:line="225" w:lineRule="exact"/>
        <w:rPr>
          <w:sz w:val="20"/>
          <w:szCs w:val="20"/>
          <w:color w:val="auto"/>
        </w:rPr>
      </w:pPr>
    </w:p>
    <w:p>
      <w:pPr>
        <w:ind w:firstLine="8"/>
        <w:spacing w:after="0" w:line="282" w:lineRule="auto"/>
        <w:tabs>
          <w:tab w:leader="none" w:pos="2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“Drawdown Period” means the period commencing on the date hereof and ending on the Drawdown Termination Date (stated on page 1) both dates inclusive.</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means the aggregate principal amount borrowed hereunder and for the time being outstanding.</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Note” means the Mortgage Note in the form annexed hereto (Exhibit 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or “Notes” means the Order Note or Notes executed by the Borrower delivered pursuant to the Fund pursuant to this Agreement in the form annexed hereto (Exhibit B).</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of the Fund” means the office of the Fund in Riyadh, Saudi Arabia.</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means the project described in (Exhibit A) hereto and “Project Description” means such description in the said (Exhibit A).</w:t>
      </w:r>
    </w:p>
    <w:p>
      <w:pPr>
        <w:spacing w:after="0" w:line="225" w:lineRule="exact"/>
        <w:rPr>
          <w:sz w:val="20"/>
          <w:szCs w:val="20"/>
          <w:color w:val="auto"/>
        </w:rPr>
      </w:pPr>
    </w:p>
    <w:p>
      <w:pPr>
        <w:ind w:firstLine="8"/>
        <w:spacing w:after="0" w:line="282"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the context otherwise dictates, words denoting the singular shall include the plural and vice versa, words denoting any gender shall include the other gender and the headings herein are for the purpose of reference only and shall not affect the construction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2.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and subject to the terms and conditions of this agreement, the Fund agrees to lend and the Borrower agrees to borrow, an aggregate principal amount of up to but not exceeding the Maximum Loan stated on page 1. There is no obligation on the Fund’s part to disburse the entire amount of the loan unless the terms and conditions regarding disbursement have been complied with. In this regard the Fund has the right either to suspend the loan disbursement until the Borrower fulfills the Fund’s required conditions to accept the financeable costs or to reduce the loan to the limit of such accepted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3. DRAWDOWN:</w:t>
      </w:r>
    </w:p>
    <w:p>
      <w:pPr>
        <w:spacing w:after="0" w:line="229" w:lineRule="exact"/>
        <w:rPr>
          <w:sz w:val="20"/>
          <w:szCs w:val="20"/>
          <w:color w:val="auto"/>
        </w:rPr>
      </w:pPr>
    </w:p>
    <w:p>
      <w:pPr>
        <w:ind w:right="20" w:firstLine="8"/>
        <w:spacing w:after="0" w:line="282" w:lineRule="auto"/>
        <w:tabs>
          <w:tab w:leader="none" w:pos="2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 will be made from time to time to compensate the Borrower for project costs incurred and paid all in accordance with the Fund’s disbursement policies. The Fund shall be satisfied that the costs incurred by the Borrower are true and valid.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should, wherever he decides to draw a portion of the loan amount subject to the terms and conditions of this agreement, send to the Fund, five Business days before the date he propose for such a drawing, within the Draw-dawn period, a written notice, by mail, Fax or telex, valid on delivery, setting forth the amount and date proposed for such drawing.</w:t>
      </w:r>
    </w:p>
    <w:p>
      <w:pPr>
        <w:spacing w:after="0" w:line="175" w:lineRule="exact"/>
        <w:rPr>
          <w:rFonts w:ascii="Times New Roman" w:cs="Times New Roman" w:eastAsia="Times New Roman" w:hAnsi="Times New Roman"/>
          <w:sz w:val="18"/>
          <w:szCs w:val="18"/>
          <w:color w:val="auto"/>
        </w:rPr>
      </w:pPr>
    </w:p>
    <w:p>
      <w:pPr>
        <w:jc w:val="both"/>
        <w:ind w:firstLine="8"/>
        <w:spacing w:after="0" w:line="25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drawing shall be paid by the Fund against the issue and delivery by the Borrower in favor of the Fund of a Note in an amount equal to the drawing concerned and with a maturity falling on the Drawdown Termination Date stated on page 1. Such Notes are hereinafter called “the Interim Notes”. Upon the Drawdown Termination Date each Interim Note shall be surrendered at the Office of the Fund and cancelled against issue and delivery by the Borrower in favor of the Fund of a series of Notes (“the Final Notes”) which remain in the Fund’s possession with aggregate face value equal to the aggregate face value of the surrendered Interim Notes and such series of Final Notes being in amounts and with maturities corresponding precisely to the repayment installments on the Loan to become due under Clause 4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4. PREPAYMENT: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repay the aggregate principal amount of the Loan outstanding at the expiration of the Drawdown Period on installments on the dates and in the Drawdown Period on installments on the dates and in the amounts shown on page 2, each such payment being made against surrender of the Final Note maturing on that date, provided that the amounts so shown shall be reduced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event that the Maximum amount of the Loan is not drawn or the Loan outstanding is reduced by one or more prepayments during the Drawdown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5. PREPAYMENT: (PREMATURED PAYMENT)</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may on any Business Day prepay the Loan in whole or in part without any penalty. However, amounts so prepaid may not be re-borrowed hereunder. Such amounts prepaid during the Drawdown Period shall be applied pro rata against the repayment installments referred to in Clause 4 above but such amounts prepaid after the Drawdown Period shall be applied against such installments in inverse order of maturity. Each prepayment shall be made against surrender and cancellation of such Interim or Final Notes as may be appropriate, and if the prepayment covers part only of any Note (whether Interim or Final) the Borrower shall at the time of making the payment, issue and deliver to the Fund a substitute Note for the part not so covered.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6.</w:t>
      </w:r>
      <w:r>
        <w:rPr>
          <w:rFonts w:ascii="Times New Roman" w:cs="Times New Roman" w:eastAsia="Times New Roman" w:hAnsi="Times New Roman"/>
          <w:sz w:val="18"/>
          <w:szCs w:val="18"/>
          <w:b w:val="1"/>
          <w:bCs w:val="1"/>
          <w:color w:val="auto"/>
        </w:rPr>
        <w:t xml:space="preserv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7.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payments to be made by the Borrower hereunder shall be made in immediately available funds and in legal money of Saudi Arabia without any deduction or withholding whatsoever either to the Office of the Fund or (if the Fund shall from time to time so specify) to such bank account as may be so specified with direct telex/telegraphic or Fax advice to the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8. CONDITIONS PRECEDENT: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 of the Fund to make the Loan available hereunder is subject to the conditions precedent that the Fund shall have received all of the following in the form and substance satisfactory to the Fund.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At or before signing this Agreement:</w:t>
      </w:r>
    </w:p>
    <w:p>
      <w:pPr>
        <w:spacing w:after="0" w:line="225" w:lineRule="exact"/>
        <w:rPr>
          <w:sz w:val="20"/>
          <w:szCs w:val="20"/>
          <w:color w:val="auto"/>
        </w:rPr>
      </w:pPr>
    </w:p>
    <w:p>
      <w:pPr>
        <w:ind w:firstLine="8"/>
        <w:spacing w:after="0" w:line="282"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Commercial Registration, Articles of Association and copy of the Industrial License for the Project or other corporate documentation of the Borrower as may be requested by the Fund.</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Borrower’s resolution to enter into this Agreement and the Mortgage Note;</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relevant agreements and documents necessary for signing this agreement and mortgage Deed.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At the time of submitting first request disbursement under Clause 3-1 above.</w:t>
      </w:r>
    </w:p>
    <w:p>
      <w:pPr>
        <w:spacing w:after="0" w:line="225" w:lineRule="exact"/>
        <w:rPr>
          <w:sz w:val="20"/>
          <w:szCs w:val="20"/>
          <w:color w:val="auto"/>
        </w:rPr>
      </w:pPr>
    </w:p>
    <w:p>
      <w:pPr>
        <w:ind w:firstLine="8"/>
        <w:spacing w:after="0" w:line="282" w:lineRule="auto"/>
        <w:tabs>
          <w:tab w:leader="none" w:pos="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of the Mortgage Note duly executed by the Borrower together with evidence that the Mortgage Note has been notarized and recorded with a Notary Public and that the title deeds or documents of any land concerned with the Project have been deposited with the Fund or its nominee;</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and documents including financial information concerning the Borrower and / or the Project as the Fund may request.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At the time of submitting subsequent disbursement requests: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shall represent, warrant and agree to and with the Fund that: –</w:t>
      </w:r>
    </w:p>
    <w:p>
      <w:pPr>
        <w:spacing w:after="0" w:line="225" w:lineRule="exact"/>
        <w:rPr>
          <w:sz w:val="20"/>
          <w:szCs w:val="20"/>
          <w:color w:val="auto"/>
        </w:rPr>
      </w:pPr>
    </w:p>
    <w:p>
      <w:pPr>
        <w:ind w:firstLine="8"/>
        <w:spacing w:after="0" w:line="282" w:lineRule="auto"/>
        <w:tabs>
          <w:tab w:leader="none" w:pos="3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out in Clause 9 below are true and accurate at that time as if made at that time; and undertakes to submit the original documents thereof if requested for identification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as specified in Clause 11 below or event which with the giving of notice, lapse of time or other conditions would constitute such an event of default has occurred and is continuing or would result from the drawing then proposed to be made;</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present to the Fund with such evidence as the Fund deems satisfactory of project expenditures.</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All requirements of the special conditions mentioned in the preamble shall be satisfied at the specific date limited in such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9. REPRESENTATIONS, WARRANTIES AND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hereby represents and warrants to and agrees with the Fund as follows: -</w:t>
      </w:r>
    </w:p>
    <w:p>
      <w:pPr>
        <w:spacing w:after="0" w:line="225" w:lineRule="exact"/>
        <w:rPr>
          <w:sz w:val="20"/>
          <w:szCs w:val="20"/>
          <w:color w:val="auto"/>
        </w:rPr>
      </w:pPr>
    </w:p>
    <w:p>
      <w:pPr>
        <w:jc w:val="both"/>
        <w:ind w:firstLine="8"/>
        <w:spacing w:after="0" w:line="261" w:lineRule="auto"/>
        <w:tabs>
          <w:tab w:leader="none" w:pos="2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is established and registered as shown on the introduction and the Borrower has the corporate power for, has taken all corporate action necessary and received all governmental permits necessary to authorize and operate the Project and for entry into and performance of this Agreement, that the Order Notes, the Mortgage Note and such other documents constitute legally valid and binding obligations of the Borrower and enforceable against it in accordance with their terms;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the Project in accordance with the plans and specifications contained or referred to in the Project Description and the proceeds of the Loan shall be used exclusively for the Project;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the Order Notes and the Mortgage Deed by the Borrower will not conflict with any legal or contractual obligation of the Borrower;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in default under any contractual obligations relating to the project and no event which, in association with the giving of notice, lapse of time or other conditions, would constitute such a default as aforesaid and no litigation, arbitration or administrative proceedings are presently current or pending or, to the knowledge of the Borrower acquaint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the Borrower and the project introduced to the Fund are true and correct and the Borrower is not aware of any facts, matter or thing which ought to be disclosed to the Fund or which if disclosed to the Fund might materially affect the decision of the Fund to make the Loan.</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SIDF is authorized to disclose and share SIDF-related information with government departments and agencies which shall be permitted to share such information with any other agency as per the regulations.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SIDF shall have the right to access clients’ financial statements and information on the Ministry of Commerce and Investment (Qawaem).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10. COVENANTS: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long as the Loan shall remain outstanding or any other amount shall remain payable hereunder the Borrower covenants and agrees that unless the Fund shall have first otherwise consented in writing: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Furnishing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Borrower shall furnish to the Fund (A) as soon as possible, but in no event later than 90 days after the end of its financial year, a balance sheet of the Borrower as at the end of such year together with a profit and loss account of the Borrower covering such year and such balance sheet and profit and loss account shall be certified by independent auditors selected by the Borrower and satisfactory to the Fund; (B) within 30 days after the end of each period of three months from the date hereof, interim financial statements including a statement of the application of all amounts disbursed by the Fund; (C) forthwith upon request from the Fund such further financial and other information and documents concerning the affairs and financial conditions of the project or the Borrower as the Fund may from time to time request.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Access to Books and Inspection: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shall keep proper books of record and account, and upon request of the Fund shall give any representative or agent of the Fund full and free access during normal business hours to examine, audit and make</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copies of and take extracts from all or any of its books, records, contracts and other documents and to inspect the Project and its site and any other properties or assets of the Project;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Supplemental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shall execute further mortgages over the property comprised in the Mortgage Note from time to time as required by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Maintenance of, Operations, Compliance with Laws: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Borrower shall (a) maintain and keep in force its Commercial Registration and the Industrial License for the Project and shall obtain and maintain all authorizations, required in relation to the Project and/or in relation to the making and performance of this Agreement, the Order Notes and the Mortgage Deed (b) not carry on any business or activity contradicting with the Project (c) observe and comply with all laws, regulations, orders, decrees and directives of any governmental authority, agency or court having jurisdiction over the Borrower or its property or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Litigations: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shall forthwith notify the Fund in writing and thereafter keep the Fund fully informed of any litigation, arbitration or administrative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Taxes - azakat: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Borrower shall pay and discharge any and all taxes assessments and governmental charges or levies relevant to the project and imposed upon it or its property or assets, prior to the dates on which penalties would otherwise attach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Insurance: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Borrower shall take out and maintain at its own expense with insurers acceptable to the Fund such insurance’s in such amounts against such risks and with only such restrictions and exclusions as may be satisfactory to the Fund. The policies relating to the said insurance’s shall contain or be endorsed with loss payee clauses in favour of the Fund if so requested by the Fund and such policies together with the premium receipts and any insurance certificates shall on demand be available for the Fund to inspect and take copies. In the event of any sums of money being received under any insurance in respect of any of the property and assets of the Borrower such sums shall be applied in replacing, restoring or reinstating the property or assets destroyed or damaged unless the Fund otherwise direct in writing.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Rentals: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shall not incur obligations in respect of leases or rents requiring expenditures during any financial year of the Borrower aggregating to more than the Maximum Rental Sum stated on the introduction;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Over obligation: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shall not (other than as provided in the Mortgage Deed and unless otherwise consented to by the Fund) create, incur or suffer the existence of any mortgage, charge, lien, pledge or other encumbrance on any of its property, revenue or assets now owned or hereafter acquired;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Merger: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Borrower shall not unless otherwise consented to by the Fund (a) merge or consolidate with or into any person or corporation (b) sell, lease, transfer or otherwise dispose of (whether by a single transaction or by a number of</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whether independent or consolidated) the whole or a substantial part of its project or (except in the ordinary course of trading) its assets, whether now owned or hereafter acquired; or (c) acquire or assume all or substantially all of the assets and/or liabilities of any person or corporate;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Substantial Changes: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shall not make any substantial change in the Project as described in the Project Description without the written consent of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Working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shall at all times after the commencement of the commercial operation of the Project maintain a ratio of Current Assets of the Borrower to Current Liabilities of the Borrower of not less than the Working Capital Ratio stated on the introduction. For this purpose “Current Assets” and “Current Liabilities” shall be determined in accordance with generally accepted accounting principles and practices consistently applied but also include any principal repayments on any indebtedness for borrowed money becoming due within 12 (twelve) months of the date when the accounts should be made (including repayments in respect of the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Total Liabilities to Tangible Net worth Ratio: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Borrower shall at all times after the commencement of the commercial operation of the Project, maintain a ratio of Total Liabilities of the Borrower to Tangible Net Worth of the Borrower of no more than Leverage Ratio stated on the introduction. For this purpose “Total Liabilities” shall mean all liabilities of the Borrower which would, in accordance with generally accepted accounting principles consistently applied, be classified as liabilities but specifically including full provision for all contingent liabilities but excluding any indebtedness of the Borrower subordinated in a manner satisfactory to the Fund. Also for this purpose “Tangible Net Worth” which shall be ascertained in accordance with generally accepted accounting principles consistently applied shall mean the current amount for the time being of the paid up share capital of the Borrower plus any indebtedness of the Borrower subordinated in a manner satisfactory to the Fund plus or minus the current amount represents balance of the Reserve Accounts and Profit and Loss Account of the Borrower minus any amount attributable to goodwill or other intangible assets or to the revaluation of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Dividends&amp; other distributions: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will be distributed after deducting the accumulated losses but the Borrower shall not declare, pay or make any dividend or other distributions of a similar nature to its shareholders in the following cases:</w:t>
      </w:r>
    </w:p>
    <w:p>
      <w:pPr>
        <w:spacing w:after="0" w:line="162" w:lineRule="exact"/>
        <w:rPr>
          <w:sz w:val="20"/>
          <w:szCs w:val="20"/>
          <w:color w:val="auto"/>
        </w:rPr>
      </w:pPr>
    </w:p>
    <w:p>
      <w:pPr>
        <w:jc w:val="both"/>
        <w:ind w:firstLine="8"/>
        <w:spacing w:after="0" w:line="256" w:lineRule="auto"/>
        <w:tabs>
          <w:tab w:leader="none" w:pos="3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as specified in Clause 11 below or an event which with the giving of notice, lapse of time or other conditions would constitute such an event of default has occurred and is continuing; or (B) Prior to the first maturity under Clause 4 above of a Final Order Note; or (C) If and to the extent that the aggregate amount of all such payments, dividends and distributions in relation to any financial year of the Borrower (the Relevant Year”) exceeds the aggregate of (1) the Maximum Dividend percentage (stated on the introduction) of the paid up share capital of the Borrower at the end of its preceding financial year and (2) an amount equal to any prepayment made to the Fund in the Relevant Year under Clause 5 above; (15) Capital Expenditure: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capital expenditures by the Borrower in any financial year after the year in which commercial operation of the Project commences shall not exceed the Maximum Capital Expenditure stated on the introduction;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will at all times maintain management level acceptable to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Change of Entity or Proprietorship:</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 in the legal entity of the Borrower or the persons constituting the Borrower shall occur without the prior written consent of the Fund.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11. EVENTS OF DEFAULT: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Borrower will be considered defaulting, If any of the following events set forth hereinafter shall occur, and any of them will be deemed as an “event of default”: -</w:t>
      </w:r>
    </w:p>
    <w:p>
      <w:pPr>
        <w:spacing w:after="0" w:line="162" w:lineRule="exact"/>
        <w:rPr>
          <w:sz w:val="20"/>
          <w:szCs w:val="20"/>
          <w:color w:val="auto"/>
        </w:rPr>
      </w:pPr>
    </w:p>
    <w:p>
      <w:pPr>
        <w:jc w:val="both"/>
        <w:ind w:firstLine="8"/>
        <w:spacing w:after="0" w:line="261" w:lineRule="auto"/>
        <w:tabs>
          <w:tab w:leader="none" w:pos="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Borrower in the payment, when due, of any principal in respect of the Loan or the Order Notes or other amount payable hereunder; (2) Default by the Borrower in the performance of observance of any provisions contained herein or in the Order Notes (not being a default within paragraph</w:t>
      </w:r>
    </w:p>
    <w:p>
      <w:pPr>
        <w:jc w:val="both"/>
        <w:ind w:firstLine="8"/>
        <w:spacing w:after="0" w:line="251" w:lineRule="auto"/>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Clause) or in the Mortgage Note, provided that in any such case in which the default is in the opinion of the Fund liable to prompt remedy but not have been remedied within a period of 30 (thirty) days after notice to the Borrower requiring such remedy; (3) Any presentation or warranty made by the Borrower hereunder or in the Order Notes or the Mortgage Note or in any statement or certificate furnished pursuant to this loan Agreement or these documents shall prove to have been incorrect in any material respect; (4) Any indebtedness for money borrowed or for a deferred purchase price of property for which the Borrower is or may become liable, as principal obligor, guarantor or otherwise, becomes due and payable or is liable of being declared due and payable prior to its stated maturity or any such indebtedness not paid on the stated maturity or at the expiration of any applicable grace period therefore; (5) The Borrower shall (a) apply for or consent to the appointment of a receiver, trustee or liquidator of itself, or of its property; (b) be unable, or admit in writing its inability to pay its debts as they mature; (c) make a general assignment for the benefit of creditors; be adjudicated as bankrupt or insolvent; or (e) have a liquidator or other guardian of the Borrower appointed; (f) file a voluntary petition in bankruptcy; or (g) the Borrower ceases individually or collectively to be partner or sole proprietor as the case may be without the consent of the Fund, such consent not to be unreasonably withheld; (6) The Project shall be abandoned at any time or commercial operation of the Project shall not commence prior to the Operation Date stated on the introduction; Therefore, and in any such event, the Fund may, immediately terminate its obligations of the Fund hereunder, by Mail, Cable, Telex or Facsimile Notice to the Borrower, declaring the Loan hereunder and under the Order Notes (to be forthwith) payable by the Borrower, whereupon all other amounts matured under this agreement and other related documents shall be forthwith due and payable, without need to further demand, to the Borrower or before any competent authority, protest or other notice whatsoever, as all of claim these are hereby waived by the Borrower.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12. JURISDICTION AND APPLICABLE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agreement, the Order Notes and the Mortgage Deed are subject to, governed by and shall be construed in accordance with both the substantive and procedural laws and regulations of the Kingdom of Saudi Arabia. The Saudi courts of justice shall be the only competent courts to deal with any question arising from this Agreement, the Order Notes or the Mortgage Deed; except on occurrence of any of the events of default provided in Clause 11 herein where the Fund shall collect the amount of the loan pursuant to the “Public Funds Collection Act’ and the preceding and subsequent amendments thereto or any other Regulations as may be decided by the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Clause 13. MISCELLANEOUS:</w:t>
      </w:r>
    </w:p>
    <w:p>
      <w:pPr>
        <w:spacing w:after="0" w:line="229" w:lineRule="exact"/>
        <w:rPr>
          <w:sz w:val="20"/>
          <w:szCs w:val="20"/>
          <w:color w:val="auto"/>
        </w:rPr>
      </w:pPr>
    </w:p>
    <w:p>
      <w:pPr>
        <w:jc w:val="both"/>
        <w:ind w:firstLine="8"/>
        <w:spacing w:after="0" w:line="266"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on the part of the Fund to exercise, and no delay in exercising or partial exercise of, any right hereunder or under the Order Notes or the Mortgage Note shall operate as a waiver hereof. The remedies provided herein and therein are cumulative and not exclusive of any remedies provided by law or regulation.</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herein, all notices, requests and demands shall be deemed to have been sufficiently given to or made upon either party hereto by the other party when sent by mail, full postage prepaid, addressed to such party at its address set forth above or at such other address with notified to the other party for the purpose of this paragraph.</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ind w:left="-8" w:firstLine="8"/>
        <w:spacing w:after="0" w:line="282" w:lineRule="auto"/>
        <w:tabs>
          <w:tab w:leader="none" w:pos="2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expressly consents and agrees that the books and records of the Fund (in addition to the executed outstanding Order Notes) shall at all times be conclusive evidence of the facts and matters stated therein with regard to the Loan.</w:t>
      </w:r>
    </w:p>
    <w:p>
      <w:pPr>
        <w:spacing w:after="0" w:line="161" w:lineRule="exact"/>
        <w:rPr>
          <w:rFonts w:ascii="Times New Roman" w:cs="Times New Roman" w:eastAsia="Times New Roman" w:hAnsi="Times New Roman"/>
          <w:sz w:val="18"/>
          <w:szCs w:val="18"/>
          <w:color w:val="auto"/>
        </w:rPr>
      </w:pPr>
    </w:p>
    <w:p>
      <w:pPr>
        <w:ind w:left="-8" w:right="20" w:firstLine="8"/>
        <w:spacing w:after="0" w:line="282" w:lineRule="auto"/>
        <w:tabs>
          <w:tab w:leader="none" w:pos="2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to be made by the Borrower shall become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left="-8" w:firstLine="8"/>
        <w:spacing w:after="0" w:line="282" w:lineRule="auto"/>
        <w:tabs>
          <w:tab w:leader="none" w:pos="2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exist for the benefit of the parties hereto and that of their respective heirs, successors and assigns, provided that the Borrower may not assign any of its rights or obligations hereunder without the prior written consent of the Fund.</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all costs and expenses in connection with the preparation, execution, delivery and enforcement of this Agreement, the Order Notes and the Mortgage Deed including without limitation the performance of the Mortgage Deed and the furnishing of such documents, as the Fund may reasonably request.</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conflict between the Arabic and English versions of this Agreement, the Order Notes or the Mortgage Note the Arabic version shall in all cases prevail but the English version shall be used to assist in any interpretation.</w:t>
      </w:r>
    </w:p>
    <w:p>
      <w:pPr>
        <w:sectPr>
          <w:pgSz w:w="11900" w:h="16838" w:orient="portrait"/>
          <w:cols w:equalWidth="0" w:num="1">
            <w:col w:w="11232"/>
          </w:cols>
          <w:pgMar w:left="328" w:top="1440" w:right="339" w:bottom="1440" w:gutter="0" w:footer="0" w:header="0"/>
        </w:sectPr>
      </w:pPr>
    </w:p>
    <w:bookmarkStart w:id="94" w:name="page95"/>
    <w:bookmarkEnd w:id="9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480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w w:val="98"/>
              </w:rPr>
              <w:t>FUND’S SIGNATURE</w:t>
            </w:r>
          </w:p>
        </w:tc>
      </w:tr>
      <w:tr>
        <w:trPr>
          <w:trHeight w:val="20"/>
        </w:trPr>
        <w:tc>
          <w:tcPr>
            <w:tcW w:w="2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46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 Faisal Sultan : Signature</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 Mohammed A. Al-Jasser : Signature</w:t>
            </w:r>
          </w:p>
        </w:tc>
      </w:tr>
      <w:tr>
        <w:trPr>
          <w:trHeight w:val="445"/>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Faisal Sultan</w:t>
            </w:r>
          </w:p>
        </w:tc>
        <w:tc>
          <w:tcPr>
            <w:tcW w:w="48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Name: Mohammed A. Al-Jasser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7112000</wp:posOffset>
            </wp:positionH>
            <wp:positionV relativeFrom="paragraph">
              <wp:posOffset>-711200</wp:posOffset>
            </wp:positionV>
            <wp:extent cx="8255" cy="1268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26873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-711200</wp:posOffset>
            </wp:positionV>
            <wp:extent cx="8890" cy="1268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26873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-711200</wp:posOffset>
            </wp:positionV>
            <wp:extent cx="8255" cy="1268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268730"/>
                    </a:xfrm>
                    <a:prstGeom prst="rect">
                      <a:avLst/>
                    </a:prstGeom>
                    <a:noFill/>
                  </pic:spPr>
                </pic:pic>
              </a:graphicData>
            </a:graphic>
          </wp:anchor>
        </w:drawing>
      </w:r>
    </w:p>
    <w:p>
      <w:pPr>
        <w:spacing w:after="0" w:line="191" w:lineRule="exact"/>
        <w:rPr>
          <w:sz w:val="20"/>
          <w:szCs w:val="20"/>
          <w:color w:val="auto"/>
        </w:rPr>
      </w:pPr>
    </w:p>
    <w:p>
      <w:pPr>
        <w:ind w:right="1899"/>
        <w:spacing w:after="0" w:line="254" w:lineRule="auto"/>
        <w:rPr>
          <w:sz w:val="20"/>
          <w:szCs w:val="20"/>
          <w:color w:val="auto"/>
        </w:rPr>
      </w:pPr>
      <w:r>
        <w:rPr>
          <w:rFonts w:ascii="Times New Roman" w:cs="Times New Roman" w:eastAsia="Times New Roman" w:hAnsi="Times New Roman"/>
          <w:sz w:val="18"/>
          <w:szCs w:val="18"/>
          <w:color w:val="auto"/>
        </w:rPr>
        <w:t>Position: Manager of the Company and Authorized According to Article of Position: VP/Legal and Compliance Association Issued from Ministry of Trade Authenticated No( ) dated: 17/09/1442H</w:t>
      </w:r>
    </w:p>
    <w:p>
      <w:pPr>
        <w:sectPr>
          <w:pgSz w:w="11900" w:h="16838" w:orient="portrait"/>
          <w:cols w:equalWidth="0" w:num="1">
            <w:col w:w="10099"/>
          </w:cols>
          <w:pgMar w:left="360" w:top="1440"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(Project Description)</w:t>
      </w:r>
    </w:p>
    <w:p>
      <w:pPr>
        <w:sectPr>
          <w:pgSz w:w="11900" w:h="16838" w:orient="portrait"/>
          <w:cols w:equalWidth="0" w:num="1">
            <w:col w:w="9019"/>
          </w:cols>
          <w:pgMar w:left="1440" w:top="1400" w:right="1440" w:bottom="1440" w:gutter="0" w:footer="0" w:header="0"/>
        </w:sectPr>
      </w:pPr>
    </w:p>
    <w:bookmarkStart w:id="96" w:name="page97"/>
    <w:bookmarkEnd w:id="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Order Notes</w:t>
      </w:r>
    </w:p>
    <w:p>
      <w:pPr>
        <w:sectPr>
          <w:pgSz w:w="11900" w:h="16838" w:orient="portrait"/>
          <w:cols w:equalWidth="0" w:num="1">
            <w:col w:w="9019"/>
          </w:cols>
          <w:pgMar w:left="1440" w:top="1400" w:right="1440" w:bottom="1440" w:gutter="0" w:footer="0" w:header="0"/>
        </w:sectPr>
      </w:pPr>
    </w:p>
    <w:bookmarkStart w:id="98" w:name="page99"/>
    <w:bookmarkEnd w:id="98"/>
    <w:p>
      <w:pPr>
        <w:spacing w:after="0" w:line="176"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executed in English and Arabic; Arabic version has been omitted for purposes of this filing.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Side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Lucid Limited Company, A Limited Liability Company -One Person-, established and organized under the laws and regulations of Saudi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Arabia with its National Address: Building No. (3074) Unit No. (265) Riyadh 12213 – 8022 Kingdom of Saudi Arabia. registered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Registry of Riyadh under unified No. ( ) dated: 24/09/1442H.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attention of: Lucid Limited Company</w:t>
      </w:r>
    </w:p>
    <w:p>
      <w:pPr>
        <w:spacing w:after="0" w:line="225" w:lineRule="exact"/>
        <w:rPr>
          <w:sz w:val="20"/>
          <w:szCs w:val="20"/>
          <w:color w:val="auto"/>
        </w:rPr>
      </w:pPr>
    </w:p>
    <w:p>
      <w:pPr>
        <w:ind w:right="6300" w:firstLine="8"/>
        <w:spacing w:after="0" w:line="500" w:lineRule="auto"/>
        <w:tabs>
          <w:tab w:leader="none" w:pos="34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day of [07] 1443H (corresponding to [27] day of [02] 2022G) Dear Sirs,</w:t>
      </w:r>
    </w:p>
    <w:p>
      <w:pPr>
        <w:spacing w:after="0" w:line="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refer to each of the following:</w:t>
      </w:r>
    </w:p>
    <w:p>
      <w:pPr>
        <w:spacing w:after="0" w:line="225" w:lineRule="exact"/>
        <w:rPr>
          <w:sz w:val="20"/>
          <w:szCs w:val="20"/>
          <w:color w:val="auto"/>
        </w:rPr>
      </w:pPr>
    </w:p>
    <w:p>
      <w:pPr>
        <w:ind w:left="660" w:right="20" w:hanging="652"/>
        <w:spacing w:after="0" w:line="282" w:lineRule="auto"/>
        <w:tabs>
          <w:tab w:leader="none" w:pos="6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 5,190,000,000 (Five Billion, One Hundred Ninety Million Saudi Riyals loan agreement number (6400, SAU7135) (the Agreement) dated [26-01-1443H, 27-02-2022] between the Company and the Saudi Industrial Development Fund;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 up agreement number (6400, SAU7135) dated [26-01-1443H, 27-02-2022] between the Company and the Saudi Industrial Development Fund (the Follow up Agreement);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is supplemental to and amends the Agreement and Follow up Agreement.</w:t>
      </w:r>
    </w:p>
    <w:p>
      <w:pPr>
        <w:spacing w:after="0" w:line="22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Capitalised terms defined in the relevant Amended Agreement have the same meaning when used in this letter unless expressly defined in this letter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Clarifications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Amended Agreement is amended and/or clarified (as applicable) in the manner set out in the Schedule to this letter on and from the date on which this letter is signed by both parties as set out below.</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letter, each Amended Agreement and this letter will be read and construed as a single document, respectively.</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letter, each Amended Agreement remains in full force and effect.</w:t>
      </w:r>
    </w:p>
    <w:p>
      <w:pPr>
        <w:spacing w:after="0" w:line="221"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subject to, governed by and shall be construed in accordance with, both the substantive and procedural laws and regulations of the Kingdom of Saudi Arabia.</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agree to the terms of this letter, please sign where indicated below.</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Yours faithfully,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Mohammed Bin Abdullah Al-Jasser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SAUDI INDUSTRIAL DEVELOPMENT FUND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Mohammed Bin Abdullah Al-Jasser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VP/ Legal and Compliance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agree to the terms of this letter.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Faisal Sultan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Limited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Faisal Sultan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Position: </w:t>
      </w:r>
      <w:r>
        <w:rPr>
          <w:rFonts w:ascii="Times New Roman" w:cs="Times New Roman" w:eastAsia="Times New Roman" w:hAnsi="Times New Roman"/>
          <w:sz w:val="18"/>
          <w:szCs w:val="18"/>
          <w:color w:val="auto"/>
        </w:rPr>
        <w:t>Manager of the Company and Authorized According to Article of Association Issued from Ministry of Trade Authenticated No. dated: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17/09/1442H.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26/07/1443H (27/02/2022Gr)</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“SIDE LETTER”</w:t>
      </w:r>
    </w:p>
    <w:p>
      <w:pPr>
        <w:spacing w:after="0" w:line="238" w:lineRule="exact"/>
        <w:rPr>
          <w:sz w:val="20"/>
          <w:szCs w:val="20"/>
          <w:color w:val="auto"/>
        </w:rPr>
      </w:pPr>
    </w:p>
    <w:p>
      <w:pPr>
        <w:ind w:right="3060" w:firstLine="3061"/>
        <w:spacing w:after="0" w:line="445" w:lineRule="auto"/>
        <w:rPr>
          <w:sz w:val="20"/>
          <w:szCs w:val="20"/>
          <w:color w:val="auto"/>
        </w:rPr>
      </w:pPr>
      <w:r>
        <w:rPr>
          <w:rFonts w:ascii="Times New Roman" w:cs="Times New Roman" w:eastAsia="Times New Roman" w:hAnsi="Times New Roman"/>
          <w:sz w:val="22"/>
          <w:szCs w:val="22"/>
          <w:b w:val="1"/>
          <w:bCs w:val="1"/>
          <w:u w:val="single" w:color="auto"/>
          <w:color w:val="auto"/>
        </w:rPr>
        <w:t>Amendment of Loan Agreement, Follow Up Agreement 1-Amendments to the Loan Agreement</w:t>
      </w:r>
      <w:r>
        <w:rPr>
          <w:rFonts w:ascii="Times New Roman" w:cs="Times New Roman" w:eastAsia="Times New Roman" w:hAnsi="Times New Roman"/>
          <w:sz w:val="22"/>
          <w:szCs w:val="22"/>
          <w:b w:val="1"/>
          <w:bCs w:val="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clarification related to Special Conditions and Special Covenants: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each of the Special Conditions and Special Covenants, where any effort is required to be done to the satisfaction of the Fund, such satisfaction shall not be unreasonably withheld, delayed or conditioned”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3: DRAWDOWN</w:t>
      </w:r>
      <w:r>
        <w:rPr>
          <w:rFonts w:ascii="Times New Roman" w:cs="Times New Roman" w:eastAsia="Times New Roman" w:hAnsi="Times New Roman"/>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Paragraph 1 Clause 3 is amended to read as follows: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“Disbursement will be made from time to time to compensate the Borrower for project costs incurred and paid all in accordance with the Fund’s disbursement policies. The Fund acting reasonably shall be satisfied that the costs incurred by the Borrower are true and valid.”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7: PAYMENTS</w:t>
      </w:r>
      <w:r>
        <w:rPr>
          <w:rFonts w:ascii="Times New Roman" w:cs="Times New Roman" w:eastAsia="Times New Roman" w:hAnsi="Times New Roman"/>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 7 is amended to read as follows: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“All payments to be made by the Borrower hereunder shall be made in immediately available funds and in legal money of Saudi Arabia without any deduction or withholding whatsoever either to the Office of the Fund or (if the Fund shall from time to time so specify)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account as may be so specified with direct telex/telegraphic, Fax or email ( ) advice to the Fund.”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8: CONDITIONS PRECEDENT</w:t>
      </w:r>
      <w:r>
        <w:rPr>
          <w:rFonts w:ascii="Times New Roman" w:cs="Times New Roman" w:eastAsia="Times New Roman" w:hAnsi="Times New Roman"/>
          <w:sz w:val="22"/>
          <w:szCs w:val="22"/>
          <w:b w:val="1"/>
          <w:bCs w:val="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Paragraph 2 (B) Clause 8 is amended to read as follows:</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“Such other information and documents including financial information concerning the Borrower and / or the Project as the Fund may reasonably request.”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9: Representations, Warranties and Agreements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1-Paragraph 4 Clause 9 is amended to read as follows: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Borrower is not in default under any contractual obligations relating to the project and no event which, in association with the giving of notice, lapse of time or other conditions, would constitute such a default as aforesaid and no material litigation, arbitration or administrative proceedings are presently current or pending or, to the knowledge of the Borrower expected.”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2-Paragraph 5 Clause 9 is amended to read as follows: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information concerning the Borrower and the project introduced to the Fund are true and correct in all material respects and the Borrower is not aware of any facts, matter or thing which ought to be</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disclosed to the Fund or which if disclosed to the Fund might materially affect the decision of the Fund to make the Loan.”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10: COVENANTS</w:t>
      </w:r>
      <w:r>
        <w:rPr>
          <w:rFonts w:ascii="Times New Roman" w:cs="Times New Roman" w:eastAsia="Times New Roman" w:hAnsi="Times New Roman"/>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1-Paragraph 1 Clause 10 is amended to read as follows: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Borrower shall furnish to the Fund (A) as soon as possible, but in no event later than 90 days after the end of its financial year, a balance sheet of the Borrower as at the end of such year together with a profit and loss account of the Borrower covering such year and such balance sheet and profit and loss account shall be certified by qualified independent auditors in KSA and selected by the Borrower and reasonably acceptable to the Fund; (B) within 45 days after the end of quarter 1, 2 and 3, interim financial statements including a statement of the application of all amounts disbursed by the Fund; (C) forthwith upon request from the Fund such further financial and other information and documents concerning the affairs and financial conditions of the project or the Borrower as the Fund may request from time to time as soon as possible, but in no event later than 30 days.”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2-Paragraph 2 Clause 10 is amended to read as follows: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Borrower shall keep proper books of record and account, and upon request of the Fund reasonably acceptable to the Borrower such access as the Fund reasonably requires during normal business hours to examine, audit and make copies of and take extracts from all or any of its books, records, contracts and other documents and to inspect the Project and its site and any other properties or assets of the Project, on reasonable notice and subject to the reasonably requirements of the Borrower in respect of attendance at sites controlled by the Borrower, given that the Borrower does not obstruct the Fund’s inspections.”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3-Paragraph 3 Clause 10 is amended to read as follows:</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Borrower shall execute further mortgages over the property comprised in the Mortgage Note from time to time as reasonably required by the Fund.”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4-Paragraph 4 Clause 10 is amended to read as follows: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Borrower shall (a) maintain and keep in force its Commercial Registration and the Industrial License for the Project and shall obtain and maintain all authorizations, required in relation to the Project and/or in relation to the making and performance of this Agreement, the Order Notes and the Mortgage Deed (b) not carry on any business or activity contradicting with the Project (c) observe and comply in all material respects with all laws, regulations, orders, decrees and directives of any governmental authority, agency or court having jurisdiction over the Borrower or its property or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5-Paragraph 5 Clause 10 is amended to read as follows:</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Borrower shall forthwith notify the Fund in writing and thereafter keep the Fund fully informed of any material litigation, arbitration or administrative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6-Paragraph 6 Clause 10 is amended to read as follows: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Borrower shall pay and discharge any and all taxes assessments and governmental charges or levies relevant to the project and imposed upon it or its property or assets, prior to the dates on which penalties would otherwise attach thereto save to the extent they are being contested, in which case the Borrower</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will notify the Fund of the contested matter. Upon providing notice to the Fund, the contested matter will not constitute a breach of this paragraph of the Loan Agreement between the Fund and Borrower, the final verdict will be based on the conclusion of the related authorities.”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7-Paragraph 7 Clause 10 is amended to read as follows: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Borrower shall take out and maintain at its own expense with insurers acceptable to the Fund such insurance and permeation from the Saudi central Bank (SAMA)’s on the assets of the project and the total coverage under said policy will not be less than the book value of the project’s fixed assets. In addition, the Borrower will secure reasonable insurance for the facility in accordance with standard practices, and in any event subject to what is available in the market on reasonable commercial terms. The policies relating to the said insurance’s shall contain or be endorsed with loss payee clauses as a first beneficiary and should contain a 30-day cancellation clause in favour of the Fund if so requested by the Fund and such policies together with the premium receipts and any insurance certificates shall on demand be available for the Fund to inspect and take copies. In the event of any sums of money being received under any insurance in respect of any of the property and assets of the Borrower such sums shall be applied in replacing, restoring or reinstating the property or assets destroyed or damaged unless the Fund otherwise direct in writing.”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8-Paragraph 9 Clause 10 is amended to read as follows: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-Increased obligation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Borrower shall not (other than as provided in the Mortgage Deed and unless otherwise consented to by the Fund) create, incur or suffer the existence of any mortgage, charge, lien, pledge or other encumbrance on any of its property, revenue or assets now owned or hereafter acquired; the fund consent to such impairment shall not be unreasonably withheld, conditioned or delayed.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9-Paragraph 16 Clause 10 is amended to read as follows: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will at all times maintain management level acceptable to the Fund acting reasonably.”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11: EVENTS OF DEFAULT</w:t>
      </w:r>
      <w:r>
        <w:rPr>
          <w:rFonts w:ascii="Times New Roman" w:cs="Times New Roman" w:eastAsia="Times New Roman" w:hAnsi="Times New Roman"/>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Paragraph 1 Clause 11 is amended to read as follows:</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“Default by the Borrower in the payment, when due, of any principal in respect of the Loan or the Order Notes or other amount payable hereunder unless such payment is made with 5 business days of the due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Clause 13: MISCELLANEOUS</w:t>
      </w:r>
      <w:r>
        <w:rPr>
          <w:rFonts w:ascii="Times New Roman" w:cs="Times New Roman" w:eastAsia="Times New Roman" w:hAnsi="Times New Roman"/>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Paragraph 3 Clause 13 is amended to read as follows: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Borrower hereby expressly consents and agrees that the books and records of the Fund (in addition to the executed outstanding Order Notes) shall at all times be evidence of the facts and matters stated therein with regard to the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2-Amendments to the Follow Up Agreement</w:t>
      </w:r>
      <w:r>
        <w:rPr>
          <w:rFonts w:ascii="Times New Roman" w:cs="Times New Roman" w:eastAsia="Times New Roman" w:hAnsi="Times New Roman"/>
          <w:sz w:val="22"/>
          <w:szCs w:val="22"/>
          <w:b w:val="1"/>
          <w:bCs w:val="1"/>
          <w:color w:val="auto"/>
        </w:rPr>
        <w:t>:</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 3 is amended to read as follows: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Investor undertakes to pay SIDF in return for the tasks mentioned in clause 2 above charges to be specified by SIDF based on the working hours spent by SIDF employees in executing those tasks, and the Maximum of any individual semi-annual follow-up fees not to exceed SR 52,000,000 (Fifty Two Million Saudi Riyals) and the total of all fees not to exceed SR 1,350,000,000 (One Billion, Three Hundred Fifty Million Saudi Riyals) throughout the term of the loan, of which SIDF will send periodical notices to the Investor. The records of SIDF shall be a true proof and conclusive evidence in this concern. In the event of the extension of the relationship after the final repayment for any reason, the Fund has the right to modify the cap on the follow-up fees identified above. In the event of prepayment of the full loan amount, the Fund will not impose any penalties and follow-up fees, except for the fees due prior to the prepayment date.”</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executed in English and Arabic; Arabic version has been omitted for purposes of this filing.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[Official Letterhead of the Ministry of Finance of the Kingdom of Saudi Arabia]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Undertaking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April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Lucid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Subject: The Government of the Kingdom of Saudi Arabia and its entities and corporate subsidiaries (together, the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need to purchase up to one hundred thousand (100,000) vehicles from the Company and its affiliates.</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refer to the earlier discussions between the Kingdom and the Company with respect to the framework agreement whereunder Lucid will manufacture electric vehicles in the Kingdom and the Kingdom’s initiatives relating to the circular carbon economy and the Saudi Green Initiative. We also refer to the Agreement for the Disclosure of Confidential Information executed 25 November 2021 between Company and the Kingdom.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Therefore,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 the Kingdom, hereby, undertakes to purchase, whether through direct procurement or other structures allowing the desired utilization (together,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(50,000) electric vehicles from the various categories produced by the Company and its affiliates;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the Kingdom may Purchase an additional (50,000) vehicles as it deems appropriate for it;</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3 - the Purchase of the vehicles referred to in paragraphs (1) and (2) above shall be at the lower of the following prices at the time of order, unless different pricing is agreed in writing by the Kingdom and the Company at the time of order or prior to it: (i) the standard retail price for the applicable vehicle in the Kingdom; and (ii) the standard retail price for the applicable vehicle in the United States of America plus actual cost of logistics, import, and other actual costs of delivery and homologation to local regulations;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4 - the Purchase and provision of the vehicles referred to in paragraphs (1) and (2) above shall be during a (10) year period commencing from the date of the first order;</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5 - the delivery of the vehicles subject to Purchase as referred to in paragraphs (1) and (2) above shall commence promptly after notification by Company that its vehicles are homologated for delivery in the Kingdom, and in any event no later than Q2 2023; and</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6 - the annual quantity of the vehicles subject to Purchase as referred to in paragraphs (1) and (2) above shall be determined as follows: the Kingdom will give notice of the desired quantity of each type of vehicle annually, and the Company will not unreasonably object to such quantity and vehicle type in view of the then-current production capacity, status and timeline for homologation of the desired vehicle type(s) in the Kingdom, and its then-current book of reservations and orders; provided, however, that the annual quantity shall be between 1,000 and 2,000 vehicles initially and between 4,000 and 7,000 vehicles starting in 2025 unless later agreed otherwise by the Kingdom and the Company.</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of the Kingdom and the Company may disclose the material details of this letter to the public without obtaining the consent of the other following the Company’s securities filing disclosing the terms of this letter, which the Company is obligated to use its best endeavours to make the filing immediately after the signing of this letter, and notifying the Kingdom of the same.</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letter and any dispute arising out of, or in connection to it or its formation shall be subject to the laws applicable in the Kingdom of Saudi Arabia and the exclusive jurisdiction of the courts of competent jurisdiction in the Kingdom of Saudi Arabia.</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Mohammed Abdullah Aljadaan</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Mohammed Abdullah Aljadaan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Minister of Finance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hereby confirms its acceptance of its obligation to provide the vehicles referred to in paragraphs (1) and (2) above pursuant to the provisions set out in this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Faisal Sultan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Managing Director, Middle East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Faisal Sultan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20 April, 2022</w:t>
      </w:r>
    </w:p>
    <w:p>
      <w:pPr>
        <w:sectPr>
          <w:pgSz w:w="11900" w:h="16838" w:orient="portrait"/>
          <w:cols w:equalWidth="0" w:num="1">
            <w:col w:w="11180"/>
          </w:cols>
          <w:pgMar w:left="320" w:top="1440" w:right="3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Rawlinson, certify that:</w:t>
      </w:r>
    </w:p>
    <w:p>
      <w:pPr>
        <w:spacing w:after="0" w:line="117"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4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Peter Rawlinson</w:t>
            </w:r>
          </w:p>
        </w:tc>
      </w:tr>
      <w:tr>
        <w:trPr>
          <w:trHeight w:val="218"/>
        </w:trPr>
        <w:tc>
          <w:tcPr>
            <w:tcW w:w="696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Peter Rawlinson</w:t>
            </w:r>
          </w:p>
        </w:tc>
      </w:tr>
      <w:tr>
        <w:trPr>
          <w:trHeight w:val="230"/>
        </w:trPr>
        <w:tc>
          <w:tcPr>
            <w:tcW w:w="6960" w:type="dxa"/>
            <w:vAlign w:val="bottom"/>
          </w:tcPr>
          <w:p>
            <w:pPr>
              <w:spacing w:after="0"/>
              <w:rPr>
                <w:sz w:val="19"/>
                <w:szCs w:val="19"/>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96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Sherry House, certify that:</w:t>
      </w:r>
    </w:p>
    <w:p>
      <w:pPr>
        <w:spacing w:after="0" w:line="11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Sherry House</w:t>
            </w:r>
          </w:p>
        </w:tc>
      </w:tr>
      <w:tr>
        <w:trPr>
          <w:trHeight w:val="218"/>
        </w:trPr>
        <w:tc>
          <w:tcPr>
            <w:tcW w:w="57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Sherry House</w:t>
            </w:r>
          </w:p>
        </w:tc>
      </w:tr>
      <w:tr>
        <w:trPr>
          <w:trHeight w:val="230"/>
        </w:trPr>
        <w:tc>
          <w:tcPr>
            <w:tcW w:w="5720" w:type="dxa"/>
            <w:vAlign w:val="bottom"/>
          </w:tcPr>
          <w:p>
            <w:pPr>
              <w:spacing w:after="0"/>
              <w:rPr>
                <w:sz w:val="19"/>
                <w:szCs w:val="19"/>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72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03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2022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Rawlinson</w:t>
            </w:r>
          </w:p>
        </w:tc>
      </w:tr>
      <w:tr>
        <w:trPr>
          <w:trHeight w:val="218"/>
        </w:trPr>
        <w:tc>
          <w:tcPr>
            <w:tcW w:w="592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Peter Rawlinson</w:t>
            </w:r>
          </w:p>
        </w:tc>
      </w:tr>
      <w:tr>
        <w:trPr>
          <w:trHeight w:val="229"/>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9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2022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Sherry House</w:t>
            </w:r>
          </w:p>
        </w:tc>
      </w:tr>
      <w:tr>
        <w:trPr>
          <w:trHeight w:val="218"/>
        </w:trPr>
        <w:tc>
          <w:tcPr>
            <w:tcW w:w="5700" w:type="dxa"/>
            <w:vAlign w:val="bottom"/>
          </w:tcPr>
          <w:p>
            <w:pPr>
              <w:spacing w:after="0"/>
              <w:rPr>
                <w:sz w:val="18"/>
                <w:szCs w:val="18"/>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Sherry House</w:t>
            </w:r>
          </w:p>
        </w:tc>
      </w:tr>
      <w:tr>
        <w:trPr>
          <w:trHeight w:val="230"/>
        </w:trPr>
        <w:tc>
          <w:tcPr>
            <w:tcW w:w="57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7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upperLetter"/>
      <w:start w:val="2"/>
    </w:lvl>
  </w:abstractNum>
  <w:abstractNum w:abstractNumId="37">
    <w:nsid w:val="684A481A"/>
    <w:multiLevelType w:val="hybridMultilevel"/>
    <w:lvl w:ilvl="0">
      <w:lvlJc w:val="left"/>
      <w:lvlText w:val="(%1)"/>
      <w:numFmt w:val="upperLetter"/>
      <w:start w:val="4"/>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upperLetter"/>
      <w:start w:val="1"/>
    </w:lvl>
  </w:abstractNum>
  <w:abstractNum w:abstractNumId="41">
    <w:nsid w:val="1BA026FA"/>
    <w:multiLevelType w:val="hybridMultilevel"/>
    <w:lvl w:ilvl="0">
      <w:lvlJc w:val="left"/>
      <w:lvlText w:val="(%1)"/>
      <w:numFmt w:val="upperLetter"/>
      <w:start w:val="1"/>
    </w:lvl>
  </w:abstractNum>
  <w:abstractNum w:abstractNumId="42">
    <w:nsid w:val="79A1DEAA"/>
    <w:multiLevelType w:val="hybridMultilevel"/>
    <w:lvl w:ilvl="0">
      <w:lvlJc w:val="left"/>
      <w:lvlText w:val="(%1)"/>
      <w:numFmt w:val="upperLetter"/>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upperLetter"/>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3"/>
    </w:lvl>
  </w:abstractNum>
  <w:abstractNum w:abstractNumId="49">
    <w:nsid w:val="23F9C13C"/>
    <w:multiLevelType w:val="hybridMultilevel"/>
    <w:lvl w:ilvl="0">
      <w:lvlJc w:val="left"/>
      <w:lvlText w:val="[%1]"/>
      <w:numFmt w:val="decimal"/>
      <w:start w:val="26"/>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2"/>
    </w:lvl>
  </w:abstractNum>
  <w:abstractNum w:abstractNumId="53">
    <w:nsid w:val="1CF10FD8"/>
    <w:multiLevelType w:val="hybridMultilevel"/>
    <w:lvl w:ilvl="0">
      <w:lvlJc w:val="left"/>
      <w:lvlText w:val="(%1)"/>
      <w:numFmt w:val="lowerLetter"/>
      <w:start w:val="4"/>
    </w:lvl>
  </w:abstractNum>
  <w:abstractNum w:abstractNumId="54">
    <w:nsid w:val="180115BE"/>
    <w:multiLevelType w:val="hybridMultilevel"/>
    <w:lvl w:ilvl="0">
      <w:lvlJc w:val="left"/>
      <w:lvlText w:val="(%1)"/>
      <w:numFmt w:val="lowerLetter"/>
      <w:start w:val="5"/>
    </w:lvl>
  </w:abstractNum>
  <w:abstractNum w:abstractNumId="55">
    <w:nsid w:val="235BA861"/>
    <w:multiLevelType w:val="hybridMultilevel"/>
    <w:lvl w:ilvl="0">
      <w:lvlJc w:val="left"/>
      <w:lvlText w:val="%1."/>
      <w:numFmt w:val="decimal"/>
      <w:start w:val="5"/>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2022-05-06T11:59:59Z</dcterms:created>
  <dcterms:modified xsi:type="dcterms:W3CDTF">2022-05-06T11:59:59Z</dcterms:modified>
</cp:coreProperties>
</file>