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1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1282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Alnowaiser Turqi A.</w:t>
              </w:r>
            </w:hyperlink>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Borders>
              <w:bottom w:val="single" w:sz="8" w:color="0000EE"/>
            </w:tcBorders>
            <w:gridSpan w:val="2"/>
            <w:vMerge w:val="continue"/>
          </w:tcPr>
          <w:p>
            <w:pPr>
              <w:spacing w:after="0"/>
              <w:rPr>
                <w:sz w:val="4"/>
                <w:szCs w:val="4"/>
                <w:color w:val="auto"/>
              </w:rPr>
            </w:pPr>
          </w:p>
        </w:tc>
        <w:tc>
          <w:tcPr>
            <w:tcW w:w="4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06/04/2026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34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8"/>
              </w:rPr>
              <w:t>1,248</w:t>
            </w:r>
            <w:r>
              <w:rPr>
                <w:rFonts w:ascii="Times New Roman" w:cs="Times New Roman" w:eastAsia="Times New Roman" w:hAnsi="Times New Roman"/>
                <w:sz w:val="17"/>
                <w:szCs w:val="17"/>
                <w:color w:val="008000"/>
                <w:w w:val="9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5.72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231,182</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3"/>
              </w:rPr>
              <w:t>43,870</w:t>
            </w:r>
            <w:r>
              <w:rPr>
                <w:rFonts w:ascii="Times New Roman" w:cs="Times New Roman" w:eastAsia="Times New Roman" w:hAnsi="Times New Roman"/>
                <w:sz w:val="17"/>
                <w:szCs w:val="17"/>
                <w:color w:val="008000"/>
                <w:w w:val="93"/>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(4)</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275,052</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8"/>
              </w:rPr>
              <w:t>1,299</w:t>
            </w:r>
            <w:r>
              <w:rPr>
                <w:rFonts w:ascii="Times New Roman" w:cs="Times New Roman" w:eastAsia="Times New Roman" w:hAnsi="Times New Roman"/>
                <w:sz w:val="17"/>
                <w:szCs w:val="17"/>
                <w:color w:val="008000"/>
                <w:w w:val="98"/>
                <w:vertAlign w:val="superscript"/>
              </w:rPr>
              <w:t>(5)</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(4)</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276,351</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3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34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4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time-based vesting of restricted stock units previously reported on Form 4s filed by the reporting person.</w:t>
      </w:r>
    </w:p>
    <w:p>
      <w:pPr>
        <w:spacing w:after="0" w:line="40" w:lineRule="exact"/>
        <w:rPr>
          <w:rFonts w:ascii="Times New Roman" w:cs="Times New Roman" w:eastAsia="Times New Roman" w:hAnsi="Times New Roman"/>
          <w:sz w:val="10"/>
          <w:szCs w:val="10"/>
          <w:color w:val="008000"/>
        </w:rPr>
      </w:pPr>
    </w:p>
    <w:p>
      <w:pPr>
        <w:ind w:left="40" w:right="12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deemed a beneficial owner of 10% of the issued and outstanding shares of Class A Common Stock of the Issuer because the reporting person has voting power over 280,188,185 shares of Class A Common Stock (the "Ayar Shares") beneficially owned by Ayar Third Investment Company ("Ayar"), a wholly-owned subsidiary of The Public Investment Fund ("PIF"), pursuant to authority delegated to him as a co-manager of Ayar, as reported on the Schedule 13D/A filed with the Securities and Exchange Commission on April 30, 2026, by the PIF. The reporting person does not have, and disclaims, any pecuniary interest in such Ayar Shares.</w:t>
      </w:r>
    </w:p>
    <w:p>
      <w:pPr>
        <w:spacing w:after="0" w:line="12" w:lineRule="exact"/>
        <w:rPr>
          <w:rFonts w:ascii="Times New Roman" w:cs="Times New Roman" w:eastAsia="Times New Roman" w:hAnsi="Times New Roman"/>
          <w:sz w:val="10"/>
          <w:szCs w:val="10"/>
          <w:color w:val="008000"/>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7073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739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73801"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2026-06-08T15:29:50Z</dcterms:created>
  <dcterms:modified xsi:type="dcterms:W3CDTF">2026-06-08T15:29:50Z</dcterms:modified>
</cp:coreProperties>
</file>