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Newark, CA 94560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14,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Lucid Group, Inc.</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File No. 333-275372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Lucid Group,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hereby requests that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take appropriate action to cause the above-referenced Registration Statement on Form S-3 to become effective on November 16, 2023, at 4:30 p.m., Eastern Time, or as soon thereafter as is practicable or at such later time as the Registrant may orally request via telephone call to the staff of the Commission. The Registrant hereby authorizes Emily Roberts of Davis Polk &amp; Wardwell LLP, counsel to the Registrant, to make such request on its behalf.</w:t>
      </w:r>
    </w:p>
    <w:p>
      <w:pPr>
        <w:spacing w:after="0" w:line="180"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Emily Roberts of Davis Polk &amp; Wardwell LLP, counsel to the Registrant, at (650) 752-2085.</w:t>
      </w:r>
    </w:p>
    <w:p>
      <w:pPr>
        <w:spacing w:after="0" w:line="1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 w:name="page2"/>
    <w:bookmarkEnd w:id="1"/>
    <w:p>
      <w:pPr>
        <w:ind w:left="5632"/>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32"/>
        <w:spacing w:after="0"/>
        <w:tabs>
          <w:tab w:leader="none" w:pos="6172"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Sherry House</w:t>
      </w:r>
    </w:p>
    <w:p>
      <w:pPr>
        <w:spacing w:after="0" w:line="36"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-119380</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jc w:val="right"/>
        <w:ind w:right="2259"/>
        <w:spacing w:after="0"/>
        <w:tabs>
          <w:tab w:leader="none" w:pos="1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both"/>
        <w:ind w:left="652" w:right="7119" w:hanging="652"/>
        <w:spacing w:after="0" w:line="276" w:lineRule="auto"/>
        <w:tabs>
          <w:tab w:leader="none" w:pos="65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Sherry House, Lucid Group, Inc. Benjamin Uy, Lucid Group, Inc.</w:t>
      </w: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Emily Roberts,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1"/>
      </w:cols>
      <w:pgMar w:left="328"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2023-12-15T23:11:47Z</dcterms:created>
  <dcterms:modified xsi:type="dcterms:W3CDTF">2023-12-15T23:11:47Z</dcterms:modified>
</cp:coreProperties>
</file>