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50225.xml.htm"/>
      <w:bookmarkStart w:id="1" w:name="kswkform4_17809502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Maynard-Elliott Nichelle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Lucid Group, Inc.</w:t>
              </w:r>
            </w:hyperlink>
            <w:r>
              <w:rPr/>
              <w:t xml:space="preserve"> [ </w:t>
            </w:r>
            <w:r>
              <w:rPr>
                <w:rFonts w:ascii="Times;serif" w:hAnsi="Times;serif"/>
                <w:color w:val="0000FF"/>
                <w:sz w:val="24"/>
                <w:shd w:fill="FFFFFF" w:val="clear"/>
              </w:rPr>
              <w:t>LCID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43,870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69,754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are settled in shares of Class A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Nichelle Maynard-Elliott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maynardellio.htm"/>
      <w:bookmarkStart w:id="3" w:name="kssection16poamaynardelli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LUCID GROUP, INC. POWER OF ATTORNEY Know all by these present, that I, the undersigned director and/or officer of Lucid Group, Inc., a Delaware corporation (the “Company”), hereby constitute and appoint, Brian Tomkiel, Doug Stewart and Bruce Wang and each of them, my true and lawful attorneys-in-fact and agents, with full power to act, together or each without the other, with full power of substitution and resubstitution, for me and in my name, place and stead, in any and all capacities: (i) to execute and file for and on behalf of the undersigned any reports on Forms 3, 4, and 5 (including any amendments thereto and any successors to such Forms) with respect to ownership acquisition or disposition of securities of the Company in accordance with Section 16(a) of the Securities Exchange Act of 1934, as amended (the “Exchange Act”), and the rules promulgated thereunder; (ii) to request electronic filing codes from the U.S. Securities and Exchange Commission by filing the Form ID (including amendments thereto) and any other documents necessary or appropriate to obtain codes and passwords enabling the undersigned to file such reports electronically; (iii) to prepare, file, and submit any Notices of Proposed Sale of Securities Pursuant to Rule 144 (“Form 144”) to permit the undersigned to sell Company common stock without registration under the Securities Act of 1933, as amended (the “Securities Act”) in reliance on Rule 144 as amended from time to time; or (iv) take any other action of any type whatsoever requisite, necessary or advisable to be done in the exercise of any of the rights and powers herein granted, as fully to all intents and purposes as the undersigned might or could do if personally present,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 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 This Power of Attorney shall remain in full force and effect until the undersigned is no longer required to file Forms 3, 4, or 5 or Form 144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___________________________________. Name: Nichelle Maynard-Elliott June 2, 2026 /s/ Nichelle Maynard-Elliott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230" TargetMode="External"/><Relationship Id="rId5" Type="http://schemas.openxmlformats.org/officeDocument/2006/relationships/hyperlink" Target="http://www.sec.gov/cgi-bin/browse-edgar?action=getcompany&amp;CIK=00018112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1179</Words>
  <Characters>6302</Characters>
  <CharactersWithSpaces>7424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section16poamaynardellio</dc:title>
</cp:coreProperties>
</file>