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417195</wp:posOffset>
            </wp:positionV>
            <wp:extent cx="427736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October 8, 2021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ind w:right="60" w:firstLine="360"/>
        <w:spacing w:after="0" w:line="290"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65" w:lineRule="exact"/>
        <w:rPr>
          <w:sz w:val="24"/>
          <w:szCs w:val="24"/>
          <w:color w:val="auto"/>
        </w:rPr>
      </w:pPr>
    </w:p>
    <w:p>
      <w:pPr>
        <w:ind w:right="280" w:firstLine="360"/>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ind w:right="40" w:firstLine="360"/>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July 23, 2021, our majority stockholder, Ayar, owned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ind w:right="20" w:firstLine="324"/>
        <w:spacing w:after="0" w:line="259"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and Public Warrants are listed on The Nasdaq Stock Market LLC under the symbols “LCID” and “LCIDW,” respectively. On October 7, 2021, the closing price of our Class A common stock was $24.38 per share and the closing price for our Public Warrants was $10.83.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firstLine="360"/>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October 8,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23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Delaware</w:t>
            </w:r>
          </w:p>
        </w:tc>
        <w:tc>
          <w:tcPr>
            <w:tcW w:w="376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001-39408</w:t>
            </w:r>
          </w:p>
        </w:tc>
        <w:tc>
          <w:tcPr>
            <w:tcW w:w="250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20" w:type="dxa"/>
            <w:vAlign w:val="bottom"/>
          </w:tcPr>
          <w:p>
            <w:pPr>
              <w:jc w:val="center"/>
              <w:ind w:right="1210"/>
              <w:spacing w:after="0"/>
              <w:rPr>
                <w:sz w:val="20"/>
                <w:szCs w:val="20"/>
                <w:color w:val="auto"/>
              </w:rPr>
            </w:pPr>
            <w:r>
              <w:rPr>
                <w:rFonts w:ascii="Arial" w:cs="Arial" w:eastAsia="Arial" w:hAnsi="Arial"/>
                <w:sz w:val="18"/>
                <w:szCs w:val="18"/>
                <w:color w:val="auto"/>
                <w:w w:val="88"/>
              </w:rPr>
              <w:t>(State or other</w:t>
            </w:r>
          </w:p>
        </w:tc>
        <w:tc>
          <w:tcPr>
            <w:tcW w:w="3760" w:type="dxa"/>
            <w:vAlign w:val="bottom"/>
          </w:tcPr>
          <w:p>
            <w:pPr>
              <w:jc w:val="center"/>
              <w:ind w:left="50"/>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90"/>
              <w:spacing w:after="0"/>
              <w:rPr>
                <w:sz w:val="20"/>
                <w:szCs w:val="20"/>
                <w:color w:val="auto"/>
              </w:rPr>
            </w:pPr>
            <w:r>
              <w:rPr>
                <w:rFonts w:ascii="Arial" w:cs="Arial" w:eastAsia="Arial" w:hAnsi="Arial"/>
                <w:sz w:val="18"/>
                <w:szCs w:val="18"/>
                <w:color w:val="auto"/>
                <w:w w:val="93"/>
              </w:rPr>
              <w:t>(I.R.S. Employer</w:t>
            </w:r>
          </w:p>
        </w:tc>
      </w:tr>
      <w:tr>
        <w:trPr>
          <w:trHeight w:val="216"/>
        </w:trPr>
        <w:tc>
          <w:tcPr>
            <w:tcW w:w="2320" w:type="dxa"/>
            <w:vAlign w:val="bottom"/>
          </w:tcPr>
          <w:p>
            <w:pPr>
              <w:jc w:val="center"/>
              <w:ind w:right="1210"/>
              <w:spacing w:after="0"/>
              <w:rPr>
                <w:sz w:val="20"/>
                <w:szCs w:val="20"/>
                <w:color w:val="auto"/>
              </w:rPr>
            </w:pPr>
            <w:r>
              <w:rPr>
                <w:rFonts w:ascii="Arial" w:cs="Arial" w:eastAsia="Arial" w:hAnsi="Arial"/>
                <w:sz w:val="18"/>
                <w:szCs w:val="18"/>
                <w:color w:val="auto"/>
                <w:w w:val="97"/>
              </w:rPr>
              <w:t>jurisdiction of</w:t>
            </w:r>
          </w:p>
        </w:tc>
        <w:tc>
          <w:tcPr>
            <w:tcW w:w="3760" w:type="dxa"/>
            <w:vAlign w:val="bottom"/>
          </w:tcPr>
          <w:p>
            <w:pPr>
              <w:jc w:val="center"/>
              <w:ind w:left="50"/>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20" w:type="dxa"/>
            <w:vAlign w:val="bottom"/>
          </w:tcPr>
          <w:p>
            <w:pPr>
              <w:jc w:val="center"/>
              <w:ind w:right="1210"/>
              <w:spacing w:after="0"/>
              <w:rPr>
                <w:sz w:val="20"/>
                <w:szCs w:val="20"/>
                <w:color w:val="auto"/>
              </w:rPr>
            </w:pPr>
            <w:r>
              <w:rPr>
                <w:rFonts w:ascii="Arial" w:cs="Arial" w:eastAsia="Arial" w:hAnsi="Arial"/>
                <w:sz w:val="18"/>
                <w:szCs w:val="18"/>
                <w:color w:val="auto"/>
                <w:w w:val="92"/>
              </w:rPr>
              <w:t>incorporation)</w:t>
            </w:r>
          </w:p>
        </w:tc>
        <w:tc>
          <w:tcPr>
            <w:tcW w:w="376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157" w:lineRule="exact"/>
        <w:rPr>
          <w:sz w:val="20"/>
          <w:szCs w:val="20"/>
          <w:color w:val="auto"/>
        </w:rPr>
      </w:pPr>
    </w:p>
    <w:p>
      <w:pPr>
        <w:sectPr>
          <w:pgSz w:w="11900" w:h="16838" w:orient="portrait"/>
          <w:cols w:equalWidth="0" w:num="1">
            <w:col w:w="11240"/>
          </w:cols>
          <w:pgMar w:left="320" w:top="1440" w:right="339" w:bottom="1440" w:gutter="0" w:footer="0" w:header="0"/>
        </w:sect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0"/>
          <w:szCs w:val="20"/>
          <w:color w:val="auto"/>
        </w:rPr>
      </w:pPr>
    </w:p>
    <w:p>
      <w:pPr>
        <w:sectPr>
          <w:pgSz w:w="11900" w:h="16838" w:orient="portrait"/>
          <w:cols w:equalWidth="0" w:num="2">
            <w:col w:w="7320" w:space="720"/>
            <w:col w:w="3200"/>
          </w:cols>
          <w:pgMar w:left="320" w:top="1440" w:right="339" w:bottom="1440" w:gutter="0" w:footer="0" w:header="0"/>
          <w:type w:val="continuous"/>
        </w:sectPr>
      </w:pPr>
    </w:p>
    <w:p>
      <w:pPr>
        <w:jc w:val="center"/>
        <w:ind w:right="100"/>
        <w:spacing w:after="0"/>
        <w:rPr>
          <w:sz w:val="20"/>
          <w:szCs w:val="20"/>
          <w:color w:val="auto"/>
        </w:rPr>
      </w:pPr>
      <w:r>
        <w:rPr>
          <w:rFonts w:ascii="Arial" w:cs="Arial" w:eastAsia="Arial" w:hAnsi="Arial"/>
          <w:sz w:val="16"/>
          <w:szCs w:val="16"/>
          <w:color w:val="auto"/>
        </w:rPr>
        <w:t>Registrant’s telephone number, including area code: (510) 648-3553</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176530</wp:posOffset>
            </wp:positionV>
            <wp:extent cx="2194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Warrants, each exercisable for one share of Class A</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Stock at an exercise price of $11.50 per</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ind w:left="80"/>
        <w:spacing w:after="0"/>
        <w:tabs>
          <w:tab w:leader="none" w:pos="13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Lucid Group, Inc. (the “Company”) currently has outstanding the following types of warrants: (i) warrants that were issued in the initial public offering of the Company’s predecessor, Churchill Capital Corp IV (the “Public Warrants”), (ii) warrants that were issued in a private placement (the “Private Placement Warrants”), and (iii) warrants that were issued to the sponsor of the Company’s predecessor pursuant to a promissory note with terms identical to the Private Placement Warrants (together with the Private Placement Warrants, the “Sponsor Warrants”). The Company’s warrants are listed on The Nasdaq Stock Market (“Nasdaq”) and currently trade under the symbol “LCIDW.”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previously disclosed, on September 8, 2021, the Company provided notice to the holders of the Public Warrants that their warrants would be redeemed in accordance with the terms of such warrants on October 8, 2021 (the “Redemption”).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effectiveness of the Redemption on October 8, 2021, the remaining outstanding warrants of the Company consist of approximately 44.4 million Sponsor Warrants, exercisable for approximately 44.4 million shares of the Company’s Class A common stock, which are currently only held by one warrant holder.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 of the remaining Sponsor Warrants has the right to exercise its warrants for cash at a price of $11.50 per share or on a cashless basis at any time. If holders of the Sponsor Warrants subsequently transfer their warrants, other than to certain permitted transferees, those transferred warrants would be subject to redemption by the Company provided that the conditions for redemption are satisfied.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Given the limited number of warrant holders remaining after the Redemption, and the Company’s right to potentially redeem transferred warrants, the Company believes that trading activity in the warrants will be limited following the Redemption, which could negatively affect the liquidity of the warrants. Based on these considerations, combined with the costs associated with the continued listing of the warrants, the Company believes that continued listing of the warrants is not necessary. The Company has determined that it is in its best interests to voluntarily withdraw the listing of the remaining warrants from Nasdaq following the Redemption.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Accordingly, on October 8, 2021, the Company notified Nasdaq of its intent to withdraw the warrants from listing on Nasdaq. The Company intends to file a Form 25 with the Securities and Exchange Commission on October 18, 2021 relating to the warrants, with the delisting to be effective ten days thereafter.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listing of the Company’s Class A common stock, which is traded on Nasdaq under the ticker symbol “LCID,” will not be affected by the delisting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8, 2021, the Company issued a press release announcing the Company’s intention to withdraw the warrants from listing on Nasdaq. A copy of the press release is attached hereto as Exhibit 99.1.</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c>
          <w:tcPr>
            <w:tcW w:w="9820" w:type="dxa"/>
            <w:vAlign w:val="bottom"/>
          </w:tcPr>
          <w:p>
            <w:pPr>
              <w:spacing w:after="0"/>
              <w:rPr>
                <w:sz w:val="20"/>
                <w:szCs w:val="20"/>
                <w:color w:val="auto"/>
              </w:rPr>
            </w:pPr>
          </w:p>
        </w:tc>
      </w:tr>
      <w:tr>
        <w:trPr>
          <w:trHeight w:val="432"/>
        </w:trPr>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 Number</w:t>
            </w:r>
          </w:p>
        </w:tc>
        <w:tc>
          <w:tcPr>
            <w:tcW w:w="98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8, 2021</w:t>
            </w:r>
          </w:p>
        </w:tc>
      </w:tr>
      <w:tr>
        <w:trPr>
          <w:trHeight w:val="418"/>
        </w:trPr>
        <w:tc>
          <w:tcPr>
            <w:tcW w:w="440" w:type="dxa"/>
            <w:vAlign w:val="bottom"/>
          </w:tcPr>
          <w:p>
            <w:pPr>
              <w:ind w:left="20"/>
              <w:spacing w:after="0"/>
              <w:rPr>
                <w:sz w:val="20"/>
                <w:szCs w:val="20"/>
                <w:color w:val="auto"/>
              </w:rPr>
            </w:pPr>
            <w:r>
              <w:rPr>
                <w:rFonts w:ascii="Arial" w:cs="Arial" w:eastAsia="Arial" w:hAnsi="Arial"/>
                <w:sz w:val="18"/>
                <w:szCs w:val="18"/>
                <w:color w:val="auto"/>
              </w:rPr>
              <w:t>104</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8"/>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8, 2021</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2404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154305</wp:posOffset>
            </wp:positionV>
            <wp:extent cx="401193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119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LUCID ANNOUNCES VOLUNTARY DELISTING OF WARRANTS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NEWARK, CA — October 8, 2021 — Lucid Group, Inc. (the “Company”), which is setting new standards with its advanced luxury EVs, today announced that it has notified The Nasdaq Stock Market (“Nasdaq”) of its intention to voluntarily withdraw the Nasdaq listing of its warrants to purchase its Class A common stock following the completion of the Company’s previously announced redemption of certain outstanding warrants. The listing of the Company’s Class A common stock, which is traded on Nasdaq under the ticker symbol “LCID,” will not be affected by the delisting of the Company’s warrants.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currently has outstanding (i) warrants that were issued in the initial public offering of the Company's predecessor, Churchill Capital Corp IV (the “Public Warrants”), (ii) warrants that were issued in a private placement (the “Private Placement Warrants"), and (iii) warrants that were issued to the sponsor of the Company’s predecessor pursuant to a promissory note with terms identical to the Private Placement Warrants (together with the Private Placement Warrants, the “Sponsor Warrants”). The Company’s warrants are listed on Nasdaq under the symbol “LCIDW."</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the Company redeemed the Public Warrants in accordance with their terms on October 8, 2021 (the “Redemption”). After the effectiveness of the Redemption on October 8, 2021, the Company anticipates that the remaining outstanding warrants of the Company will consist of approximately 44.4 million Sponsor Warrants, exercisable for approximately 44.4 million shares of Class A common stock, which are currently only held by one warrant holder.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 of the remaining Sponsor Warrants has the right to exercise its warrants for cash at a price of $11.50 per share or on a cashless basis at any time. If holders of the Sponsor Warrants subsequently transfer their warrants, other than to certain permitted transferees, those transferred warrants would be subject to redemption by the Company provided that the conditions for redemption are satisfied.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limited number of warrant holders remaining after the Redemption, and the Company’s right to potentially redeem transferred warrants, the Company believes that trading activity in the warrants will be limited following the Redemption, which could negatively affect the liquidity of the warrants. Based on these considerations, combined with the costs associated with the continued listing of the warrants, the Company believes that continued listing of the warrants is not necessary. The Company has determined that it is in its best interests to voluntarily withdraw the listing of the remaining warrants from Nasdaq following the Redemption.</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Accordingly, on October 8, 2021, the Company notified Nasdaq of its intent to withdraw the warrants from listing on Nasdaq. The Company intends to file a Form 25 with the Securities and Exchange Commission on October 18, 2021 relating to the warrants, with the delisting to be effective ten days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Lucid Group</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Lucid Air features a luxurious full-size interior space in a mid-size exterior footprint. Customer deliveries of Lucid Air, which is produced at Lucid’s new factory in Casa Grande, Arizona, are planned to begin in late October.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related to the start of production and deliveries of the Lucid Air and Lucid Gravity, the performance, range, and other features of the Lucid Air, construction and expansion of the Company’s AMP-1 manufacturing facility, and the promise of the Company’s technology. These statements are based on various assumptions, and actual events and circumstances may differ. Forward-looking statements are subject to a number of risks and uncertainties, including factors discussed in the Company’s Registration Statement on Form S-1, as amended,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2021-10-08T15:49:16Z</dcterms:created>
  <dcterms:modified xsi:type="dcterms:W3CDTF">2021-10-08T15:49:16Z</dcterms:modified>
</cp:coreProperties>
</file>