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0"/>
        <w:spacing w:after="0"/>
        <w:rPr>
          <w:sz w:val="20"/>
          <w:szCs w:val="20"/>
          <w:color w:val="auto"/>
        </w:rPr>
      </w:pPr>
      <w:r>
        <w:rPr>
          <w:rFonts w:ascii="Calibri" w:cs="Calibri" w:eastAsia="Calibri" w:hAnsi="Calibri"/>
          <w:sz w:val="11"/>
          <w:szCs w:val="11"/>
          <w:color w:val="003366"/>
        </w:rPr>
        <w:t>TABLE OF CONTENTS</w:t>
      </w:r>
    </w:p>
    <w:p>
      <w:pPr>
        <w:spacing w:after="0" w:line="354"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14"/>
          <w:szCs w:val="14"/>
          <w:b w:val="1"/>
          <w:bCs w:val="1"/>
          <w:color w:val="auto"/>
        </w:rPr>
        <w:t> Filed pursuant to Rule 424(b)(7)​</w:t>
      </w:r>
    </w:p>
    <w:p>
      <w:pPr>
        <w:jc w:val="right"/>
        <w:ind w:right="1379"/>
        <w:spacing w:after="0"/>
        <w:rPr>
          <w:sz w:val="20"/>
          <w:szCs w:val="20"/>
          <w:color w:val="auto"/>
        </w:rPr>
      </w:pPr>
      <w:r>
        <w:rPr>
          <w:rFonts w:ascii="Times New Roman" w:cs="Times New Roman" w:eastAsia="Times New Roman" w:hAnsi="Times New Roman"/>
          <w:sz w:val="14"/>
          <w:szCs w:val="14"/>
          <w:b w:val="1"/>
          <w:bCs w:val="1"/>
          <w:color w:val="auto"/>
        </w:rPr>
        <w:t> Registration No. 333-282677​</w:t>
      </w:r>
    </w:p>
    <w:p>
      <w:pPr>
        <w:spacing w:after="0" w:line="4"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0"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(To Prospectus Dated October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1527810</wp:posOffset>
            </wp:positionH>
            <wp:positionV relativeFrom="paragraph">
              <wp:posOffset>84455</wp:posOffset>
            </wp:positionV>
            <wp:extent cx="2670810" cy="174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0810" cy="17462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LUCID GROUP, INC.</w:t>
      </w:r>
    </w:p>
    <w:p>
      <w:pPr>
        <w:spacing w:after="0" w:line="178"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b w:val="1"/>
          <w:bCs w:val="1"/>
          <w:color w:val="auto"/>
        </w:rPr>
        <w:t>100,000 Shares of Series A Convertible Preferred Stock</w:t>
      </w:r>
    </w:p>
    <w:p>
      <w:pPr>
        <w:spacing w:after="0" w:line="14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9"/>
          <w:szCs w:val="19"/>
          <w:b w:val="1"/>
          <w:bCs w:val="1"/>
          <w:color w:val="auto"/>
        </w:rPr>
        <w:t>297,567,387 Shares of Common Stock Underlying such Series A</w:t>
      </w:r>
    </w:p>
    <w:p>
      <w:pPr>
        <w:spacing w:after="0" w:line="1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9"/>
          <w:szCs w:val="19"/>
          <w:b w:val="1"/>
          <w:bCs w:val="1"/>
          <w:color w:val="auto"/>
        </w:rPr>
        <w:t>Convertible Preferred Stock</w:t>
      </w:r>
    </w:p>
    <w:p>
      <w:pPr>
        <w:spacing w:after="0" w:line="134"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9"/>
          <w:szCs w:val="19"/>
          <w:b w:val="1"/>
          <w:bCs w:val="1"/>
          <w:color w:val="auto"/>
        </w:rPr>
        <w:t>75,000 Shares of Series B Convertible Preferred Stock</w:t>
      </w:r>
    </w:p>
    <w:p>
      <w:pPr>
        <w:spacing w:after="0" w:line="15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9"/>
          <w:szCs w:val="19"/>
          <w:b w:val="1"/>
          <w:bCs w:val="1"/>
          <w:color w:val="auto"/>
        </w:rPr>
        <w:t>177,103,144 Shares of Common Stock Underlying such Series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Convertible Preferred Stock</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396,188,386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81280</wp:posOffset>
            </wp:positionV>
            <wp:extent cx="9315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1545" cy="6350"/>
                    </a:xfrm>
                    <a:prstGeom prst="rect">
                      <a:avLst/>
                    </a:prstGeom>
                    <a:noFill/>
                  </pic:spPr>
                </pic:pic>
              </a:graphicData>
            </a:graphic>
          </wp:anchor>
        </w:drawing>
      </w:r>
    </w:p>
    <w:p>
      <w:pPr>
        <w:spacing w:after="0" w:line="258" w:lineRule="exact"/>
        <w:rPr>
          <w:sz w:val="24"/>
          <w:szCs w:val="24"/>
          <w:color w:val="auto"/>
        </w:rPr>
      </w:pPr>
    </w:p>
    <w:p>
      <w:pPr>
        <w:ind w:left="1400" w:right="1459" w:firstLine="271"/>
        <w:spacing w:after="0" w:line="235" w:lineRule="auto"/>
        <w:rPr>
          <w:sz w:val="20"/>
          <w:szCs w:val="20"/>
          <w:color w:val="auto"/>
        </w:rPr>
      </w:pPr>
      <w:r>
        <w:rPr>
          <w:rFonts w:ascii="Times New Roman" w:cs="Times New Roman" w:eastAsia="Times New Roman" w:hAnsi="Times New Roman"/>
          <w:sz w:val="14"/>
          <w:szCs w:val="14"/>
          <w:color w:val="auto"/>
        </w:rPr>
        <w:t>This prospectus supplement relates to the possible offer and resale, from time to time, by the selling stockholder identified in this prospectus supplement (the “Selling Stockholder”) of up to (i) 100,000 shares of our Series A Convertible Preferred Stock, par value $0.0001 per share (the “Series A Convertible Preferred Stock”), (ii) 297,567,387 shares of our Class A Common Stock, par value $0.0001 per share (“Common Stock”), which may be issued upon conversion of the Series A Convertible Preferred Stock as of December 31, 2024, (iii) 75,000 shares of our Series B Convertible Preferred Stock, par value $0.0001 per share (the “Series B Convertible Preferred Stock”, and together with the Series A Convertible Preferred Stock, the “Convertible Preferred Stock”), (iv) 177,103,144 shares of our Common Stock, which may be issued upon conversion of the Series B Convertible Preferred Stock as of December 31, 2024, and</w:t>
      </w:r>
    </w:p>
    <w:p>
      <w:pPr>
        <w:spacing w:after="0" w:line="1" w:lineRule="exact"/>
        <w:rPr>
          <w:sz w:val="24"/>
          <w:szCs w:val="24"/>
          <w:color w:val="auto"/>
        </w:rPr>
      </w:pPr>
    </w:p>
    <w:p>
      <w:pPr>
        <w:ind w:left="1400" w:right="1439" w:firstLine="8"/>
        <w:spacing w:after="0" w:line="234" w:lineRule="auto"/>
        <w:tabs>
          <w:tab w:leader="none" w:pos="1603"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396,188,386 shares of our Common Stock (such shares of Convertible Preferred Stock and such shares of Common Stock, collectively, the “Securities”). We sold the Securities to the Selling Stockholder in a series of private placements. See “Summary — Private Placements.” The Securities are being registered to fulfill our contractual obligations under an investor rights agreement entered into between us and the Selling Stockholder (as amended, the “Investor Rights Agreement”). We will not receive any of the proceeds from the sale of the Securities by the Selling Stockholder.</w:t>
      </w:r>
    </w:p>
    <w:p>
      <w:pPr>
        <w:spacing w:after="0" w:line="93" w:lineRule="exact"/>
        <w:rPr>
          <w:sz w:val="24"/>
          <w:szCs w:val="24"/>
          <w:color w:val="auto"/>
        </w:rPr>
      </w:pPr>
    </w:p>
    <w:p>
      <w:pPr>
        <w:ind w:left="1400" w:right="1499" w:firstLine="271"/>
        <w:spacing w:after="0" w:line="239" w:lineRule="auto"/>
        <w:rPr>
          <w:sz w:val="20"/>
          <w:szCs w:val="20"/>
          <w:color w:val="auto"/>
        </w:rPr>
      </w:pPr>
      <w:r>
        <w:rPr>
          <w:rFonts w:ascii="Times New Roman" w:cs="Times New Roman" w:eastAsia="Times New Roman" w:hAnsi="Times New Roman"/>
          <w:sz w:val="14"/>
          <w:szCs w:val="14"/>
          <w:color w:val="auto"/>
        </w:rPr>
        <w:t>The Selling Stockholder identified in this prospectus supplement may offer the Securities from time to time through public or private transactions at prevailing market prices or at privately negotiated prices, through a combination of these methods or any other method as the Selling Stockholder determines from time to time. See “Plan of Distribution.”</w:t>
      </w:r>
    </w:p>
    <w:p>
      <w:pPr>
        <w:spacing w:after="0" w:line="92" w:lineRule="exact"/>
        <w:rPr>
          <w:sz w:val="24"/>
          <w:szCs w:val="24"/>
          <w:color w:val="auto"/>
        </w:rPr>
      </w:pPr>
    </w:p>
    <w:p>
      <w:pPr>
        <w:ind w:left="1400" w:right="1499" w:firstLine="271"/>
        <w:spacing w:after="0" w:line="245" w:lineRule="auto"/>
        <w:rPr>
          <w:sz w:val="20"/>
          <w:szCs w:val="20"/>
          <w:color w:val="auto"/>
        </w:rPr>
      </w:pPr>
      <w:r>
        <w:rPr>
          <w:rFonts w:ascii="Times New Roman" w:cs="Times New Roman" w:eastAsia="Times New Roman" w:hAnsi="Times New Roman"/>
          <w:sz w:val="14"/>
          <w:szCs w:val="14"/>
          <w:color w:val="auto"/>
        </w:rPr>
        <w:t>We have agreed to pay certain expenses in connection with the registration of the Securities. The Selling Stockholder will pay all selling commissions and stock transfer taxes, if any, in connection with the sale of the Securities.</w:t>
      </w:r>
    </w:p>
    <w:p>
      <w:pPr>
        <w:spacing w:after="0" w:line="88" w:lineRule="exact"/>
        <w:rPr>
          <w:sz w:val="24"/>
          <w:szCs w:val="24"/>
          <w:color w:val="auto"/>
        </w:rPr>
      </w:pPr>
    </w:p>
    <w:p>
      <w:pPr>
        <w:ind w:left="1400" w:right="1519" w:firstLine="271"/>
        <w:spacing w:after="0" w:line="248"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“LCID.” On February 24, 2025, the last sale price of our Common Stock as reported on Nasdaq was $2.78.</w:t>
      </w:r>
    </w:p>
    <w:p>
      <w:pPr>
        <w:spacing w:after="0" w:line="81" w:lineRule="exact"/>
        <w:rPr>
          <w:sz w:val="24"/>
          <w:szCs w:val="24"/>
          <w:color w:val="auto"/>
        </w:rPr>
      </w:pPr>
    </w:p>
    <w:p>
      <w:pPr>
        <w:ind w:left="1400" w:right="1419" w:firstLine="271"/>
        <w:spacing w:after="0" w:line="295" w:lineRule="auto"/>
        <w:rPr>
          <w:sz w:val="20"/>
          <w:szCs w:val="20"/>
          <w:color w:val="auto"/>
        </w:rPr>
      </w:pPr>
      <w:r>
        <w:rPr>
          <w:rFonts w:ascii="Times New Roman" w:cs="Times New Roman" w:eastAsia="Times New Roman" w:hAnsi="Times New Roman"/>
          <w:sz w:val="12"/>
          <w:szCs w:val="12"/>
          <w:b w:val="1"/>
          <w:bCs w:val="1"/>
          <w:color w:val="auto"/>
        </w:rPr>
        <w:t xml:space="preserve">Investing in our Securities involves risks. You should read carefully this prospectus supplement, the accompanying prospectus and the documents incorporated or deemed incorporated by reference into this prospectus supplement and the accompanying prospectus before you invest. See “Risk Factors” beginning on page </w:t>
      </w:r>
      <w:r>
        <w:rPr>
          <w:rFonts w:ascii="Times New Roman" w:cs="Times New Roman" w:eastAsia="Times New Roman" w:hAnsi="Times New Roman"/>
          <w:sz w:val="12"/>
          <w:szCs w:val="12"/>
          <w:b w:val="1"/>
          <w:bCs w:val="1"/>
          <w:u w:val="single" w:color="auto"/>
          <w:color w:val="0000EE"/>
        </w:rPr>
        <w:t>S-5</w:t>
      </w:r>
      <w:r>
        <w:rPr>
          <w:rFonts w:ascii="Times New Roman" w:cs="Times New Roman" w:eastAsia="Times New Roman" w:hAnsi="Times New Roman"/>
          <w:sz w:val="12"/>
          <w:szCs w:val="12"/>
          <w:b w:val="1"/>
          <w:bCs w:val="1"/>
          <w:color w:val="auto"/>
        </w:rPr>
        <w:t xml:space="preserve"> of this prospectus supplement for information on certain risks related to the purchase of our Securities.</w:t>
      </w:r>
    </w:p>
    <w:p>
      <w:pPr>
        <w:spacing w:after="0" w:line="55" w:lineRule="exact"/>
        <w:rPr>
          <w:sz w:val="24"/>
          <w:szCs w:val="24"/>
          <w:color w:val="auto"/>
        </w:rPr>
      </w:pPr>
    </w:p>
    <w:p>
      <w:pPr>
        <w:ind w:left="1400" w:right="1579" w:firstLine="271"/>
        <w:spacing w:after="0" w:line="301"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 dated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193040</wp:posOffset>
            </wp:positionV>
            <wp:extent cx="516064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 w:name="page2"/>
    <w:bookmarkEnd w:id="1"/>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6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-86995</wp:posOffset>
            </wp:positionV>
            <wp:extent cx="3932555" cy="9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32555" cy="90805"/>
                    </a:xfrm>
                    <a:prstGeom prst="rect">
                      <a:avLst/>
                    </a:prstGeom>
                    <a:noFill/>
                  </pic:spPr>
                </pic:pic>
              </a:graphicData>
            </a:graphic>
          </wp:anchor>
        </w:drawing>
      </w:r>
    </w:p>
    <w:p>
      <w:pPr>
        <w:spacing w:after="0" w:line="4"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-10795</wp:posOffset>
            </wp:positionV>
            <wp:extent cx="3932555" cy="148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32555" cy="148590"/>
                    </a:xfrm>
                    <a:prstGeom prst="rect">
                      <a:avLst/>
                    </a:prstGeom>
                    <a:noFill/>
                  </pic:spPr>
                </pic:pic>
              </a:graphicData>
            </a:graphic>
          </wp:anchor>
        </w:drawing>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SUMMARY</w:t>
      </w:r>
      <w:r>
        <w:rPr>
          <w:rFonts w:ascii="Times New Roman" w:cs="Times New Roman" w:eastAsia="Times New Roman" w:hAnsi="Times New Roman"/>
          <w:sz w:val="14"/>
          <w:szCs w:val="14"/>
          <w:color w:val="000000"/>
        </w:rPr>
        <w:t>​</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48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32555" cy="14859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SECURITIES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48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32555" cy="14859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0000EE"/>
        </w:rPr>
        <w:t>SELLING</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STOCKHOLDER</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48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32555" cy="14859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0000EE"/>
        </w:rPr>
        <w:t>VALIDITY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THE SECURITIES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16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3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32555" cy="123190"/>
                    </a:xfrm>
                    <a:prstGeom prst="rect">
                      <a:avLst/>
                    </a:prstGeom>
                    <a:noFill/>
                  </pic:spPr>
                </pic:pic>
              </a:graphicData>
            </a:graphic>
          </wp:anchor>
        </w:drawing>
      </w:r>
    </w:p>
    <w:p>
      <w:pPr>
        <w:spacing w:after="0" w:line="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FREQUENTLY USED TERMS</w:t>
      </w:r>
    </w:p>
    <w:p>
      <w:pPr>
        <w:spacing w:after="0" w:line="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24130</wp:posOffset>
            </wp:positionV>
            <wp:extent cx="3932555" cy="129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THE COMPANY</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SUBSCRIPTION RIGHTS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PURCHASE CONTRACTS AND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SELLING SECURITYHOLDERS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S-2</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S-4</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S-5</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S-10</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S-11</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S-20</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S-22</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S-24</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S-25</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S-26</w:t>
      </w:r>
      <w:r>
        <w:rPr>
          <w:rFonts w:ascii="Times New Roman" w:cs="Times New Roman" w:eastAsia="Times New Roman" w:hAnsi="Times New Roman"/>
          <w:sz w:val="14"/>
          <w:szCs w:val="14"/>
          <w:color w:val="auto"/>
        </w:rPr>
        <w:t>​</w:t>
      </w:r>
    </w:p>
    <w:p>
      <w:pPr>
        <w:spacing w:after="0" w:line="329"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1"/>
          <w:szCs w:val="21"/>
          <w:b w:val="1"/>
          <w:bCs w:val="1"/>
          <w:color w:val="auto"/>
          <w:vertAlign w:val="subscript"/>
        </w:rPr>
        <w: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480" w:space="720"/>
            <w:col w:w="1819"/>
          </w:cols>
          <w:pgMar w:left="1440" w:top="103" w:right="1440" w:bottom="1440" w:gutter="0" w:footer="0" w:header="0"/>
        </w:sectPr>
      </w:pPr>
    </w:p>
    <w:bookmarkStart w:id="2" w:name="page3"/>
    <w:bookmarkEnd w:id="2"/>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99" w:firstLine="271"/>
        <w:spacing w:after="0" w:line="244"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supplement, the accompanying prospectus or any applicable free writing prospectus filed by us with the Securities and Exchange Commission (the “SEC”). We and the Selling Stockholder have not authorized anyone to provide you with different information. This prospectus supplement, the accompanying prospectus and any applicable free writing prospectus do not constitute an offer to sell or the solicitation of an offer to buy any securities other than the registered securities to which they relate or an offer to sell or the solicitation of an offer to buy such securities in any circumstances in which such offer or solicitation is unlawful. You should not assume that the information contained in this prospectus supplement, the accompanying prospectus, the documents incorporated herein and therein by reference and any applicable free writing prospectus is accurate as of any date other than the date of the document containing the information. Our business, financial condition, results of operations and prospects may have changed materially since those dates.</w:t>
      </w:r>
    </w:p>
    <w:p>
      <w:pPr>
        <w:spacing w:after="0" w:line="104" w:lineRule="exact"/>
        <w:rPr>
          <w:sz w:val="20"/>
          <w:szCs w:val="20"/>
          <w:color w:val="auto"/>
        </w:rPr>
      </w:pPr>
    </w:p>
    <w:p>
      <w:pPr>
        <w:ind w:left="1400" w:right="1499" w:firstLine="271"/>
        <w:spacing w:after="0" w:line="246"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 w:name="page4"/>
    <w:bookmarkEnd w:id="3"/>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18" w:lineRule="exact"/>
        <w:rPr>
          <w:sz w:val="20"/>
          <w:szCs w:val="20"/>
          <w:color w:val="auto"/>
        </w:rPr>
      </w:pPr>
    </w:p>
    <w:p>
      <w:pPr>
        <w:ind w:left="1400" w:right="1539" w:firstLine="271"/>
        <w:spacing w:after="0" w:line="245"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registration statement on Form S-3 that we filed with the SEC utilizing an automatic shelf registration process. Under this process, the Selling Stockholder named in this prospectus supplement may sell securities from time to time. The exhibits to the registration statement of which this prospectus supplement is a part and documents incorporated by reference herein contain the full text of certain contracts and other important documents that we have summarized in this prospectus supplement and the accompanying prospectus. Since these summaries may not contain all the information that you may find important in deciding whether to acquire or purchase Securities offered by this prospectus supplement, you should review the full text of these documents. The registration statement and the exhibits and other documents can be obtained from the SEC as indicated under the section entitled “Where You Can Find More Information.”</w:t>
      </w:r>
    </w:p>
    <w:p>
      <w:pPr>
        <w:spacing w:after="0" w:line="98" w:lineRule="exact"/>
        <w:rPr>
          <w:sz w:val="20"/>
          <w:szCs w:val="20"/>
          <w:color w:val="auto"/>
        </w:rPr>
      </w:pPr>
    </w:p>
    <w:p>
      <w:pPr>
        <w:ind w:left="1400" w:right="1439" w:firstLine="271"/>
        <w:spacing w:after="0" w:line="247" w:lineRule="auto"/>
        <w:rPr>
          <w:sz w:val="20"/>
          <w:szCs w:val="20"/>
          <w:color w:val="auto"/>
        </w:rPr>
      </w:pPr>
      <w:r>
        <w:rPr>
          <w:rFonts w:ascii="Times New Roman" w:cs="Times New Roman" w:eastAsia="Times New Roman" w:hAnsi="Times New Roman"/>
          <w:sz w:val="14"/>
          <w:szCs w:val="14"/>
          <w:color w:val="auto"/>
        </w:rPr>
        <w:t>Generally, when we refer to this “prospectus supplement,” we are referring to both this prospectus supplement and the accompanying prospectus, as well as the documents incorporated by reference herein and therein.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w:t>
      </w:r>
    </w:p>
    <w:p>
      <w:pPr>
        <w:spacing w:after="0" w:line="86" w:lineRule="exact"/>
        <w:rPr>
          <w:sz w:val="20"/>
          <w:szCs w:val="20"/>
          <w:color w:val="auto"/>
        </w:rPr>
      </w:pPr>
    </w:p>
    <w:p>
      <w:pPr>
        <w:ind w:left="1400" w:right="1719" w:firstLine="271"/>
        <w:spacing w:after="0" w:line="263" w:lineRule="auto"/>
        <w:rPr>
          <w:sz w:val="20"/>
          <w:szCs w:val="20"/>
          <w:color w:val="auto"/>
        </w:rPr>
      </w:pPr>
      <w:r>
        <w:rPr>
          <w:rFonts w:ascii="Times New Roman" w:cs="Times New Roman" w:eastAsia="Times New Roman" w:hAnsi="Times New Roman"/>
          <w:sz w:val="14"/>
          <w:szCs w:val="14"/>
          <w:color w:val="auto"/>
        </w:rPr>
        <w:t>The Selling Stockholder may offer the Securities directly or through one or more broker-dealers or agents. See “Plan of Distribution.”</w:t>
      </w:r>
    </w:p>
    <w:p>
      <w:pPr>
        <w:spacing w:after="0" w:line="85" w:lineRule="exact"/>
        <w:rPr>
          <w:sz w:val="20"/>
          <w:szCs w:val="20"/>
          <w:color w:val="auto"/>
        </w:rPr>
      </w:pPr>
    </w:p>
    <w:p>
      <w:pPr>
        <w:ind w:left="1400" w:right="1559" w:firstLine="271"/>
        <w:spacing w:after="0" w:line="263" w:lineRule="auto"/>
        <w:rPr>
          <w:sz w:val="20"/>
          <w:szCs w:val="20"/>
          <w:color w:val="auto"/>
        </w:rPr>
      </w:pPr>
      <w:r>
        <w:rPr>
          <w:rFonts w:ascii="Times New Roman" w:cs="Times New Roman" w:eastAsia="Times New Roman" w:hAnsi="Times New Roman"/>
          <w:sz w:val="14"/>
          <w:szCs w:val="14"/>
          <w:color w:val="auto"/>
        </w:rPr>
        <w:t>References to “we,” “us,” “our,” the “Company” and “Lucid” are references to Lucid Group, Inc. and its consolidated subsidiaries, unless it is clear from the context that we mean only Lucid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 w:name="page5"/>
    <w:bookmarkEnd w:id="4"/>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18" w:lineRule="exact"/>
        <w:rPr>
          <w:sz w:val="20"/>
          <w:szCs w:val="20"/>
          <w:color w:val="auto"/>
        </w:rPr>
      </w:pPr>
    </w:p>
    <w:p>
      <w:pPr>
        <w:ind w:left="1400" w:right="1439" w:firstLine="271"/>
        <w:spacing w:after="0" w:line="24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and the documents incorporated by reference into this prospectus supplement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supplement and the documents incorporated by reference into this prospectus supplement and the accompanying prospectus 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our needs for additional financing, our search for a new CEO and the promise of Lucid’s technology. Such forward-looking statements are based on available current market material and our current expectations, beliefs and forecasts concerning future developments. Factors that may impact such forward-looking statements include:</w:t>
      </w:r>
    </w:p>
    <w:p>
      <w:pPr>
        <w:spacing w:after="0" w:line="244" w:lineRule="exact"/>
        <w:rPr>
          <w:sz w:val="20"/>
          <w:szCs w:val="20"/>
          <w:color w:val="auto"/>
        </w:rPr>
      </w:pPr>
    </w:p>
    <w:p>
      <w:pPr>
        <w:ind w:left="1820" w:right="1439" w:hanging="141"/>
        <w:spacing w:after="0" w:line="249" w:lineRule="auto"/>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and foreign business, economic, market, financial, political, regulatory and legal conditions, including changes of policies, government closures of banks and liquidity concerns at other financial institutions, imposition of tariffs and threat of a trade war, a potential global economic recession or other downturn and global conflicts or other geopolitical events;</w:t>
      </w:r>
    </w:p>
    <w:p>
      <w:pPr>
        <w:spacing w:after="0" w:line="65" w:lineRule="exact"/>
        <w:rPr>
          <w:rFonts w:ascii="Times New Roman" w:cs="Times New Roman" w:eastAsia="Times New Roman" w:hAnsi="Times New Roman"/>
          <w:sz w:val="14"/>
          <w:szCs w:val="14"/>
          <w:color w:val="auto"/>
        </w:rPr>
      </w:pPr>
    </w:p>
    <w:p>
      <w:pPr>
        <w:ind w:left="1820" w:right="1599" w:hanging="141"/>
        <w:spacing w:after="0" w:line="263" w:lineRule="auto"/>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in overall demand for our products and services and cancellation of orders for our vehicles;</w:t>
      </w:r>
    </w:p>
    <w:p>
      <w:pPr>
        <w:spacing w:after="0" w:line="54" w:lineRule="exact"/>
        <w:rPr>
          <w:rFonts w:ascii="Times New Roman" w:cs="Times New Roman" w:eastAsia="Times New Roman" w:hAnsi="Times New Roman"/>
          <w:sz w:val="14"/>
          <w:szCs w:val="14"/>
          <w:color w:val="auto"/>
        </w:rPr>
      </w:pPr>
    </w:p>
    <w:p>
      <w:pPr>
        <w:ind w:left="1820" w:right="1939" w:hanging="141"/>
        <w:spacing w:after="0" w:line="253" w:lineRule="auto"/>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prices and availability of commodities, materials, our supply chain, logistics, inventory management and quality control, and our ability to complete the tooling of our manufacturing facilities over time and scale production of our vehicles;</w:t>
      </w:r>
    </w:p>
    <w:p>
      <w:pPr>
        <w:spacing w:after="0" w:line="61"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uncertainty of our projected financial and operational information;</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timing of expected business milestones and commercial product launches;</w:t>
      </w:r>
    </w:p>
    <w:p>
      <w:pPr>
        <w:spacing w:after="0" w:line="83" w:lineRule="exact"/>
        <w:rPr>
          <w:rFonts w:ascii="Times New Roman" w:cs="Times New Roman" w:eastAsia="Times New Roman" w:hAnsi="Times New Roman"/>
          <w:sz w:val="14"/>
          <w:szCs w:val="14"/>
          <w:color w:val="auto"/>
        </w:rPr>
      </w:pPr>
    </w:p>
    <w:p>
      <w:pPr>
        <w:ind w:left="1820" w:right="1579" w:hanging="141"/>
        <w:spacing w:after="0" w:line="263" w:lineRule="auto"/>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expansion of our manufacturing facility, the construction of new manufacturing facilities and the increase of our production capacity;</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expenses and control costs;</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future market adoption of our offerings;</w:t>
      </w:r>
    </w:p>
    <w:p>
      <w:pPr>
        <w:spacing w:after="0" w:line="83" w:lineRule="exact"/>
        <w:rPr>
          <w:rFonts w:ascii="Times New Roman" w:cs="Times New Roman" w:eastAsia="Times New Roman" w:hAnsi="Times New Roman"/>
          <w:sz w:val="14"/>
          <w:szCs w:val="14"/>
          <w:color w:val="auto"/>
        </w:rPr>
      </w:pPr>
    </w:p>
    <w:p>
      <w:pPr>
        <w:ind w:left="1820" w:right="1839" w:hanging="141"/>
        <w:spacing w:after="0" w:line="263" w:lineRule="auto"/>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the pace and depth of electric vehicle adoption generally on our business;</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policies, and governmental incentives;</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fuel and energy prices;</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rapidly innovate;</w:t>
      </w:r>
    </w:p>
    <w:p>
      <w:pPr>
        <w:spacing w:after="0" w:line="83" w:lineRule="exact"/>
        <w:rPr>
          <w:rFonts w:ascii="Times New Roman" w:cs="Times New Roman" w:eastAsia="Times New Roman" w:hAnsi="Times New Roman"/>
          <w:sz w:val="14"/>
          <w:szCs w:val="14"/>
          <w:color w:val="auto"/>
        </w:rPr>
      </w:pPr>
    </w:p>
    <w:p>
      <w:pPr>
        <w:ind w:left="1820" w:right="1459" w:hanging="141"/>
        <w:spacing w:after="0" w:line="253" w:lineRule="auto"/>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or maintain partnerships with original equipment manufacturers, vendors and technology providers, including our ability to realize the anticipated benefits of our transaction with Aston Martin;</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 w:name="page6"/>
    <w:bookmarkEnd w:id="5"/>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20" w:right="1719" w:hanging="141"/>
        <w:spacing w:after="0" w:line="263" w:lineRule="auto"/>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and recruit and retain key employees, including our executive team;</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vehicle recalls;</w:t>
      </w:r>
    </w:p>
    <w:p>
      <w:pPr>
        <w:spacing w:after="0" w:line="83" w:lineRule="exact"/>
        <w:rPr>
          <w:rFonts w:ascii="Times New Roman" w:cs="Times New Roman" w:eastAsia="Times New Roman" w:hAnsi="Times New Roman"/>
          <w:sz w:val="14"/>
          <w:szCs w:val="14"/>
          <w:color w:val="auto"/>
        </w:rPr>
      </w:pPr>
    </w:p>
    <w:p>
      <w:pPr>
        <w:ind w:left="1820" w:right="1759" w:hanging="141"/>
        <w:spacing w:after="0" w:line="263" w:lineRule="auto"/>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expand our brand, and capture additional market share, and the risks associated with negative press or reputational harm;</w:t>
      </w:r>
    </w:p>
    <w:p>
      <w:pPr>
        <w:spacing w:after="0" w:line="54" w:lineRule="exact"/>
        <w:rPr>
          <w:rFonts w:ascii="Times New Roman" w:cs="Times New Roman" w:eastAsia="Times New Roman" w:hAnsi="Times New Roman"/>
          <w:sz w:val="14"/>
          <w:szCs w:val="14"/>
          <w:color w:val="auto"/>
        </w:rPr>
      </w:pPr>
    </w:p>
    <w:p>
      <w:pPr>
        <w:ind w:left="1820" w:right="1719" w:hanging="141"/>
        <w:spacing w:after="0" w:line="253" w:lineRule="auto"/>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need to attract, retain, and motivate key employees, including engineering and management employees, as we have undertaken multiple significant management changes in the last few years, including our CEO;</w:t>
      </w:r>
    </w:p>
    <w:p>
      <w:pPr>
        <w:spacing w:after="0" w:line="61"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outstanding Convertible Preferred Stock;</w:t>
      </w:r>
    </w:p>
    <w:p>
      <w:pPr>
        <w:spacing w:after="0" w:line="83" w:lineRule="exact"/>
        <w:rPr>
          <w:rFonts w:ascii="Times New Roman" w:cs="Times New Roman" w:eastAsia="Times New Roman" w:hAnsi="Times New Roman"/>
          <w:sz w:val="14"/>
          <w:szCs w:val="14"/>
          <w:color w:val="auto"/>
        </w:rPr>
      </w:pPr>
    </w:p>
    <w:p>
      <w:pPr>
        <w:ind w:left="1820" w:right="1719" w:hanging="141"/>
        <w:spacing w:after="0" w:line="263" w:lineRule="auto"/>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and our ability to obtain and effectively utilize, zero emission vehicle credits, tax incentives, and other governmental and regulatory programs and incentives;</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conduct equity, equity-linked, or debt financing in the future;</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interest and principal on our indebtedness;</w:t>
      </w:r>
    </w:p>
    <w:p>
      <w:pPr>
        <w:spacing w:after="0" w:line="83" w:lineRule="exact"/>
        <w:rPr>
          <w:rFonts w:ascii="Times New Roman" w:cs="Times New Roman" w:eastAsia="Times New Roman" w:hAnsi="Times New Roman"/>
          <w:sz w:val="14"/>
          <w:szCs w:val="14"/>
          <w:color w:val="auto"/>
        </w:rPr>
      </w:pPr>
    </w:p>
    <w:p>
      <w:pPr>
        <w:ind w:left="1820" w:right="1519" w:hanging="141"/>
        <w:spacing w:after="0" w:line="263" w:lineRule="auto"/>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changes to vehicle specifications which may impact performance, features, pricing, and other expectations;</w:t>
      </w:r>
    </w:p>
    <w:p>
      <w:pPr>
        <w:spacing w:after="0" w:line="54" w:lineRule="exact"/>
        <w:rPr>
          <w:rFonts w:ascii="Times New Roman" w:cs="Times New Roman" w:eastAsia="Times New Roman" w:hAnsi="Times New Roman"/>
          <w:sz w:val="14"/>
          <w:szCs w:val="14"/>
          <w:color w:val="auto"/>
        </w:rPr>
      </w:pPr>
    </w:p>
    <w:p>
      <w:pPr>
        <w:ind w:left="1820" w:right="1579" w:hanging="141"/>
        <w:spacing w:after="0" w:line="263" w:lineRule="auto"/>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potential litigation, government and regulatory proceedings, investigations and inquiries; and</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this prospectus supplement or our other filings with the SEC.</w:t>
      </w:r>
    </w:p>
    <w:p>
      <w:pPr>
        <w:spacing w:after="0" w:line="114" w:lineRule="exact"/>
        <w:rPr>
          <w:sz w:val="20"/>
          <w:szCs w:val="20"/>
          <w:color w:val="auto"/>
        </w:rPr>
      </w:pPr>
    </w:p>
    <w:p>
      <w:pPr>
        <w:ind w:left="1400" w:right="1419" w:firstLine="271"/>
        <w:spacing w:after="0" w:line="244"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supplement and the documents incorporated by reference into this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supplement and in our Annual Report on Form 10-K for the year ended December 31, 2024 incorporated by reference herein and as may be updated in this prospectus supplement and in filings we make with the SEC.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supplement.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6" w:name="page7"/>
    <w:bookmarkEnd w:id="6"/>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245745</wp:posOffset>
            </wp:positionV>
            <wp:extent cx="4164965" cy="6008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64965" cy="600837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About Lucid</w:t>
      </w:r>
    </w:p>
    <w:p>
      <w:pPr>
        <w:spacing w:after="0" w:line="87" w:lineRule="exact"/>
        <w:rPr>
          <w:sz w:val="20"/>
          <w:szCs w:val="20"/>
          <w:color w:val="auto"/>
        </w:rPr>
      </w:pPr>
    </w:p>
    <w:p>
      <w:pPr>
        <w:ind w:left="1420" w:right="1459" w:firstLine="272"/>
        <w:spacing w:after="0" w:line="231" w:lineRule="auto"/>
        <w:rPr>
          <w:sz w:val="20"/>
          <w:szCs w:val="20"/>
          <w:color w:val="auto"/>
        </w:rPr>
      </w:pPr>
      <w:r>
        <w:rPr>
          <w:rFonts w:ascii="Times New Roman" w:cs="Times New Roman" w:eastAsia="Times New Roman" w:hAnsi="Times New Roman"/>
          <w:sz w:val="14"/>
          <w:szCs w:val="14"/>
          <w:color w:val="auto"/>
        </w:rPr>
        <w:t>We are a technology company with a mission to advance the state-of-the -art of EV technology for the benefits of all. We are setting new standards with the world’s most advanced EVs, the award-winning Lucid Air and all- new Lucid Gravity. Our focus on in-house hardware and software innovation, vertical integration, and a “clean sheet” approach to engineering and design led to the development of the award-winning Lucid Air and Lucid Gravity.</w:t>
      </w:r>
    </w:p>
    <w:p>
      <w:pPr>
        <w:spacing w:after="0" w:line="71" w:lineRule="exact"/>
        <w:rPr>
          <w:sz w:val="20"/>
          <w:szCs w:val="20"/>
          <w:color w:val="auto"/>
        </w:rPr>
      </w:pPr>
    </w:p>
    <w:p>
      <w:pPr>
        <w:ind w:left="1420" w:right="1419" w:firstLine="272"/>
        <w:spacing w:after="0" w:line="226" w:lineRule="auto"/>
        <w:rPr>
          <w:sz w:val="20"/>
          <w:szCs w:val="20"/>
          <w:color w:val="auto"/>
        </w:rPr>
      </w:pPr>
      <w:r>
        <w:rPr>
          <w:rFonts w:ascii="Times New Roman" w:cs="Times New Roman" w:eastAsia="Times New Roman" w:hAnsi="Times New Roman"/>
          <w:sz w:val="14"/>
          <w:szCs w:val="14"/>
          <w:color w:val="auto"/>
        </w:rPr>
        <w:t>We sell vehicles directly to consumers through our retail sales network and through direct online and retail sales, including utilizing Lucid Financial Services. We believe that owning and operating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in some cases as repair hubs for our mobile service offerings.</w:t>
      </w:r>
    </w:p>
    <w:p>
      <w:pPr>
        <w:spacing w:after="0" w:line="71" w:lineRule="exact"/>
        <w:rPr>
          <w:sz w:val="20"/>
          <w:szCs w:val="20"/>
          <w:color w:val="auto"/>
        </w:rPr>
      </w:pPr>
    </w:p>
    <w:p>
      <w:pPr>
        <w:ind w:left="1420" w:right="1399" w:firstLine="272"/>
        <w:spacing w:after="0" w:line="232" w:lineRule="auto"/>
        <w:rPr>
          <w:sz w:val="20"/>
          <w:szCs w:val="20"/>
          <w:color w:val="auto"/>
        </w:rPr>
      </w:pPr>
      <w:r>
        <w:rPr>
          <w:rFonts w:ascii="Times New Roman" w:cs="Times New Roman" w:eastAsia="Times New Roman" w:hAnsi="Times New Roman"/>
          <w:sz w:val="14"/>
          <w:szCs w:val="14"/>
          <w:color w:val="auto"/>
        </w:rPr>
        <w:t>The Lucid Air and the Lucid Gravity are true software-defined vehicles, designed to improve over time, with over-the-air software updates and key hardware already in place in the vehicle. This holistic systems approach to the integration of hardware and software is what allows us to provide these value-add updates and is what sets us apart in the automotive industry.</w:t>
      </w:r>
    </w:p>
    <w:p>
      <w:pPr>
        <w:spacing w:after="0" w:line="70" w:lineRule="exact"/>
        <w:rPr>
          <w:sz w:val="20"/>
          <w:szCs w:val="20"/>
          <w:color w:val="auto"/>
        </w:rPr>
      </w:pPr>
    </w:p>
    <w:p>
      <w:pPr>
        <w:ind w:left="1420" w:right="1439" w:firstLine="272"/>
        <w:spacing w:after="0" w:line="231" w:lineRule="auto"/>
        <w:rPr>
          <w:sz w:val="20"/>
          <w:szCs w:val="20"/>
          <w:color w:val="auto"/>
        </w:rPr>
      </w:pPr>
      <w:r>
        <w:rPr>
          <w:rFonts w:ascii="Times New Roman" w:cs="Times New Roman" w:eastAsia="Times New Roman" w:hAnsi="Times New Roman"/>
          <w:sz w:val="14"/>
          <w:szCs w:val="14"/>
          <w:color w:val="auto"/>
        </w:rPr>
        <w:t>We began delivering the Lucid Air to customers in October 2021. We have leveraged and expanded the technological advancements from the Lucid Air to the Lucid Gravity, which offers an unprecedented combination of performance, interior space, and efficiency, and started commercial production in December 2024. Beyond the Lucid Air and the Lucid Gravity, we plan to expand our vehicle lineup with the upcoming Midsize platform, which is scheduled for start of production in late 2026.</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7" w:lineRule="exact"/>
        <w:rPr>
          <w:sz w:val="20"/>
          <w:szCs w:val="20"/>
          <w:color w:val="auto"/>
        </w:rPr>
      </w:pPr>
    </w:p>
    <w:p>
      <w:pPr>
        <w:ind w:left="1420" w:right="1439" w:firstLine="272"/>
        <w:spacing w:after="0" w:line="231" w:lineRule="auto"/>
        <w:rPr>
          <w:sz w:val="20"/>
          <w:szCs w:val="20"/>
          <w:color w:val="auto"/>
        </w:rPr>
      </w:pPr>
      <w:r>
        <w:rPr>
          <w:rFonts w:ascii="Times New Roman" w:cs="Times New Roman" w:eastAsia="Times New Roman" w:hAnsi="Times New Roman"/>
          <w:sz w:val="14"/>
          <w:szCs w:val="14"/>
          <w:color w:val="auto"/>
        </w:rPr>
        <w:t>Lucid Group, Inc. is a Delaware corporation. Our principal executive office is located at 7373 Gateway Boulevard, Newark, CA 94560 and our telephone number is (510) 648-3553. We maintain a website at https://www.lucidmotors.com. The information on our website is not incorporated by reference in this prospectus supplement or the accompanying prospectus, and you should not consider it a part of this prospectus supplement or the accompanying prospectus.</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Controlled Company Exemption</w:t>
      </w:r>
    </w:p>
    <w:p>
      <w:pPr>
        <w:spacing w:after="0" w:line="87" w:lineRule="exact"/>
        <w:rPr>
          <w:sz w:val="20"/>
          <w:szCs w:val="20"/>
          <w:color w:val="auto"/>
        </w:rPr>
      </w:pPr>
    </w:p>
    <w:p>
      <w:pPr>
        <w:ind w:left="1420" w:right="1459" w:firstLine="272"/>
        <w:spacing w:after="0" w:line="228" w:lineRule="auto"/>
        <w:rPr>
          <w:sz w:val="20"/>
          <w:szCs w:val="20"/>
          <w:color w:val="auto"/>
        </w:rPr>
      </w:pPr>
      <w:r>
        <w:rPr>
          <w:rFonts w:ascii="Times New Roman" w:cs="Times New Roman" w:eastAsia="Times New Roman" w:hAnsi="Times New Roman"/>
          <w:sz w:val="14"/>
          <w:szCs w:val="14"/>
          <w:color w:val="auto"/>
        </w:rPr>
        <w:t>As of December 31, 2024, Public Investment Fund (“PIF”), both directly and indirectly through Ayar Third Investment Company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eight directors to our Board of Directors (the “Board”).</w:t>
      </w:r>
    </w:p>
    <w:p>
      <w:pPr>
        <w:spacing w:after="0" w:line="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The Private Placements</w:t>
      </w:r>
    </w:p>
    <w:p>
      <w:pPr>
        <w:spacing w:after="0" w:line="87" w:lineRule="exact"/>
        <w:rPr>
          <w:sz w:val="20"/>
          <w:szCs w:val="20"/>
          <w:color w:val="auto"/>
        </w:rPr>
      </w:pPr>
    </w:p>
    <w:p>
      <w:pPr>
        <w:ind w:left="1420" w:right="1439" w:firstLine="272"/>
        <w:spacing w:after="0" w:line="228" w:lineRule="auto"/>
        <w:rPr>
          <w:sz w:val="20"/>
          <w:szCs w:val="20"/>
          <w:color w:val="auto"/>
        </w:rPr>
      </w:pPr>
      <w:r>
        <w:rPr>
          <w:rFonts w:ascii="Times New Roman" w:cs="Times New Roman" w:eastAsia="Times New Roman" w:hAnsi="Times New Roman"/>
          <w:sz w:val="14"/>
          <w:szCs w:val="14"/>
          <w:color w:val="auto"/>
        </w:rPr>
        <w:t>On March 24, 2024, the Company entered into a subscription agreement with Ayar, pursuant to which the Company issued and sold to Ayar 100,000 shares of its Series A Convertible Preferred Stock in a private placement. On August 4, 2024, the Company entered into a subscription agreement with Ayar, pursuant to which the Company issued and sold to Ayar 75,000 shares of its Series B Convertible Preferred Stock in a private placement. On October 16, 2024, the Company entered into a subscription agreement with Ayar, pursuant to which the Company issued and sold to Ayar 396,188,386 shares of the Company’s Common Stock in a private placement.</w:t>
      </w:r>
    </w:p>
    <w:p>
      <w:pPr>
        <w:spacing w:after="0" w:line="70" w:lineRule="exact"/>
        <w:rPr>
          <w:sz w:val="20"/>
          <w:szCs w:val="20"/>
          <w:color w:val="auto"/>
        </w:rPr>
      </w:pPr>
    </w:p>
    <w:p>
      <w:pPr>
        <w:ind w:left="1420" w:right="1699" w:firstLine="272"/>
        <w:spacing w:after="0" w:line="233" w:lineRule="auto"/>
        <w:rPr>
          <w:sz w:val="20"/>
          <w:szCs w:val="20"/>
          <w:color w:val="auto"/>
        </w:rPr>
      </w:pPr>
      <w:r>
        <w:rPr>
          <w:rFonts w:ascii="Times New Roman" w:cs="Times New Roman" w:eastAsia="Times New Roman" w:hAnsi="Times New Roman"/>
          <w:sz w:val="14"/>
          <w:szCs w:val="14"/>
          <w:color w:val="auto"/>
        </w:rPr>
        <w:t>In connection with the foregoing private placements, the Company entered into amendments to the Investor Rights Agreement with Ayar pursuant to which we are filing this prospectus supplement. See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190500</wp:posOffset>
            </wp:positionV>
            <wp:extent cx="516064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7" w:name="page8"/>
    <w:bookmarkEnd w:id="7"/>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16" w:lineRule="exact"/>
        <w:rPr>
          <w:sz w:val="20"/>
          <w:szCs w:val="20"/>
          <w:color w:val="auto"/>
        </w:rPr>
      </w:pPr>
    </w:p>
    <w:p>
      <w:pPr>
        <w:ind w:left="1400" w:right="1419" w:firstLine="271"/>
        <w:spacing w:after="0" w:line="235" w:lineRule="auto"/>
        <w:rPr>
          <w:sz w:val="20"/>
          <w:szCs w:val="20"/>
          <w:color w:val="auto"/>
        </w:rPr>
      </w:pPr>
      <w:r>
        <w:rPr>
          <w:rFonts w:ascii="Times New Roman" w:cs="Times New Roman" w:eastAsia="Times New Roman" w:hAnsi="Times New Roman"/>
          <w:sz w:val="14"/>
          <w:szCs w:val="14"/>
          <w:i w:val="1"/>
          <w:iCs w:val="1"/>
          <w:color w:val="auto"/>
        </w:rPr>
        <w:t>An investment in our Securities involves a high degree of risk. Before you invest in our Securities you should carefully consider the risks and uncertainties described below, as well as those risk factors described under, but not limited to, the heading “Risk Factors” in our most recent Annual Report on Form 10-K for the year ended December 31, 2024, which is incorporated by reference herein, as well as the other information contained or incorporated by reference into this prospectus supplement or the accompanying prospectus. If any of these risks were actually to occur, our business, financial condition or results of operations could be materially adversely affected. In that case, the value of our Securities could decline, and you could lose part or all of your investment. Additional risks not presently known to us or that we currently believe are immaterial may also significantly impair our business operations and financial condition. Please read “Cautionary Note Regarding Forward-Looking Statements.”</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There is no public market for the Convertible Preferred Stock.</w:t>
      </w:r>
    </w:p>
    <w:p>
      <w:pPr>
        <w:spacing w:after="0" w:line="118" w:lineRule="exact"/>
        <w:rPr>
          <w:sz w:val="20"/>
          <w:szCs w:val="20"/>
          <w:color w:val="auto"/>
        </w:rPr>
      </w:pPr>
    </w:p>
    <w:p>
      <w:pPr>
        <w:ind w:left="1400" w:right="1439" w:firstLine="271"/>
        <w:spacing w:after="0"/>
        <w:rPr>
          <w:sz w:val="20"/>
          <w:szCs w:val="20"/>
          <w:color w:val="auto"/>
        </w:rPr>
      </w:pPr>
      <w:r>
        <w:rPr>
          <w:rFonts w:ascii="Times New Roman" w:cs="Times New Roman" w:eastAsia="Times New Roman" w:hAnsi="Times New Roman"/>
          <w:sz w:val="14"/>
          <w:szCs w:val="14"/>
          <w:color w:val="auto"/>
        </w:rPr>
        <w:t>There is no established public trading market for the Convertible Preferred Stock, and we do not expect a market to develop. In addition, we do not intend to apply to list the Convertible Preferred Stock on any securities exchange or nationally recognized trading system, including Nasdaq. The difference between bid and ask prices in any secondary market for the Convertible Preferred Stock could be substantial. Accordingly, no assurance can be given as to the liquidity of, or trading markets for, the Convertible Preferred Stock, and holders of the Convertible Preferred Stock (which does not have a maturity date) may be required to bear the financial risks of an investment in the Convertible Preferred Stock for an indefinite period of time.</w:t>
      </w:r>
    </w:p>
    <w:p>
      <w:pPr>
        <w:spacing w:after="0" w:line="285" w:lineRule="exact"/>
        <w:rPr>
          <w:sz w:val="20"/>
          <w:szCs w:val="20"/>
          <w:color w:val="auto"/>
        </w:rPr>
      </w:pPr>
    </w:p>
    <w:p>
      <w:pPr>
        <w:ind w:left="1400" w:right="175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The Convertible Preferred Stock ranks junior to all of our indebtedness and other liabilities and is structurally subordinated to any indebtedness, preferred stock or other liabilities of our subsidiaries.</w:t>
      </w:r>
    </w:p>
    <w:p>
      <w:pPr>
        <w:spacing w:after="0" w:line="81" w:lineRule="exact"/>
        <w:rPr>
          <w:sz w:val="20"/>
          <w:szCs w:val="20"/>
          <w:color w:val="auto"/>
        </w:rPr>
      </w:pPr>
    </w:p>
    <w:p>
      <w:pPr>
        <w:ind w:left="1400" w:right="1499" w:firstLine="271"/>
        <w:spacing w:after="0" w:line="234" w:lineRule="auto"/>
        <w:rPr>
          <w:sz w:val="20"/>
          <w:szCs w:val="20"/>
          <w:color w:val="auto"/>
        </w:rPr>
      </w:pPr>
      <w:r>
        <w:rPr>
          <w:rFonts w:ascii="Times New Roman" w:cs="Times New Roman" w:eastAsia="Times New Roman" w:hAnsi="Times New Roman"/>
          <w:sz w:val="14"/>
          <w:szCs w:val="14"/>
          <w:color w:val="auto"/>
        </w:rPr>
        <w:t>In the event of our bankruptcy, liquidation, reorganization or other winding-up, our assets will be available to pay the liquidation preference of the Convertible Preferred Stock only after all of our indebtedness and other liabilities have been paid. In addition, the Convertible Preferred Stock will be structurally junior to all existing and future indebtedness and other liabilities (including trade payables) of our subsidiaries and any capital stock of our subsidiaries not held by us. The holders of the Convertible Preferred Stock have no right to participate in the distribution of assets of our subsidiaries (except to the extent that we have satisfied all of our liabilities and have recognized claims or interests in the assets of such subsidiaries). Consequently, if we are forced to liquidate our assets to pay our creditors, we may not have sufficient assets remaining to pay the liquidation preference of any or all of the Convertible Preferred Stock then outstanding. We and our subsidiaries may incur substantial amounts of additional debt and other obligations.</w:t>
      </w:r>
    </w:p>
    <w:p>
      <w:pPr>
        <w:spacing w:after="0" w:line="97" w:lineRule="exact"/>
        <w:rPr>
          <w:sz w:val="20"/>
          <w:szCs w:val="20"/>
          <w:color w:val="auto"/>
        </w:rPr>
      </w:pPr>
    </w:p>
    <w:p>
      <w:pPr>
        <w:ind w:left="1400" w:right="1419" w:firstLine="271"/>
        <w:spacing w:after="0" w:line="236" w:lineRule="auto"/>
        <w:rPr>
          <w:sz w:val="20"/>
          <w:szCs w:val="20"/>
          <w:color w:val="auto"/>
        </w:rPr>
      </w:pPr>
      <w:r>
        <w:rPr>
          <w:rFonts w:ascii="Times New Roman" w:cs="Times New Roman" w:eastAsia="Times New Roman" w:hAnsi="Times New Roman"/>
          <w:sz w:val="14"/>
          <w:szCs w:val="14"/>
          <w:color w:val="auto"/>
        </w:rPr>
        <w:t>As of December 31, 2024, we and our subsidiaries had approximately $2.1 billion principal amount of indebtedness outstanding, ranking senior to our Convertible Preferred Stock, and we and our subsidiaries had availability of approximately $1.1 billion under the existing loan agreements and credit facilities subject to certain covenants. For information on our currently outstanding long-term indebtedness, or any junior stock, parity stock or senior stock or additional shares of Convertible Preferred Stock issued by us after the date of this prospectus supplement, see our most recent Annual Report on Form 10-K and any subsequently filed Quarterly Reports on Form 10-Q and Current Reports on Form 8-K.</w:t>
      </w:r>
    </w:p>
    <w:p>
      <w:pPr>
        <w:spacing w:after="0" w:line="94" w:lineRule="exact"/>
        <w:rPr>
          <w:sz w:val="20"/>
          <w:szCs w:val="20"/>
          <w:color w:val="auto"/>
        </w:rPr>
      </w:pPr>
    </w:p>
    <w:p>
      <w:pPr>
        <w:ind w:left="1400" w:right="1439" w:firstLine="271"/>
        <w:spacing w:after="0" w:line="234" w:lineRule="auto"/>
        <w:rPr>
          <w:sz w:val="20"/>
          <w:szCs w:val="20"/>
          <w:color w:val="auto"/>
        </w:rPr>
      </w:pPr>
      <w:r>
        <w:rPr>
          <w:rFonts w:ascii="Times New Roman" w:cs="Times New Roman" w:eastAsia="Times New Roman" w:hAnsi="Times New Roman"/>
          <w:sz w:val="14"/>
          <w:szCs w:val="14"/>
          <w:color w:val="auto"/>
        </w:rPr>
        <w:t>Our current certificate of incorporation authorizes our Board to issue one or more series of preferred stock and set the terms of the preferred stock without seeking any further approval from our stockholders. If we issue preferred stock, it may adversely affect the market price of our Common Stock. Our Board also has the power, without stockholder approval, subject to applicable law, to set the terms of any such series of preferred stock that may be issued, including voting rights, dividend rights and preferences over our Common Stock with respect to dividends or upon our dissolution, winding-up and liquidation and other terms. If we issue preferred stock in the future that has a preference over our Common Stock with respect to the payment of dividends or upon our liquidation, dissolution, or winding up, or if we issue preferred stock with voting rights that dilute the voting power of our Common Stock, the rights of holders of shares of the Convertible Preferred Stock and our Common Stock or the market price of the Convertible Preferred Stock and our Common Stock could be adversely affected.</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8" w:name="page9"/>
    <w:bookmarkEnd w:id="8"/>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0" w:right="1679"/>
        <w:spacing w:after="0" w:line="354" w:lineRule="auto"/>
        <w:rPr>
          <w:sz w:val="20"/>
          <w:szCs w:val="20"/>
          <w:color w:val="auto"/>
        </w:rPr>
      </w:pPr>
      <w:r>
        <w:rPr>
          <w:rFonts w:ascii="Times New Roman" w:cs="Times New Roman" w:eastAsia="Times New Roman" w:hAnsi="Times New Roman"/>
          <w:sz w:val="12"/>
          <w:szCs w:val="12"/>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35" w:lineRule="exact"/>
        <w:rPr>
          <w:sz w:val="20"/>
          <w:szCs w:val="20"/>
          <w:color w:val="auto"/>
        </w:rPr>
      </w:pPr>
    </w:p>
    <w:p>
      <w:pPr>
        <w:ind w:left="1400" w:right="1439" w:firstLine="271"/>
        <w:spacing w:after="0" w:line="247" w:lineRule="auto"/>
        <w:rPr>
          <w:sz w:val="20"/>
          <w:szCs w:val="20"/>
          <w:color w:val="auto"/>
        </w:rPr>
      </w:pPr>
      <w:r>
        <w:rPr>
          <w:rFonts w:ascii="Times New Roman" w:cs="Times New Roman" w:eastAsia="Times New Roman" w:hAnsi="Times New Roman"/>
          <w:sz w:val="14"/>
          <w:szCs w:val="14"/>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1.25% Convertible Senior Notes due in</w:t>
      </w:r>
    </w:p>
    <w:p>
      <w:pPr>
        <w:spacing w:after="0" w:line="1" w:lineRule="exact"/>
        <w:rPr>
          <w:sz w:val="20"/>
          <w:szCs w:val="20"/>
          <w:color w:val="auto"/>
        </w:rPr>
      </w:pPr>
    </w:p>
    <w:p>
      <w:pPr>
        <w:ind w:left="1400" w:right="1439"/>
        <w:spacing w:after="0" w:line="243" w:lineRule="auto"/>
        <w:rPr>
          <w:sz w:val="20"/>
          <w:szCs w:val="20"/>
          <w:color w:val="auto"/>
        </w:rPr>
      </w:pPr>
      <w:r>
        <w:rPr>
          <w:rFonts w:ascii="Times New Roman" w:cs="Times New Roman" w:eastAsia="Times New Roman" w:hAnsi="Times New Roman"/>
          <w:sz w:val="14"/>
          <w:szCs w:val="14"/>
          <w:color w:val="auto"/>
        </w:rPr>
        <w:t>2026 issued by us in December 2021 (the “2026 Convertible Notes”) or Convertible Preferred Stock would result in additional dilution to holders of our Common Stock. Similarly, the redemption or repurchase of our Convertible Preferred Stock may result in additional dilution to holders of our Common Stock if, under the terms of our Convertible Preferred Stock, we are then permitted, and elect, to satisfy our obligations in respect thereof by delivery of our Common Stock. In the future, we may issue additional shares of our Common Stock, or securities convertible into or exercisable for Common Stock, in connection with generating additional capital, future acquisitions, repayment of outstanding indebtedness, under our Amended and Restated 2021 Stock Incentive Plan (including our 2021 Employee Stock Purchase Plan, attached thereto), or for other reasons.</w:t>
      </w:r>
    </w:p>
    <w:p>
      <w:pPr>
        <w:spacing w:after="0" w:line="100" w:lineRule="exact"/>
        <w:rPr>
          <w:sz w:val="20"/>
          <w:szCs w:val="20"/>
          <w:color w:val="auto"/>
        </w:rPr>
      </w:pPr>
    </w:p>
    <w:p>
      <w:pPr>
        <w:ind w:left="1400" w:right="1559" w:firstLine="271"/>
        <w:spacing w:after="0" w:line="249" w:lineRule="auto"/>
        <w:rPr>
          <w:sz w:val="20"/>
          <w:szCs w:val="20"/>
          <w:color w:val="auto"/>
        </w:rPr>
      </w:pPr>
      <w:r>
        <w:rPr>
          <w:rFonts w:ascii="Times New Roman" w:cs="Times New Roman" w:eastAsia="Times New Roman" w:hAnsi="Times New Roman"/>
          <w:sz w:val="14"/>
          <w:szCs w:val="14"/>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86" w:lineRule="exact"/>
        <w:rPr>
          <w:sz w:val="20"/>
          <w:szCs w:val="20"/>
          <w:color w:val="auto"/>
        </w:rPr>
      </w:pPr>
    </w:p>
    <w:p>
      <w:pPr>
        <w:ind w:left="1400" w:right="1659" w:firstLine="271"/>
        <w:spacing w:after="0" w:line="253" w:lineRule="auto"/>
        <w:rPr>
          <w:sz w:val="20"/>
          <w:szCs w:val="20"/>
          <w:color w:val="auto"/>
        </w:rPr>
      </w:pPr>
      <w:r>
        <w:rPr>
          <w:rFonts w:ascii="Times New Roman" w:cs="Times New Roman" w:eastAsia="Times New Roman" w:hAnsi="Times New Roman"/>
          <w:sz w:val="14"/>
          <w:szCs w:val="14"/>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92" w:lineRule="exact"/>
        <w:rPr>
          <w:sz w:val="20"/>
          <w:szCs w:val="20"/>
          <w:color w:val="auto"/>
        </w:rPr>
      </w:pPr>
    </w:p>
    <w:p>
      <w:pPr>
        <w:ind w:left="1400" w:right="1539" w:firstLine="271"/>
        <w:spacing w:after="0" w:line="263" w:lineRule="auto"/>
        <w:rPr>
          <w:sz w:val="20"/>
          <w:szCs w:val="20"/>
          <w:color w:val="auto"/>
        </w:rPr>
      </w:pPr>
      <w:r>
        <w:rPr>
          <w:rFonts w:ascii="Times New Roman" w:cs="Times New Roman" w:eastAsia="Times New Roman" w:hAnsi="Times New Roman"/>
          <w:sz w:val="14"/>
          <w:szCs w:val="14"/>
          <w:color w:val="auto"/>
        </w:rPr>
        <w:t>The trading market for our Common Stock can be influenced by the research and reports that industry or securities analysts may publish about us, our business and operations, our market, or our competitors.</w:t>
      </w:r>
    </w:p>
    <w:p>
      <w:pPr>
        <w:spacing w:after="0" w:line="85" w:lineRule="exact"/>
        <w:rPr>
          <w:sz w:val="20"/>
          <w:szCs w:val="20"/>
          <w:color w:val="auto"/>
        </w:rPr>
      </w:pPr>
    </w:p>
    <w:p>
      <w:pPr>
        <w:ind w:left="1400" w:right="1479" w:firstLine="271"/>
        <w:spacing w:after="0" w:line="248" w:lineRule="auto"/>
        <w:rPr>
          <w:sz w:val="20"/>
          <w:szCs w:val="20"/>
          <w:color w:val="auto"/>
        </w:rPr>
      </w:pPr>
      <w:r>
        <w:rPr>
          <w:rFonts w:ascii="Times New Roman" w:cs="Times New Roman" w:eastAsia="Times New Roman" w:hAnsi="Times New Roman"/>
          <w:sz w:val="14"/>
          <w:szCs w:val="14"/>
          <w:color w:val="auto"/>
        </w:rPr>
        <w:t>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42" w:lineRule="exact"/>
        <w:rPr>
          <w:sz w:val="20"/>
          <w:szCs w:val="20"/>
          <w:color w:val="auto"/>
        </w:rPr>
      </w:pPr>
    </w:p>
    <w:p>
      <w:pPr>
        <w:ind w:left="1400" w:right="143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been, and may continue to be, volatile, and this volatility may negatively impact the market price of our Common Stock.</w:t>
      </w:r>
    </w:p>
    <w:p>
      <w:pPr>
        <w:spacing w:after="0" w:line="71" w:lineRule="exact"/>
        <w:rPr>
          <w:sz w:val="20"/>
          <w:szCs w:val="20"/>
          <w:color w:val="auto"/>
        </w:rPr>
      </w:pPr>
    </w:p>
    <w:p>
      <w:pPr>
        <w:ind w:left="1400" w:right="1439" w:firstLine="271"/>
        <w:spacing w:after="0" w:line="245" w:lineRule="auto"/>
        <w:rPr>
          <w:sz w:val="20"/>
          <w:szCs w:val="20"/>
          <w:color w:val="auto"/>
        </w:rPr>
      </w:pPr>
      <w:r>
        <w:rPr>
          <w:rFonts w:ascii="Times New Roman" w:cs="Times New Roman" w:eastAsia="Times New Roman" w:hAnsi="Times New Roman"/>
          <w:sz w:val="14"/>
          <w:szCs w:val="14"/>
          <w:color w:val="auto"/>
        </w:rPr>
        <w:t>The trading price of our Common Stock has fluctuated substantially.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w:t>
      </w:r>
    </w:p>
    <w:p>
      <w:pPr>
        <w:spacing w:after="0" w:line="10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Factors affecting the trading price of our Common Stock may include:</w:t>
      </w:r>
    </w:p>
    <w:p>
      <w:pPr>
        <w:spacing w:after="0" w:line="83" w:lineRule="exact"/>
        <w:rPr>
          <w:sz w:val="20"/>
          <w:szCs w:val="20"/>
          <w:color w:val="auto"/>
        </w:rPr>
      </w:pPr>
    </w:p>
    <w:p>
      <w:pPr>
        <w:ind w:left="1820" w:hanging="141"/>
        <w:spacing w:after="0"/>
        <w:tabs>
          <w:tab w:leader="none" w:pos="1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broader stock market in general, or in our industry in particular;</w:t>
      </w:r>
    </w:p>
    <w:p>
      <w:pPr>
        <w:spacing w:after="0" w:line="83" w:lineRule="exact"/>
        <w:rPr>
          <w:rFonts w:ascii="Times New Roman" w:cs="Times New Roman" w:eastAsia="Times New Roman" w:hAnsi="Times New Roman"/>
          <w:sz w:val="14"/>
          <w:szCs w:val="14"/>
          <w:color w:val="auto"/>
        </w:rPr>
      </w:pPr>
    </w:p>
    <w:p>
      <w:pPr>
        <w:ind w:left="1820" w:right="1819" w:hanging="141"/>
        <w:spacing w:after="0" w:line="263" w:lineRule="auto"/>
        <w:tabs>
          <w:tab w:leader="none" w:pos="1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or operating results or the quarterly financial or operating results of companies perceived to be similar to ours;</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83" w:lineRule="exact"/>
        <w:rPr>
          <w:rFonts w:ascii="Times New Roman" w:cs="Times New Roman" w:eastAsia="Times New Roman" w:hAnsi="Times New Roman"/>
          <w:sz w:val="14"/>
          <w:szCs w:val="14"/>
          <w:color w:val="auto"/>
        </w:rPr>
      </w:pPr>
    </w:p>
    <w:p>
      <w:pPr>
        <w:ind w:left="1820" w:right="1479" w:hanging="141"/>
        <w:spacing w:after="0" w:line="263" w:lineRule="auto"/>
        <w:tabs>
          <w:tab w:leader="none" w:pos="1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the number of unit reservations, financial projections and any other guidance or metrics that we may publicly disclose from time to time;</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9" w:name="page10"/>
    <w:bookmarkEnd w:id="9"/>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20" w:hanging="141"/>
        <w:spacing w:after="0"/>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73" w:lineRule="exact"/>
        <w:rPr>
          <w:rFonts w:ascii="Times New Roman" w:cs="Times New Roman" w:eastAsia="Times New Roman" w:hAnsi="Times New Roman"/>
          <w:sz w:val="14"/>
          <w:szCs w:val="14"/>
          <w:color w:val="auto"/>
        </w:rPr>
      </w:pPr>
    </w:p>
    <w:p>
      <w:pPr>
        <w:ind w:left="1820" w:right="1839" w:hanging="141"/>
        <w:spacing w:after="0" w:line="263"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competitors’ businesses or the competitive landscape generally;</w:t>
      </w:r>
    </w:p>
    <w:p>
      <w:pPr>
        <w:spacing w:after="0" w:line="44" w:lineRule="exact"/>
        <w:rPr>
          <w:rFonts w:ascii="Times New Roman" w:cs="Times New Roman" w:eastAsia="Times New Roman" w:hAnsi="Times New Roman"/>
          <w:sz w:val="14"/>
          <w:szCs w:val="14"/>
          <w:color w:val="auto"/>
        </w:rPr>
      </w:pPr>
    </w:p>
    <w:p>
      <w:pPr>
        <w:ind w:left="1820" w:right="1519" w:hanging="141"/>
        <w:spacing w:after="0" w:line="263"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results failing to meet the expectation of securities analysts or investors in a particular period;</w:t>
      </w:r>
    </w:p>
    <w:p>
      <w:pPr>
        <w:spacing w:after="0" w:line="54" w:lineRule="exact"/>
        <w:rPr>
          <w:rFonts w:ascii="Times New Roman" w:cs="Times New Roman" w:eastAsia="Times New Roman" w:hAnsi="Times New Roman"/>
          <w:sz w:val="14"/>
          <w:szCs w:val="14"/>
          <w:color w:val="auto"/>
        </w:rPr>
      </w:pPr>
    </w:p>
    <w:p>
      <w:pPr>
        <w:ind w:left="1820" w:right="1639" w:hanging="141"/>
        <w:spacing w:after="0" w:line="263"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achievement of objectives under our business plan and the timing and amount of costs we incur in connection therewith;</w:t>
      </w:r>
    </w:p>
    <w:p>
      <w:pPr>
        <w:spacing w:after="0" w:line="44" w:lineRule="exact"/>
        <w:rPr>
          <w:rFonts w:ascii="Times New Roman" w:cs="Times New Roman" w:eastAsia="Times New Roman" w:hAnsi="Times New Roman"/>
          <w:sz w:val="14"/>
          <w:szCs w:val="14"/>
          <w:color w:val="auto"/>
        </w:rPr>
      </w:pPr>
    </w:p>
    <w:p>
      <w:pPr>
        <w:ind w:left="1820" w:right="1779" w:hanging="141"/>
        <w:spacing w:after="0" w:line="263"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market in general;</w:t>
      </w:r>
    </w:p>
    <w:p>
      <w:pPr>
        <w:spacing w:after="0" w:line="4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ours;</w:t>
      </w:r>
    </w:p>
    <w:p>
      <w:pPr>
        <w:spacing w:after="0" w:line="7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7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or investigations involving us;</w:t>
      </w:r>
    </w:p>
    <w:p>
      <w:pPr>
        <w:spacing w:after="0" w:line="73" w:lineRule="exact"/>
        <w:rPr>
          <w:rFonts w:ascii="Times New Roman" w:cs="Times New Roman" w:eastAsia="Times New Roman" w:hAnsi="Times New Roman"/>
          <w:sz w:val="14"/>
          <w:szCs w:val="14"/>
          <w:color w:val="auto"/>
        </w:rPr>
      </w:pPr>
    </w:p>
    <w:p>
      <w:pPr>
        <w:ind w:left="1820" w:right="1479" w:hanging="141"/>
        <w:spacing w:after="0" w:line="263"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44" w:lineRule="exact"/>
        <w:rPr>
          <w:rFonts w:ascii="Times New Roman" w:cs="Times New Roman" w:eastAsia="Times New Roman" w:hAnsi="Times New Roman"/>
          <w:sz w:val="14"/>
          <w:szCs w:val="14"/>
          <w:color w:val="auto"/>
        </w:rPr>
      </w:pPr>
    </w:p>
    <w:p>
      <w:pPr>
        <w:ind w:left="1820" w:right="1459" w:hanging="141"/>
        <w:spacing w:after="0" w:line="263"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our Common Stock available for public sale, including as a result of conversion of the 2026 Convertible Notes or our Convertible Preferred Stock;</w:t>
      </w:r>
    </w:p>
    <w:p>
      <w:pPr>
        <w:spacing w:after="0" w:line="4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or management;</w:t>
      </w:r>
    </w:p>
    <w:p>
      <w:pPr>
        <w:spacing w:after="0" w:line="73" w:lineRule="exact"/>
        <w:rPr>
          <w:rFonts w:ascii="Times New Roman" w:cs="Times New Roman" w:eastAsia="Times New Roman" w:hAnsi="Times New Roman"/>
          <w:sz w:val="14"/>
          <w:szCs w:val="14"/>
          <w:color w:val="auto"/>
        </w:rPr>
      </w:pPr>
    </w:p>
    <w:p>
      <w:pPr>
        <w:ind w:left="1820" w:right="2079" w:hanging="141"/>
        <w:spacing w:after="0" w:line="263"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Common Stock by our directors, officers or significant stockholders or the perception that such sales could occur;</w:t>
      </w:r>
    </w:p>
    <w:p>
      <w:pPr>
        <w:spacing w:after="0" w:line="44" w:lineRule="exact"/>
        <w:rPr>
          <w:rFonts w:ascii="Times New Roman" w:cs="Times New Roman" w:eastAsia="Times New Roman" w:hAnsi="Times New Roman"/>
          <w:sz w:val="14"/>
          <w:szCs w:val="14"/>
          <w:color w:val="auto"/>
        </w:rPr>
      </w:pPr>
    </w:p>
    <w:p>
      <w:pPr>
        <w:ind w:left="1820" w:right="1599" w:hanging="141"/>
        <w:spacing w:after="0" w:line="249"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interest rates, inflation, government closures of banks and liquidity concerns at other financial institutions, changes in diplomatic and trade relationships, fluctuations in foreign currency exchange rates, acts of war or terrorism, and natural disasters; and</w:t>
      </w:r>
    </w:p>
    <w:p>
      <w:pPr>
        <w:spacing w:after="0" w:line="55"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listed in this section “Risk Factors.”</w:t>
      </w:r>
    </w:p>
    <w:p>
      <w:pPr>
        <w:spacing w:after="0" w:line="114" w:lineRule="exact"/>
        <w:rPr>
          <w:sz w:val="20"/>
          <w:szCs w:val="20"/>
          <w:color w:val="auto"/>
        </w:rPr>
      </w:pPr>
    </w:p>
    <w:p>
      <w:pPr>
        <w:ind w:left="1400" w:right="1479" w:firstLine="271"/>
        <w:spacing w:after="0" w:line="234" w:lineRule="auto"/>
        <w:rPr>
          <w:sz w:val="20"/>
          <w:szCs w:val="20"/>
          <w:color w:val="auto"/>
        </w:rPr>
      </w:pPr>
      <w:r>
        <w:rPr>
          <w:rFonts w:ascii="Times New Roman" w:cs="Times New Roman" w:eastAsia="Times New Roman" w:hAnsi="Times New Roman"/>
          <w:sz w:val="14"/>
          <w:szCs w:val="14"/>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the impact of global conflicts or other geopolitical events, natural disasters, and any other global pandemics, as well as general economic, political and market conditions such as recessions, inflation, government closures of banks and liquidity concerns at other financial institutions,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94" w:lineRule="exact"/>
        <w:rPr>
          <w:sz w:val="20"/>
          <w:szCs w:val="20"/>
          <w:color w:val="auto"/>
        </w:rPr>
      </w:pPr>
    </w:p>
    <w:p>
      <w:pPr>
        <w:ind w:left="1400" w:right="1439" w:firstLine="271"/>
        <w:spacing w:after="0" w:line="234" w:lineRule="auto"/>
        <w:rPr>
          <w:sz w:val="20"/>
          <w:szCs w:val="20"/>
          <w:color w:val="auto"/>
        </w:rPr>
      </w:pPr>
      <w:r>
        <w:rPr>
          <w:rFonts w:ascii="Times New Roman" w:cs="Times New Roman" w:eastAsia="Times New Roman" w:hAnsi="Times New Roman"/>
          <w:sz w:val="14"/>
          <w:szCs w:val="14"/>
          <w:color w:val="auto"/>
        </w:rPr>
        <w:t>Furthermore, the stock markets in general, and the markets for technology and electric vehicle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Convertible Notes may impact the market price of our Common Stock, in particular during any redemption conversion period in connection with a redemption of the 2026 Convertible Notes or any observation period for a conversion of the 2026 Convertible Notes.</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0" w:name="page11"/>
    <w:bookmarkEnd w:id="10"/>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39" w:firstLine="271"/>
        <w:spacing w:after="0" w:line="248"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42" w:lineRule="exact"/>
        <w:rPr>
          <w:sz w:val="20"/>
          <w:szCs w:val="20"/>
          <w:color w:val="auto"/>
        </w:rPr>
      </w:pPr>
    </w:p>
    <w:p>
      <w:pPr>
        <w:ind w:left="1400" w:right="141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adversely affect our financial condition and our ability to raise additional capital to fund our operations and limit our ability to react to changes in the economy.</w:t>
      </w:r>
    </w:p>
    <w:p>
      <w:pPr>
        <w:spacing w:after="0" w:line="81" w:lineRule="exact"/>
        <w:rPr>
          <w:sz w:val="20"/>
          <w:szCs w:val="20"/>
          <w:color w:val="auto"/>
        </w:rPr>
      </w:pPr>
    </w:p>
    <w:p>
      <w:pPr>
        <w:ind w:left="1400" w:right="1459" w:firstLine="271"/>
        <w:spacing w:after="0" w:line="249" w:lineRule="auto"/>
        <w:rPr>
          <w:sz w:val="20"/>
          <w:szCs w:val="20"/>
          <w:color w:val="auto"/>
        </w:rPr>
      </w:pPr>
      <w:r>
        <w:rPr>
          <w:rFonts w:ascii="Times New Roman" w:cs="Times New Roman" w:eastAsia="Times New Roman" w:hAnsi="Times New Roman"/>
          <w:sz w:val="14"/>
          <w:szCs w:val="14"/>
          <w:color w:val="auto"/>
        </w:rPr>
        <w:t>We are a highly leveraged company. As of December 31, 2024, we and our subsidiaries had approximately $2.1 billion of principal amount of indebtedness outstanding and we and our subsidiaries had availability of approximately $1.1 billion under the existing loan agreements and credit facilities subject to certain covenants.</w:t>
      </w:r>
    </w:p>
    <w:p>
      <w:pPr>
        <w:spacing w:after="0" w:line="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Our substantial indebtedness could have important consequences to you. For example, it could:</w:t>
      </w:r>
    </w:p>
    <w:p>
      <w:pPr>
        <w:spacing w:after="0" w:line="83" w:lineRule="exact"/>
        <w:rPr>
          <w:sz w:val="20"/>
          <w:szCs w:val="20"/>
          <w:color w:val="auto"/>
        </w:rPr>
      </w:pPr>
    </w:p>
    <w:p>
      <w:pPr>
        <w:ind w:left="1820" w:hanging="141"/>
        <w:spacing w:after="0"/>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w:t>
      </w:r>
    </w:p>
    <w:p>
      <w:pPr>
        <w:spacing w:after="0" w:line="83" w:lineRule="exact"/>
        <w:rPr>
          <w:rFonts w:ascii="Times New Roman" w:cs="Times New Roman" w:eastAsia="Times New Roman" w:hAnsi="Times New Roman"/>
          <w:sz w:val="14"/>
          <w:szCs w:val="14"/>
          <w:color w:val="auto"/>
        </w:rPr>
      </w:pPr>
    </w:p>
    <w:p>
      <w:pPr>
        <w:jc w:val="both"/>
        <w:ind w:left="1820" w:right="1759" w:hanging="141"/>
        <w:spacing w:after="0" w:line="253"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61" w:lineRule="exact"/>
        <w:rPr>
          <w:rFonts w:ascii="Times New Roman" w:cs="Times New Roman" w:eastAsia="Times New Roman" w:hAnsi="Times New Roman"/>
          <w:sz w:val="14"/>
          <w:szCs w:val="14"/>
          <w:color w:val="auto"/>
        </w:rPr>
      </w:pPr>
    </w:p>
    <w:p>
      <w:pPr>
        <w:ind w:left="1820" w:right="1499" w:hanging="141"/>
        <w:spacing w:after="0" w:line="263"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the industry in which we operate;</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compared to our competitors that have less debt; and</w:t>
      </w:r>
    </w:p>
    <w:p>
      <w:pPr>
        <w:spacing w:after="0" w:line="83" w:lineRule="exact"/>
        <w:rPr>
          <w:rFonts w:ascii="Times New Roman" w:cs="Times New Roman" w:eastAsia="Times New Roman" w:hAnsi="Times New Roman"/>
          <w:sz w:val="14"/>
          <w:szCs w:val="14"/>
          <w:color w:val="auto"/>
        </w:rPr>
      </w:pPr>
    </w:p>
    <w:p>
      <w:pPr>
        <w:ind w:left="1820" w:right="1479" w:hanging="141"/>
        <w:spacing w:after="0" w:line="263"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obtain additional financing for working capital, capital expenditures, acquisitions or general corporate purposes.</w:t>
      </w:r>
    </w:p>
    <w:p>
      <w:pPr>
        <w:spacing w:after="0" w:line="132" w:lineRule="exact"/>
        <w:rPr>
          <w:sz w:val="20"/>
          <w:szCs w:val="20"/>
          <w:color w:val="auto"/>
        </w:rPr>
      </w:pPr>
    </w:p>
    <w:p>
      <w:pPr>
        <w:ind w:left="1400" w:right="155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90" w:lineRule="exact"/>
        <w:rPr>
          <w:sz w:val="20"/>
          <w:szCs w:val="20"/>
          <w:color w:val="auto"/>
        </w:rPr>
      </w:pPr>
    </w:p>
    <w:p>
      <w:pPr>
        <w:ind w:left="1400" w:right="1439" w:firstLine="271"/>
        <w:spacing w:after="0" w:line="244" w:lineRule="auto"/>
        <w:rPr>
          <w:sz w:val="20"/>
          <w:szCs w:val="20"/>
          <w:color w:val="auto"/>
        </w:rPr>
      </w:pPr>
      <w:r>
        <w:rPr>
          <w:rFonts w:ascii="Times New Roman" w:cs="Times New Roman" w:eastAsia="Times New Roman" w:hAnsi="Times New Roman"/>
          <w:sz w:val="14"/>
          <w:szCs w:val="14"/>
          <w:color w:val="auto"/>
        </w:rPr>
        <w:t>As of December 31, 2024, PIF, both directly and indirectly through Ayar, held over 50% of the voting power for the election of our directors.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spacing w:after="0" w:line="101" w:lineRule="exact"/>
        <w:rPr>
          <w:sz w:val="20"/>
          <w:szCs w:val="20"/>
          <w:color w:val="auto"/>
        </w:rPr>
      </w:pPr>
    </w:p>
    <w:p>
      <w:pPr>
        <w:ind w:left="1400" w:right="1419" w:firstLine="271"/>
        <w:spacing w:after="0" w:line="245" w:lineRule="auto"/>
        <w:rPr>
          <w:sz w:val="20"/>
          <w:szCs w:val="20"/>
          <w:color w:val="auto"/>
        </w:rPr>
      </w:pPr>
      <w:r>
        <w:rPr>
          <w:rFonts w:ascii="Times New Roman" w:cs="Times New Roman" w:eastAsia="Times New Roman" w:hAnsi="Times New Roman"/>
          <w:sz w:val="14"/>
          <w:szCs w:val="14"/>
          <w:color w:val="auto"/>
        </w:rPr>
        <w:t>In addition, for so long as Ayar holds the Convertible Preferred Stock and as result of the consent and voting rights of the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This concentration of ownership and voting power allows Ayar to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1" w:name="page12"/>
    <w:bookmarkEnd w:id="11"/>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39" w:firstLine="271"/>
        <w:spacing w:after="0" w:line="247" w:lineRule="auto"/>
        <w:rPr>
          <w:sz w:val="20"/>
          <w:szCs w:val="20"/>
          <w:color w:val="auto"/>
        </w:rPr>
      </w:pPr>
      <w:r>
        <w:rPr>
          <w:rFonts w:ascii="Times New Roman" w:cs="Times New Roman" w:eastAsia="Times New Roman" w:hAnsi="Times New Roman"/>
          <w:sz w:val="14"/>
          <w:szCs w:val="14"/>
          <w:color w:val="auto"/>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2" w:name="page13"/>
    <w:bookmarkEnd w:id="12"/>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18" w:lineRule="exact"/>
        <w:rPr>
          <w:sz w:val="20"/>
          <w:szCs w:val="20"/>
          <w:color w:val="auto"/>
        </w:rPr>
      </w:pPr>
    </w:p>
    <w:p>
      <w:pPr>
        <w:ind w:left="1400" w:right="1559" w:firstLine="271"/>
        <w:spacing w:after="0" w:line="253" w:lineRule="auto"/>
        <w:rPr>
          <w:sz w:val="20"/>
          <w:szCs w:val="20"/>
          <w:color w:val="auto"/>
        </w:rPr>
      </w:pPr>
      <w:r>
        <w:rPr>
          <w:rFonts w:ascii="Times New Roman" w:cs="Times New Roman" w:eastAsia="Times New Roman" w:hAnsi="Times New Roman"/>
          <w:sz w:val="14"/>
          <w:szCs w:val="14"/>
          <w:color w:val="auto"/>
        </w:rPr>
        <w:t>We will not receive any of the proceeds from the resale of the Securities offered pursuant to this prospectus supplement from time to time by the Selling Stockholder or upon issuance of any shares of our Common Stock to holders of Convertible Preferred Stock upon conversion of such preferred stock.</w:t>
      </w:r>
    </w:p>
    <w:p>
      <w:pPr>
        <w:spacing w:after="0" w:line="92" w:lineRule="exact"/>
        <w:rPr>
          <w:sz w:val="20"/>
          <w:szCs w:val="20"/>
          <w:color w:val="auto"/>
        </w:rPr>
      </w:pPr>
    </w:p>
    <w:p>
      <w:pPr>
        <w:ind w:left="1400" w:right="1499" w:firstLine="271"/>
        <w:spacing w:after="0" w:line="249" w:lineRule="auto"/>
        <w:rPr>
          <w:sz w:val="20"/>
          <w:szCs w:val="20"/>
          <w:color w:val="auto"/>
        </w:rPr>
      </w:pPr>
      <w:r>
        <w:rPr>
          <w:rFonts w:ascii="Times New Roman" w:cs="Times New Roman" w:eastAsia="Times New Roman" w:hAnsi="Times New Roman"/>
          <w:sz w:val="14"/>
          <w:szCs w:val="14"/>
          <w:color w:val="auto"/>
        </w:rPr>
        <w:t>The Selling Stockholder will pay any selling commissions and stock transfer taxes applicable to the Securities that they incur in disposing of the Securities offered by this prospectus supplement. We will bear all other costs, fees and expenses incurred in effecting the registration of the Securities covered by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3" w:name="page14"/>
    <w:bookmarkEnd w:id="13"/>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 BEING REGISTERED</w:t>
      </w:r>
    </w:p>
    <w:p>
      <w:pPr>
        <w:spacing w:after="0" w:line="118" w:lineRule="exact"/>
        <w:rPr>
          <w:sz w:val="20"/>
          <w:szCs w:val="20"/>
          <w:color w:val="auto"/>
        </w:rPr>
      </w:pPr>
    </w:p>
    <w:p>
      <w:pPr>
        <w:ind w:left="1400" w:right="1419" w:firstLine="271"/>
        <w:spacing w:after="0" w:line="236" w:lineRule="auto"/>
        <w:rPr>
          <w:sz w:val="20"/>
          <w:szCs w:val="20"/>
          <w:color w:val="auto"/>
        </w:rPr>
      </w:pPr>
      <w:r>
        <w:rPr>
          <w:rFonts w:ascii="Times New Roman" w:cs="Times New Roman" w:eastAsia="Times New Roman" w:hAnsi="Times New Roman"/>
          <w:sz w:val="14"/>
          <w:szCs w:val="14"/>
          <w:color w:val="auto"/>
        </w:rPr>
        <w:t>The following summary description of our capital stock is based on the provisions of the Delaware General Corporation Law (the “DGCL”), our current certificate of incorporation and our current bylaws. This description does not purport to be complete and is qualified in its entirety by reference to the full text of the DGCL, as it may be amended from time to time, and to the terms of our current certificate of incorporation and our current bylaws, as each may be amended from time to time, which are incorporated by reference as exhibits to the registration statement of which this prospectus supplement is a part. See “Where You Can Find More Information.” As used in this “Description of Securities Being Registered,” the terms “Lucid,” the “Company”, “we,” “our” and “us” refer to Lucid Group, Inc., a Delaware corporation, and do not, unless otherwise specified, include our subsidiaries.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6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Voting Power</w:t>
      </w:r>
    </w:p>
    <w:p>
      <w:pPr>
        <w:spacing w:after="0" w:line="118" w:lineRule="exact"/>
        <w:rPr>
          <w:sz w:val="20"/>
          <w:szCs w:val="20"/>
          <w:color w:val="auto"/>
        </w:rPr>
      </w:pPr>
    </w:p>
    <w:p>
      <w:pPr>
        <w:ind w:left="1400" w:right="1439" w:firstLine="271"/>
        <w:spacing w:after="0" w:line="235" w:lineRule="auto"/>
        <w:rPr>
          <w:sz w:val="20"/>
          <w:szCs w:val="20"/>
          <w:color w:val="auto"/>
        </w:rPr>
      </w:pP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5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08" w:lineRule="exact"/>
        <w:rPr>
          <w:sz w:val="20"/>
          <w:szCs w:val="20"/>
          <w:color w:val="auto"/>
        </w:rPr>
      </w:pPr>
    </w:p>
    <w:p>
      <w:pPr>
        <w:ind w:left="1400" w:right="1439" w:firstLine="271"/>
        <w:spacing w:after="0" w:line="235" w:lineRule="auto"/>
        <w:rPr>
          <w:sz w:val="20"/>
          <w:szCs w:val="20"/>
          <w:color w:val="auto"/>
        </w:rPr>
      </w:pPr>
      <w:r>
        <w:rPr>
          <w:rFonts w:ascii="Times New Roman" w:cs="Times New Roman" w:eastAsia="Times New Roman" w:hAnsi="Times New Roman"/>
          <w:sz w:val="14"/>
          <w:szCs w:val="14"/>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 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118" w:lineRule="exact"/>
        <w:rPr>
          <w:sz w:val="20"/>
          <w:szCs w:val="20"/>
          <w:color w:val="auto"/>
        </w:rPr>
      </w:pPr>
    </w:p>
    <w:p>
      <w:pPr>
        <w:ind w:left="1400" w:right="1459" w:firstLine="271"/>
        <w:spacing w:after="0" w:line="237" w:lineRule="auto"/>
        <w:rPr>
          <w:sz w:val="20"/>
          <w:szCs w:val="20"/>
          <w:color w:val="auto"/>
        </w:rPr>
      </w:pPr>
      <w:r>
        <w:rPr>
          <w:rFonts w:ascii="Times New Roman" w:cs="Times New Roman" w:eastAsia="Times New Roman" w:hAnsi="Times New Roman"/>
          <w:sz w:val="14"/>
          <w:szCs w:val="14"/>
          <w:color w:val="auto"/>
        </w:rPr>
        <w:t>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w:t>
      </w:r>
    </w:p>
    <w:p>
      <w:pPr>
        <w:spacing w:after="0" w:line="1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Preemptive or Other Rights</w:t>
      </w:r>
    </w:p>
    <w:p>
      <w:pPr>
        <w:spacing w:after="0" w:line="108" w:lineRule="exact"/>
        <w:rPr>
          <w:sz w:val="20"/>
          <w:szCs w:val="20"/>
          <w:color w:val="auto"/>
        </w:rPr>
      </w:pPr>
    </w:p>
    <w:p>
      <w:pPr>
        <w:ind w:left="1400" w:right="1539" w:firstLine="271"/>
        <w:spacing w:after="0" w:line="263" w:lineRule="auto"/>
        <w:rPr>
          <w:sz w:val="20"/>
          <w:szCs w:val="20"/>
          <w:color w:val="auto"/>
        </w:rPr>
      </w:pPr>
      <w:r>
        <w:rPr>
          <w:rFonts w:ascii="Times New Roman" w:cs="Times New Roman" w:eastAsia="Times New Roman" w:hAnsi="Times New Roman"/>
          <w:sz w:val="14"/>
          <w:szCs w:val="14"/>
          <w:color w:val="auto"/>
        </w:rPr>
        <w:t>The holders of our Common Stock do not have preemptive or other subscription rights and there is no sinking fund or redemption provisions applicable to our Common Stock.</w:t>
      </w:r>
    </w:p>
    <w:p>
      <w:pPr>
        <w:spacing w:after="0" w:line="75" w:lineRule="exact"/>
        <w:rPr>
          <w:sz w:val="20"/>
          <w:szCs w:val="20"/>
          <w:color w:val="auto"/>
        </w:rPr>
      </w:pPr>
    </w:p>
    <w:p>
      <w:pPr>
        <w:ind w:left="1400" w:right="1899" w:firstLine="271"/>
        <w:spacing w:after="0" w:line="238" w:lineRule="auto"/>
        <w:rPr>
          <w:sz w:val="20"/>
          <w:szCs w:val="20"/>
          <w:color w:val="auto"/>
        </w:rPr>
      </w:pPr>
      <w:r>
        <w:rPr>
          <w:rFonts w:ascii="Times New Roman" w:cs="Times New Roman" w:eastAsia="Times New Roman" w:hAnsi="Times New Roman"/>
          <w:sz w:val="14"/>
          <w:szCs w:val="14"/>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Description of Convertible Preferred Stock</w:t>
      </w:r>
    </w:p>
    <w:p>
      <w:pPr>
        <w:spacing w:after="0" w:line="16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Ranking and Dividend</w:t>
      </w:r>
    </w:p>
    <w:p>
      <w:pPr>
        <w:spacing w:after="0" w:line="108" w:lineRule="exact"/>
        <w:rPr>
          <w:sz w:val="20"/>
          <w:szCs w:val="20"/>
          <w:color w:val="auto"/>
        </w:rPr>
      </w:pPr>
    </w:p>
    <w:p>
      <w:pPr>
        <w:ind w:left="1400" w:right="1759" w:firstLine="271"/>
        <w:spacing w:after="0" w:line="263" w:lineRule="auto"/>
        <w:rPr>
          <w:sz w:val="20"/>
          <w:szCs w:val="20"/>
          <w:color w:val="auto"/>
        </w:rPr>
      </w:pPr>
      <w:r>
        <w:rPr>
          <w:rFonts w:ascii="Times New Roman" w:cs="Times New Roman" w:eastAsia="Times New Roman" w:hAnsi="Times New Roman"/>
          <w:sz w:val="14"/>
          <w:szCs w:val="14"/>
          <w:color w:val="auto"/>
        </w:rPr>
        <w:t>The Convertible Preferred Stock ranks senior to our Common Stock with respect to dividends and distributions of assets upon the Company’s liquidation, dissolution or winding up. Each share of the</w:t>
      </w: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190500</wp:posOffset>
            </wp:positionV>
            <wp:extent cx="516064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4" w:name="page15"/>
    <w:bookmarkEnd w:id="14"/>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539"/>
        <w:spacing w:after="0" w:line="245" w:lineRule="auto"/>
        <w:rPr>
          <w:sz w:val="20"/>
          <w:szCs w:val="20"/>
          <w:color w:val="auto"/>
        </w:rPr>
      </w:pPr>
      <w:r>
        <w:rPr>
          <w:rFonts w:ascii="Times New Roman" w:cs="Times New Roman" w:eastAsia="Times New Roman" w:hAnsi="Times New Roman"/>
          <w:sz w:val="14"/>
          <w:szCs w:val="14"/>
          <w:color w:val="auto"/>
        </w:rPr>
        <w:t>Convertible Preferred Stock has an initial value of $10,000 (the “Initial Value”). Dividends on the Convertible Preferred Stock is payable in the form of compounded dividends upon each share of Convertible Preferred Stock (such payment in kind, “Compounded Returns”). Dividends accrue on the Initial Value (as increased for any Compounded Dividends previously compounded thereon) of each share of Convertible Preferred Stock at a rate of 9% per annum and is compound on the basis of quarterly dividend payment dates on each March 31, June 30, September 30 and December 31 of each year, which commenced on June 30, 2024 for the Series A Convertible Preferred Stock and September 30, 2024 for the Series B Convertible Preferred Stock.</w:t>
      </w:r>
    </w:p>
    <w:p>
      <w:pPr>
        <w:spacing w:after="0" w:line="1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118" w:lineRule="exact"/>
        <w:rPr>
          <w:sz w:val="20"/>
          <w:szCs w:val="20"/>
          <w:color w:val="auto"/>
        </w:rPr>
      </w:pPr>
    </w:p>
    <w:p>
      <w:pPr>
        <w:ind w:left="1400" w:right="1439" w:firstLine="271"/>
        <w:spacing w:after="0" w:line="244" w:lineRule="auto"/>
        <w:rPr>
          <w:sz w:val="20"/>
          <w:szCs w:val="20"/>
          <w:color w:val="auto"/>
        </w:rPr>
      </w:pPr>
      <w:r>
        <w:rPr>
          <w:rFonts w:ascii="Times New Roman" w:cs="Times New Roman" w:eastAsia="Times New Roman" w:hAnsi="Times New Roman"/>
          <w:sz w:val="14"/>
          <w:szCs w:val="14"/>
          <w:color w:val="auto"/>
        </w:rPr>
        <w:t>Upon a liquidation, dissolution or winding up of the Company, each holder of shares of Convertible Preferred Stock (“Holder”) is entitled to receive, with respect to each share of then-outstanding Convertible Preferred Stock, out of the assets of the Company available for distribution to its stockholders (pari passu with the holders of any liquidation parity securities) an amount in cash equal to the greater of (a) an amount per share of Convertible Preferred 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respective certificate of designations) multiplied by (ii) the relevant percentage (as defined in the respective certificate of designations) (the product of (i) and (ii), the “Minimum Consideration”); and (b) the amount that such Holder would have received with respect to such share of Convertible Preferred Stock based on its Accrued Value if all shares of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w:t>
      </w:r>
    </w:p>
    <w:p>
      <w:pPr>
        <w:spacing w:after="0" w:line="1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18" w:lineRule="exact"/>
        <w:rPr>
          <w:sz w:val="20"/>
          <w:szCs w:val="20"/>
          <w:color w:val="auto"/>
        </w:rPr>
      </w:pPr>
    </w:p>
    <w:p>
      <w:pPr>
        <w:ind w:left="1400" w:right="1439" w:firstLine="271"/>
        <w:spacing w:after="0" w:line="245" w:lineRule="auto"/>
        <w:rPr>
          <w:sz w:val="20"/>
          <w:szCs w:val="20"/>
          <w:color w:val="auto"/>
        </w:rPr>
      </w:pPr>
      <w:r>
        <w:rPr>
          <w:rFonts w:ascii="Times New Roman" w:cs="Times New Roman" w:eastAsia="Times New Roman" w:hAnsi="Times New Roman"/>
          <w:sz w:val="14"/>
          <w:szCs w:val="14"/>
          <w:color w:val="auto"/>
        </w:rPr>
        <w:t>Each share of Convertible Preferred Stock is convertible, at the option of the respective Holder, from time to time after the initial issue date (the “Initial Issue Date”), and without the payment of additional consideration by the Holder, (a) at any time that the closing price per share of our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respective conversion price (as defined in the respective certificate of designations) in effect as of such conversion date.</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08" w:lineRule="exact"/>
        <w:rPr>
          <w:sz w:val="20"/>
          <w:szCs w:val="20"/>
          <w:color w:val="auto"/>
        </w:rPr>
      </w:pPr>
    </w:p>
    <w:p>
      <w:pPr>
        <w:ind w:left="1400" w:right="1419" w:firstLine="271"/>
        <w:spacing w:after="0" w:line="244" w:lineRule="auto"/>
        <w:rPr>
          <w:sz w:val="20"/>
          <w:szCs w:val="20"/>
          <w:color w:val="auto"/>
        </w:rPr>
      </w:pPr>
      <w:r>
        <w:rPr>
          <w:rFonts w:ascii="Times New Roman" w:cs="Times New Roman" w:eastAsia="Times New Roman" w:hAnsi="Times New Roman"/>
          <w:sz w:val="14"/>
          <w:szCs w:val="14"/>
          <w:color w:val="auto"/>
        </w:rPr>
        <w:t>Except as otherwise provided in the respective certificate of designations or by applicable law or the rules of any stock exchange on which the Company’s securities are listed, on any matter presented to the stockholders of the Company for their action or consideration at any meeting of stockholders and on which matter holders of our Common Stock shall be entitled to vote, each Holder is entitled to the number of votes equal to the number of whole shares of Common Stock into which the aggregate shares of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are entitled to notice of any meeting of stockholders and, except as otherwise provided in the respective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$2.77 for the Series A Convertible Preferred Stock and the quotient of the $10,000 Initial Value and $3.12 for the Series B Convertible Preferred Stock.</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5" w:name="page16"/>
    <w:bookmarkEnd w:id="15"/>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539" w:firstLine="271"/>
        <w:spacing w:after="0" w:line="237" w:lineRule="auto"/>
        <w:rPr>
          <w:sz w:val="20"/>
          <w:szCs w:val="20"/>
          <w:color w:val="auto"/>
        </w:rPr>
      </w:pPr>
      <w:r>
        <w:rPr>
          <w:rFonts w:ascii="Times New Roman" w:cs="Times New Roman" w:eastAsia="Times New Roman" w:hAnsi="Times New Roman"/>
          <w:sz w:val="14"/>
          <w:szCs w:val="14"/>
          <w:color w:val="auto"/>
        </w:rPr>
        <w:t>For each series of the Convertible Preferred Stock, as long as at least 10% of the aggregate number of shares of such series issued on the Initial Issue Date remain outstanding, and subject to certain other conditions, Holders of such series are entitled to a separate class vote with respect to, among other things, amendments to the Company’s organizational documents that have an adverse effect on such series, authorizations or issuances by the Company of capital stock of the Company that ranks senior or equal to such series with respect to dividends or distributions on liquidation or the terms of which provide for cash dividends (other than our Common Stock), winding-up and dissolution, and decreases in the number of authorized shares of such series.</w:t>
      </w:r>
    </w:p>
    <w:p>
      <w:pPr>
        <w:spacing w:after="0" w:line="93" w:lineRule="exact"/>
        <w:rPr>
          <w:sz w:val="20"/>
          <w:szCs w:val="20"/>
          <w:color w:val="auto"/>
        </w:rPr>
      </w:pPr>
    </w:p>
    <w:p>
      <w:pPr>
        <w:ind w:left="1400" w:right="1539" w:firstLine="271"/>
        <w:spacing w:after="0" w:line="235" w:lineRule="auto"/>
        <w:rPr>
          <w:sz w:val="20"/>
          <w:szCs w:val="20"/>
          <w:color w:val="auto"/>
        </w:rPr>
      </w:pPr>
      <w:r>
        <w:rPr>
          <w:rFonts w:ascii="Times New Roman" w:cs="Times New Roman" w:eastAsia="Times New Roman" w:hAnsi="Times New Roman"/>
          <w:sz w:val="14"/>
          <w:szCs w:val="14"/>
          <w:color w:val="auto"/>
        </w:rPr>
        <w:t>For each series of the Convertible Preferred Stock, as long as at least 10% of the aggregate number of shares of such series issued on the Initial Issue Date remain outstanding, and subject to certain other conditions, Holders of such series are entitled to a separate class vote with respect to, among other things, amendments to the Company’s organizational documents that have an adverse effect on such series, authorizations or issuances by the Company of capital stock of the Company that ranks senior or equal to such series with respect to dividends or distributions on liquidation or the terms of which provide for cash dividends (other than our Common Stock), winding-up and dissolution, and decreases in the number of authorized shares of such series.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Junior and Parity Securities</w:t>
      </w:r>
    </w:p>
    <w:p>
      <w:pPr>
        <w:spacing w:after="0" w:line="118" w:lineRule="exact"/>
        <w:rPr>
          <w:sz w:val="20"/>
          <w:szCs w:val="20"/>
          <w:color w:val="auto"/>
        </w:rPr>
      </w:pPr>
    </w:p>
    <w:p>
      <w:pPr>
        <w:ind w:left="1400" w:right="1419" w:firstLine="271"/>
        <w:spacing w:after="0" w:line="234" w:lineRule="auto"/>
        <w:rPr>
          <w:sz w:val="20"/>
          <w:szCs w:val="20"/>
          <w:color w:val="auto"/>
        </w:rPr>
      </w:pPr>
      <w:r>
        <w:rPr>
          <w:rFonts w:ascii="Times New Roman" w:cs="Times New Roman" w:eastAsia="Times New Roman" w:hAnsi="Times New Roman"/>
          <w:sz w:val="14"/>
          <w:szCs w:val="14"/>
          <w:color w:val="auto"/>
        </w:rPr>
        <w:t>Subject to certain exceptions, unless all accumulated and unpaid dividends on the Convertible Preferred Stock for all preceding quarterly dividend payment periods have been declared upon all outstanding shares of Convertible Preferred Stock through the most recently completed dividend period, the Company (1) may not repurchase, redeem or otherwise acquire shares of any parity stock or any junior stock (which includes our Common Stock), (2) may not declare or pay dividends on any junior stock (which includes our Common Stock) and (3) may not declare or pay dividends on any parity stock, unless the respective amounts of dividends declared on the Convertible Preferred Stock and each such other class or series of dividend parity stock bear the same ratio to each other as all accumulated and unpaid dividends per share of Convertible Preferred Stock and such class or series of parity stock (subject to their having been declared by the Board out of legally available funds) bear to each other, in proportion to their respective liquidation preferences at the time of declaration.</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Mandatory Conversion</w:t>
      </w:r>
    </w:p>
    <w:p>
      <w:pPr>
        <w:spacing w:after="0" w:line="118" w:lineRule="exact"/>
        <w:rPr>
          <w:sz w:val="20"/>
          <w:szCs w:val="20"/>
          <w:color w:val="auto"/>
        </w:rPr>
      </w:pPr>
    </w:p>
    <w:p>
      <w:pPr>
        <w:ind w:left="1400" w:right="1459" w:firstLine="271"/>
        <w:spacing w:after="0" w:line="244" w:lineRule="auto"/>
        <w:rPr>
          <w:sz w:val="20"/>
          <w:szCs w:val="20"/>
          <w:color w:val="auto"/>
        </w:rPr>
      </w:pPr>
      <w:r>
        <w:rPr>
          <w:rFonts w:ascii="Times New Roman" w:cs="Times New Roman" w:eastAsia="Times New Roman" w:hAnsi="Times New Roman"/>
          <w:sz w:val="14"/>
          <w:szCs w:val="14"/>
          <w:color w:val="auto"/>
        </w:rPr>
        <w:t>On or after the third anniversary of the respective Initial Issue Date, if at any time (i) the daily VWAP (as defined in the respective certificate of designations) of our Common Stock has been at least 200% of the respective conversion price (as defined in the respective certificate of designations) for at least twenty (20) trading days (whether or not consecutive) during any thirty (30) consecutive trading days (including the last day of such period) and (ii) certain Common Stock liquidity conditions (as defined in the respective certificate of designations) are satisfied, the Company has the right, exercisable at its election within fifteen (15) business days following completion of the applicable thirty (30) trading day period, to cause all or any portion of the Convertible Preferred Stock to convert into Common Stock. The Company is required to pay an additional amount per share of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w:t>
      </w:r>
    </w:p>
    <w:p>
      <w:pPr>
        <w:spacing w:after="0" w:line="15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Fundamental Change</w:t>
      </w:r>
    </w:p>
    <w:p>
      <w:pPr>
        <w:spacing w:after="0" w:line="118" w:lineRule="exact"/>
        <w:rPr>
          <w:sz w:val="20"/>
          <w:szCs w:val="20"/>
          <w:color w:val="auto"/>
        </w:rPr>
      </w:pPr>
    </w:p>
    <w:p>
      <w:pPr>
        <w:ind w:left="1400" w:right="1459" w:firstLine="271"/>
        <w:spacing w:after="0" w:line="246" w:lineRule="auto"/>
        <w:rPr>
          <w:sz w:val="20"/>
          <w:szCs w:val="20"/>
          <w:color w:val="auto"/>
        </w:rPr>
      </w:pPr>
      <w:r>
        <w:rPr>
          <w:rFonts w:ascii="Times New Roman" w:cs="Times New Roman" w:eastAsia="Times New Roman" w:hAnsi="Times New Roman"/>
          <w:sz w:val="14"/>
          <w:szCs w:val="14"/>
          <w:color w:val="auto"/>
        </w:rPr>
        <w:t>Upon a “fundamental change” (as​ defined in the respective certificate of designations), the Holders are entitled, on the fundamental change repurchase date specified by the Company, to receive an amount equal to the greater of (a) the Minimum Consideration and (b) an amount equal to the value that such Holder would have received if it had converted its shares of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6" w:name="page17"/>
    <w:bookmarkEnd w:id="16"/>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79"/>
        <w:spacing w:after="0" w:line="248" w:lineRule="auto"/>
        <w:rPr>
          <w:sz w:val="20"/>
          <w:szCs w:val="20"/>
          <w:color w:val="auto"/>
        </w:rPr>
      </w:pPr>
      <w:r>
        <w:rPr>
          <w:rFonts w:ascii="Times New Roman" w:cs="Times New Roman" w:eastAsia="Times New Roman" w:hAnsi="Times New Roman"/>
          <w:sz w:val="14"/>
          <w:szCs w:val="14"/>
          <w:color w:val="auto"/>
        </w:rPr>
        <w:t>(with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respective certificate of designations) are not satisfied.</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118" w:lineRule="exact"/>
        <w:rPr>
          <w:sz w:val="20"/>
          <w:szCs w:val="20"/>
          <w:color w:val="auto"/>
        </w:rPr>
      </w:pPr>
    </w:p>
    <w:p>
      <w:pPr>
        <w:ind w:left="1400" w:right="1419" w:firstLine="271"/>
        <w:spacing w:after="0" w:line="245" w:lineRule="auto"/>
        <w:rPr>
          <w:sz w:val="20"/>
          <w:szCs w:val="20"/>
          <w:color w:val="auto"/>
        </w:rPr>
      </w:pPr>
      <w:r>
        <w:rPr>
          <w:rFonts w:ascii="Times New Roman" w:cs="Times New Roman" w:eastAsia="Times New Roman" w:hAnsi="Times New Roman"/>
          <w:sz w:val="14"/>
          <w:szCs w:val="14"/>
          <w:color w:val="auto"/>
        </w:rPr>
        <w:t>On or after the fifth anniversary of the respective Initial Issue Date, the Company may redeem all or any portion of the respective series of the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respective certificate of designations) are not satisfied.</w:t>
      </w:r>
    </w:p>
    <w:p>
      <w:pPr>
        <w:spacing w:after="0" w:line="1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Nasdaq Rules</w:t>
      </w:r>
    </w:p>
    <w:p>
      <w:pPr>
        <w:spacing w:after="0" w:line="118" w:lineRule="exact"/>
        <w:rPr>
          <w:sz w:val="20"/>
          <w:szCs w:val="20"/>
          <w:color w:val="auto"/>
        </w:rPr>
      </w:pPr>
    </w:p>
    <w:p>
      <w:pPr>
        <w:ind w:left="1400" w:right="1479" w:firstLine="271"/>
        <w:spacing w:after="0" w:line="245" w:lineRule="auto"/>
        <w:rPr>
          <w:sz w:val="20"/>
          <w:szCs w:val="20"/>
          <w:color w:val="auto"/>
        </w:rPr>
      </w:pPr>
      <w:r>
        <w:rPr>
          <w:rFonts w:ascii="Times New Roman" w:cs="Times New Roman" w:eastAsia="Times New Roman" w:hAnsi="Times New Roman"/>
          <w:sz w:val="14"/>
          <w:szCs w:val="14"/>
          <w:color w:val="auto"/>
        </w:rPr>
        <w:t>The number of shares of Common Stock deliverable upon conversion, redemption or repurchase of the Convertible Preferred Stock is limited as required by applicable Nasdaq listing rules, unless the Company shall have obtained any required stockholder approval. Lucid and Ayar have agreed to cooperate reasonably to obtain, and Ayar has agreed to consent in respect of such stockholder approval no later than 18 months following the respective closing of the private placement of each series of the Convertible Preferred Stock. The Series A Convertible Preferred Stock is initially convertible into approximately 278.15 million shares of Common Stock and the Series B Convertible Preferred Stock is initially convertible into approximately 171.24 million shares of Common Stock.</w:t>
      </w:r>
    </w:p>
    <w:p>
      <w:pPr>
        <w:spacing w:after="0" w:line="1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Remedies for Nonpayment</w:t>
      </w:r>
    </w:p>
    <w:p>
      <w:pPr>
        <w:spacing w:after="0" w:line="108" w:lineRule="exact"/>
        <w:rPr>
          <w:sz w:val="20"/>
          <w:szCs w:val="20"/>
          <w:color w:val="auto"/>
        </w:rPr>
      </w:pPr>
    </w:p>
    <w:p>
      <w:pPr>
        <w:ind w:left="1400" w:right="1799" w:firstLine="271"/>
        <w:spacing w:after="0" w:line="253" w:lineRule="auto"/>
        <w:rPr>
          <w:sz w:val="20"/>
          <w:szCs w:val="20"/>
          <w:color w:val="auto"/>
        </w:rPr>
      </w:pPr>
      <w:r>
        <w:rPr>
          <w:rFonts w:ascii="Times New Roman" w:cs="Times New Roman" w:eastAsia="Times New Roman" w:hAnsi="Times New Roman"/>
          <w:sz w:val="14"/>
          <w:szCs w:val="14"/>
          <w:color w:val="auto"/>
        </w:rPr>
        <w:t>The dividend rate described above will be increased to a rate not exceeding 15% per annum upon certain events of noncompliance relating to a failure by the Company to deliver consideration due in connection with a fundamental change or optional redemption.</w:t>
      </w:r>
    </w:p>
    <w:p>
      <w:pPr>
        <w:spacing w:after="0" w:line="92" w:lineRule="exact"/>
        <w:rPr>
          <w:sz w:val="20"/>
          <w:szCs w:val="20"/>
          <w:color w:val="auto"/>
        </w:rPr>
      </w:pPr>
    </w:p>
    <w:p>
      <w:pPr>
        <w:ind w:left="1400" w:right="1419" w:firstLine="271"/>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foregoing description of the Certificate of Designations of the Company’s Series A Convertible Preferred Stock and Series B Convertible Preferred Stock does not purport to be complete and is qualified in its entirety by reference to the Certificate of Designations of the Company’s Series A Convertible Preferred Stock, which is filed as Exhibit 3.1 to the Current Report on Form 8-K dated March 29, 2024, and incorporated herein by reference, and the Certificate of Designations of the Company’s Series B Convertible Preferred Stock, which is filed as </w:t>
      </w:r>
      <w:hyperlink r:id="rId42">
        <w:r>
          <w:rPr>
            <w:rFonts w:ascii="Times New Roman" w:cs="Times New Roman" w:eastAsia="Times New Roman" w:hAnsi="Times New Roman"/>
            <w:sz w:val="14"/>
            <w:szCs w:val="14"/>
            <w:u w:val="single" w:color="auto"/>
            <w:color w:val="0000EE"/>
          </w:rPr>
          <w:t>Exhibit 3.1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Current Report on Form 8-K dated August 19, 2024, and incorporated herein by reference.</w:t>
      </w:r>
    </w:p>
    <w:p>
      <w:pPr>
        <w:spacing w:after="0" w:line="145" w:lineRule="exact"/>
        <w:rPr>
          <w:sz w:val="20"/>
          <w:szCs w:val="20"/>
          <w:color w:val="auto"/>
        </w:rPr>
      </w:pPr>
    </w:p>
    <w:p>
      <w:pPr>
        <w:ind w:left="1400" w:right="1559"/>
        <w:spacing w:after="0" w:line="269" w:lineRule="auto"/>
        <w:rPr>
          <w:sz w:val="20"/>
          <w:szCs w:val="20"/>
          <w:color w:val="auto"/>
        </w:rPr>
      </w:pPr>
      <w:r>
        <w:rPr>
          <w:rFonts w:ascii="Times New Roman" w:cs="Times New Roman" w:eastAsia="Times New Roman" w:hAnsi="Times New Roman"/>
          <w:sz w:val="14"/>
          <w:szCs w:val="14"/>
          <w:b w:val="1"/>
          <w:bCs w:val="1"/>
          <w:color w:val="auto"/>
        </w:rPr>
        <w:t>Effects of Our Current Certificate of Incorporation, Our Current Bylaws and Certain Provisions of Delaware Law</w:t>
      </w:r>
    </w:p>
    <w:p>
      <w:pPr>
        <w:spacing w:after="0" w:line="81" w:lineRule="exact"/>
        <w:rPr>
          <w:sz w:val="20"/>
          <w:szCs w:val="20"/>
          <w:color w:val="auto"/>
        </w:rPr>
      </w:pPr>
    </w:p>
    <w:p>
      <w:pPr>
        <w:ind w:left="1400" w:right="1519" w:firstLine="271"/>
        <w:spacing w:after="0" w:line="245" w:lineRule="auto"/>
        <w:rPr>
          <w:sz w:val="20"/>
          <w:szCs w:val="20"/>
          <w:color w:val="auto"/>
        </w:rPr>
      </w:pPr>
      <w:r>
        <w:rPr>
          <w:rFonts w:ascii="Times New Roman" w:cs="Times New Roman" w:eastAsia="Times New Roman" w:hAnsi="Times New Roman"/>
          <w:sz w:val="14"/>
          <w:szCs w:val="14"/>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7" w:name="page18"/>
    <w:bookmarkEnd w:id="17"/>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18" w:lineRule="exact"/>
        <w:rPr>
          <w:sz w:val="20"/>
          <w:szCs w:val="20"/>
          <w:color w:val="auto"/>
        </w:rPr>
      </w:pPr>
    </w:p>
    <w:p>
      <w:pPr>
        <w:ind w:left="1400" w:right="1539" w:firstLine="271"/>
        <w:spacing w:after="0" w:line="238"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91" w:lineRule="exact"/>
        <w:rPr>
          <w:sz w:val="20"/>
          <w:szCs w:val="20"/>
          <w:color w:val="auto"/>
        </w:rPr>
      </w:pPr>
    </w:p>
    <w:p>
      <w:pPr>
        <w:ind w:left="1400" w:right="1439" w:firstLine="271"/>
        <w:spacing w:after="0" w:line="237" w:lineRule="auto"/>
        <w:rPr>
          <w:sz w:val="20"/>
          <w:szCs w:val="20"/>
          <w:color w:val="auto"/>
        </w:rPr>
      </w:pPr>
      <w:r>
        <w:rPr>
          <w:rFonts w:ascii="Times New Roman" w:cs="Times New Roman" w:eastAsia="Times New Roman" w:hAnsi="Times New Roman"/>
          <w:sz w:val="14"/>
          <w:szCs w:val="14"/>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91" w:lineRule="exact"/>
        <w:rPr>
          <w:sz w:val="20"/>
          <w:szCs w:val="20"/>
          <w:color w:val="auto"/>
        </w:rPr>
      </w:pPr>
    </w:p>
    <w:p>
      <w:pPr>
        <w:ind w:left="1400" w:right="1419" w:firstLine="271"/>
        <w:spacing w:after="0" w:line="238" w:lineRule="auto"/>
        <w:rPr>
          <w:sz w:val="20"/>
          <w:szCs w:val="20"/>
          <w:color w:val="auto"/>
        </w:rPr>
      </w:pPr>
      <w:r>
        <w:rPr>
          <w:rFonts w:ascii="Times New Roman" w:cs="Times New Roman" w:eastAsia="Times New Roman" w:hAnsi="Times New Roman"/>
          <w:sz w:val="14"/>
          <w:szCs w:val="14"/>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18" w:lineRule="exact"/>
        <w:rPr>
          <w:sz w:val="20"/>
          <w:szCs w:val="20"/>
          <w:color w:val="auto"/>
        </w:rPr>
      </w:pPr>
    </w:p>
    <w:p>
      <w:pPr>
        <w:ind w:left="1400" w:right="1599" w:firstLine="271"/>
        <w:spacing w:after="0" w:line="239" w:lineRule="auto"/>
        <w:rPr>
          <w:sz w:val="20"/>
          <w:szCs w:val="20"/>
          <w:color w:val="auto"/>
        </w:rPr>
      </w:pPr>
      <w:r>
        <w:rPr>
          <w:rFonts w:ascii="Times New Roman" w:cs="Times New Roman" w:eastAsia="Times New Roman" w:hAnsi="Times New Roman"/>
          <w:sz w:val="14"/>
          <w:szCs w:val="14"/>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2" w:lineRule="exact"/>
        <w:rPr>
          <w:sz w:val="20"/>
          <w:szCs w:val="20"/>
          <w:color w:val="auto"/>
        </w:rPr>
      </w:pPr>
    </w:p>
    <w:p>
      <w:pPr>
        <w:ind w:left="1820" w:right="1879" w:hanging="141"/>
        <w:spacing w:after="0" w:line="263" w:lineRule="auto"/>
        <w:tabs>
          <w:tab w:leader="none" w:pos="18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approved either the business combination or the transaction that resulted in the stockholder becoming an interested stockholder;</w:t>
      </w:r>
    </w:p>
    <w:p>
      <w:pPr>
        <w:spacing w:after="0" w:line="44" w:lineRule="exact"/>
        <w:rPr>
          <w:rFonts w:ascii="Times New Roman" w:cs="Times New Roman" w:eastAsia="Times New Roman" w:hAnsi="Times New Roman"/>
          <w:sz w:val="14"/>
          <w:szCs w:val="14"/>
          <w:color w:val="auto"/>
        </w:rPr>
      </w:pPr>
    </w:p>
    <w:p>
      <w:pPr>
        <w:ind w:left="1820" w:right="1419" w:hanging="141"/>
        <w:spacing w:after="0" w:line="253" w:lineRule="auto"/>
        <w:tabs>
          <w:tab w:leader="none" w:pos="18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61" w:lineRule="exact"/>
        <w:rPr>
          <w:rFonts w:ascii="Times New Roman" w:cs="Times New Roman" w:eastAsia="Times New Roman" w:hAnsi="Times New Roman"/>
          <w:sz w:val="14"/>
          <w:szCs w:val="14"/>
          <w:color w:val="auto"/>
        </w:rPr>
      </w:pPr>
    </w:p>
    <w:p>
      <w:pPr>
        <w:ind w:left="1820" w:right="1559" w:hanging="141"/>
        <w:spacing w:after="0" w:line="253" w:lineRule="auto"/>
        <w:tabs>
          <w:tab w:leader="none" w:pos="18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92" w:lineRule="exact"/>
        <w:rPr>
          <w:sz w:val="20"/>
          <w:szCs w:val="20"/>
          <w:color w:val="auto"/>
        </w:rPr>
      </w:pPr>
    </w:p>
    <w:p>
      <w:pPr>
        <w:jc w:val="both"/>
        <w:ind w:left="1400" w:right="1439" w:firstLine="271"/>
        <w:spacing w:after="0" w:line="238"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spacing w:after="0" w:line="2" w:lineRule="exact"/>
        <w:rPr>
          <w:sz w:val="20"/>
          <w:szCs w:val="20"/>
          <w:color w:val="auto"/>
        </w:rPr>
      </w:pPr>
    </w:p>
    <w:p>
      <w:pPr>
        <w:jc w:val="both"/>
        <w:ind w:left="1400" w:right="1419"/>
        <w:spacing w:after="0" w:line="235" w:lineRule="auto"/>
        <w:rPr>
          <w:sz w:val="20"/>
          <w:szCs w:val="20"/>
          <w:color w:val="auto"/>
        </w:rPr>
      </w:pPr>
      <w:r>
        <w:rPr>
          <w:rFonts w:ascii="Times New Roman" w:cs="Times New Roman" w:eastAsia="Times New Roman" w:hAnsi="Times New Roman"/>
          <w:sz w:val="14"/>
          <w:szCs w:val="14"/>
          <w:color w:val="auto"/>
        </w:rPr>
        <w:t>three years owned, 15% or more of the votes of our outstanding voting stock. For purposes of this provision, “voting stock” means any class or series of stock entitled to vote generally in the election of directors.</w:t>
      </w:r>
    </w:p>
    <w:p>
      <w:pPr>
        <w:spacing w:after="0" w:line="90" w:lineRule="exact"/>
        <w:rPr>
          <w:sz w:val="20"/>
          <w:szCs w:val="20"/>
          <w:color w:val="auto"/>
        </w:rPr>
      </w:pPr>
    </w:p>
    <w:p>
      <w:pPr>
        <w:ind w:left="1400" w:right="1579" w:firstLine="271"/>
        <w:spacing w:after="0" w:line="236" w:lineRule="auto"/>
        <w:rPr>
          <w:sz w:val="20"/>
          <w:szCs w:val="20"/>
          <w:color w:val="auto"/>
        </w:rPr>
      </w:pPr>
      <w:r>
        <w:rPr>
          <w:rFonts w:ascii="Times New Roman" w:cs="Times New Roman" w:eastAsia="Times New Roman" w:hAnsi="Times New Roman"/>
          <w:sz w:val="14"/>
          <w:szCs w:val="14"/>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118" w:lineRule="exact"/>
        <w:rPr>
          <w:sz w:val="20"/>
          <w:szCs w:val="20"/>
          <w:color w:val="auto"/>
        </w:rPr>
      </w:pPr>
    </w:p>
    <w:p>
      <w:pPr>
        <w:ind w:left="1400" w:right="1599" w:firstLine="271"/>
        <w:spacing w:after="0" w:line="239" w:lineRule="auto"/>
        <w:rPr>
          <w:sz w:val="20"/>
          <w:szCs w:val="20"/>
          <w:color w:val="auto"/>
        </w:rPr>
      </w:pPr>
      <w:r>
        <w:rPr>
          <w:rFonts w:ascii="Times New Roman" w:cs="Times New Roman" w:eastAsia="Times New Roman" w:hAnsi="Times New Roman"/>
          <w:sz w:val="14"/>
          <w:szCs w:val="14"/>
          <w:color w:val="auto"/>
        </w:rPr>
        <w:t>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8" w:name="page19"/>
    <w:bookmarkEnd w:id="18"/>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59"/>
        <w:spacing w:after="0"/>
        <w:rPr>
          <w:sz w:val="20"/>
          <w:szCs w:val="20"/>
          <w:color w:val="auto"/>
        </w:rPr>
      </w:pPr>
      <w:r>
        <w:rPr>
          <w:rFonts w:ascii="Times New Roman" w:cs="Times New Roman" w:eastAsia="Times New Roman" w:hAnsi="Times New Roman"/>
          <w:sz w:val="14"/>
          <w:szCs w:val="14"/>
          <w:color w:val="auto"/>
        </w:rPr>
        <w:t>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2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18" w:lineRule="exact"/>
        <w:rPr>
          <w:sz w:val="20"/>
          <w:szCs w:val="20"/>
          <w:color w:val="auto"/>
        </w:rPr>
      </w:pPr>
    </w:p>
    <w:p>
      <w:pPr>
        <w:ind w:left="1400" w:right="1419" w:firstLine="271"/>
        <w:spacing w:after="0" w:line="239"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18" w:lineRule="exact"/>
        <w:rPr>
          <w:sz w:val="20"/>
          <w:szCs w:val="20"/>
          <w:color w:val="auto"/>
        </w:rPr>
      </w:pPr>
    </w:p>
    <w:p>
      <w:pPr>
        <w:ind w:left="1400" w:right="1439" w:firstLine="271"/>
        <w:spacing w:after="0" w:line="237" w:lineRule="auto"/>
        <w:rPr>
          <w:sz w:val="20"/>
          <w:szCs w:val="20"/>
          <w:color w:val="auto"/>
        </w:rPr>
      </w:pPr>
      <w:r>
        <w:rPr>
          <w:rFonts w:ascii="Times New Roman" w:cs="Times New Roman" w:eastAsia="Times New Roman" w:hAnsi="Times New Roman"/>
          <w:sz w:val="14"/>
          <w:szCs w:val="14"/>
          <w:color w:val="auto"/>
        </w:rPr>
        <w:t>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Director Nominations and Stockholder Proposals</w:t>
      </w:r>
    </w:p>
    <w:p>
      <w:pPr>
        <w:spacing w:after="0" w:line="118" w:lineRule="exact"/>
        <w:rPr>
          <w:sz w:val="20"/>
          <w:szCs w:val="20"/>
          <w:color w:val="auto"/>
        </w:rPr>
      </w:pPr>
    </w:p>
    <w:p>
      <w:pPr>
        <w:ind w:left="1400" w:right="1459" w:firstLine="271"/>
        <w:spacing w:after="0" w:line="244" w:lineRule="auto"/>
        <w:rPr>
          <w:sz w:val="20"/>
          <w:szCs w:val="20"/>
          <w:color w:val="auto"/>
        </w:rPr>
      </w:pPr>
      <w:r>
        <w:rPr>
          <w:rFonts w:ascii="Times New Roman" w:cs="Times New Roman" w:eastAsia="Times New Roman" w:hAnsi="Times New Roman"/>
          <w:sz w:val="14"/>
          <w:szCs w:val="14"/>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5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18" w:lineRule="exact"/>
        <w:rPr>
          <w:sz w:val="20"/>
          <w:szCs w:val="20"/>
          <w:color w:val="auto"/>
        </w:rPr>
      </w:pPr>
    </w:p>
    <w:p>
      <w:pPr>
        <w:ind w:left="1400" w:right="1499" w:firstLine="271"/>
        <w:spacing w:after="0" w:line="247" w:lineRule="auto"/>
        <w:rPr>
          <w:sz w:val="20"/>
          <w:szCs w:val="20"/>
          <w:color w:val="auto"/>
        </w:rPr>
      </w:pPr>
      <w:r>
        <w:rPr>
          <w:rFonts w:ascii="Times New Roman" w:cs="Times New Roman" w:eastAsia="Times New Roman" w:hAnsi="Times New Roman"/>
          <w:sz w:val="14"/>
          <w:szCs w:val="14"/>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9" w:name="page20"/>
    <w:bookmarkEnd w:id="19"/>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400" w:right="1439"/>
        <w:spacing w:after="0" w:line="239" w:lineRule="auto"/>
        <w:rPr>
          <w:sz w:val="20"/>
          <w:szCs w:val="20"/>
          <w:color w:val="auto"/>
        </w:rPr>
      </w:pPr>
      <w:r>
        <w:rPr>
          <w:rFonts w:ascii="Times New Roman" w:cs="Times New Roman" w:eastAsia="Times New Roman" w:hAnsi="Times New Roman"/>
          <w:sz w:val="14"/>
          <w:szCs w:val="14"/>
          <w:color w:val="auto"/>
        </w:rPr>
        <w:t>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Dissenters’ Rights of Appraisal and Payment</w:t>
      </w:r>
    </w:p>
    <w:p>
      <w:pPr>
        <w:spacing w:after="0" w:line="108" w:lineRule="exact"/>
        <w:rPr>
          <w:sz w:val="20"/>
          <w:szCs w:val="20"/>
          <w:color w:val="auto"/>
        </w:rPr>
      </w:pPr>
    </w:p>
    <w:p>
      <w:pPr>
        <w:ind w:left="1400" w:right="1599" w:firstLine="271"/>
        <w:spacing w:after="0" w:line="239"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Stockholders’ Derivative Actions</w:t>
      </w:r>
    </w:p>
    <w:p>
      <w:pPr>
        <w:spacing w:after="0" w:line="108" w:lineRule="exact"/>
        <w:rPr>
          <w:sz w:val="20"/>
          <w:szCs w:val="20"/>
          <w:color w:val="auto"/>
        </w:rPr>
      </w:pPr>
    </w:p>
    <w:p>
      <w:pPr>
        <w:ind w:left="1400" w:right="1479" w:firstLine="271"/>
        <w:spacing w:after="0" w:line="239"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108" w:lineRule="exact"/>
        <w:rPr>
          <w:sz w:val="20"/>
          <w:szCs w:val="20"/>
          <w:color w:val="auto"/>
        </w:rPr>
      </w:pPr>
    </w:p>
    <w:p>
      <w:pPr>
        <w:ind w:left="1400" w:right="1439" w:firstLine="271"/>
        <w:spacing w:after="0" w:line="234" w:lineRule="auto"/>
        <w:rPr>
          <w:sz w:val="20"/>
          <w:szCs w:val="20"/>
          <w:color w:val="auto"/>
        </w:rPr>
      </w:pPr>
      <w:r>
        <w:rPr>
          <w:rFonts w:ascii="Times New Roman" w:cs="Times New Roman" w:eastAsia="Times New Roman" w:hAnsi="Times New Roman"/>
          <w:sz w:val="14"/>
          <w:szCs w:val="14"/>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Liability and Indemnification of Directors and Officers</w:t>
      </w:r>
    </w:p>
    <w:p>
      <w:pPr>
        <w:spacing w:after="0" w:line="118" w:lineRule="exact"/>
        <w:rPr>
          <w:sz w:val="20"/>
          <w:szCs w:val="20"/>
          <w:color w:val="auto"/>
        </w:rPr>
      </w:pPr>
    </w:p>
    <w:p>
      <w:pPr>
        <w:ind w:left="1400" w:right="1439" w:firstLine="271"/>
        <w:spacing w:after="0" w:line="236" w:lineRule="auto"/>
        <w:rPr>
          <w:sz w:val="20"/>
          <w:szCs w:val="20"/>
          <w:color w:val="auto"/>
        </w:rPr>
      </w:pPr>
      <w:r>
        <w:rPr>
          <w:rFonts w:ascii="Times New Roman" w:cs="Times New Roman" w:eastAsia="Times New Roman" w:hAnsi="Times New Roman"/>
          <w:sz w:val="14"/>
          <w:szCs w:val="14"/>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94" w:lineRule="exact"/>
        <w:rPr>
          <w:sz w:val="20"/>
          <w:szCs w:val="20"/>
          <w:color w:val="auto"/>
        </w:rPr>
      </w:pPr>
    </w:p>
    <w:p>
      <w:pPr>
        <w:ind w:left="1400" w:right="1499" w:firstLine="271"/>
        <w:spacing w:after="0" w:line="236" w:lineRule="auto"/>
        <w:rPr>
          <w:sz w:val="20"/>
          <w:szCs w:val="20"/>
          <w:color w:val="auto"/>
        </w:rPr>
      </w:pPr>
      <w:r>
        <w:rPr>
          <w:rFonts w:ascii="Times New Roman" w:cs="Times New Roman" w:eastAsia="Times New Roman" w:hAnsi="Times New Roman"/>
          <w:sz w:val="14"/>
          <w:szCs w:val="14"/>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0" w:name="page21"/>
    <w:bookmarkEnd w:id="20"/>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79"/>
        <w:spacing w:after="0" w:line="244" w:lineRule="auto"/>
        <w:rPr>
          <w:sz w:val="20"/>
          <w:szCs w:val="20"/>
          <w:color w:val="auto"/>
        </w:rPr>
      </w:pPr>
      <w:r>
        <w:rPr>
          <w:rFonts w:ascii="Times New Roman" w:cs="Times New Roman" w:eastAsia="Times New Roman" w:hAnsi="Times New Roman"/>
          <w:sz w:val="14"/>
          <w:szCs w:val="14"/>
          <w:color w:val="auto"/>
        </w:rPr>
        <w:t>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266" w:lineRule="exact"/>
        <w:rPr>
          <w:sz w:val="20"/>
          <w:szCs w:val="20"/>
          <w:color w:val="auto"/>
        </w:rPr>
      </w:pPr>
    </w:p>
    <w:p>
      <w:pPr>
        <w:ind w:left="1400" w:right="1619" w:firstLine="271"/>
        <w:spacing w:after="0" w:line="247" w:lineRule="auto"/>
        <w:rPr>
          <w:sz w:val="20"/>
          <w:szCs w:val="20"/>
          <w:color w:val="auto"/>
        </w:rPr>
      </w:pPr>
      <w:r>
        <w:rPr>
          <w:rFonts w:ascii="Times New Roman" w:cs="Times New Roman" w:eastAsia="Times New Roman" w:hAnsi="Times New Roman"/>
          <w:sz w:val="14"/>
          <w:szCs w:val="14"/>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96" w:lineRule="exact"/>
        <w:rPr>
          <w:sz w:val="20"/>
          <w:szCs w:val="20"/>
          <w:color w:val="auto"/>
        </w:rPr>
      </w:pPr>
    </w:p>
    <w:p>
      <w:pPr>
        <w:ind w:left="1400" w:right="1779" w:firstLine="271"/>
        <w:spacing w:after="0" w:line="263" w:lineRule="auto"/>
        <w:rPr>
          <w:sz w:val="20"/>
          <w:szCs w:val="20"/>
          <w:color w:val="auto"/>
        </w:rPr>
      </w:pPr>
      <w:r>
        <w:rPr>
          <w:rFonts w:ascii="Times New Roman" w:cs="Times New Roman" w:eastAsia="Times New Roman" w:hAnsi="Times New Roman"/>
          <w:sz w:val="14"/>
          <w:szCs w:val="14"/>
          <w:color w:val="auto"/>
        </w:rPr>
        <w:t>The Company’s current certificate of incorporation provides that we must indemnify and advance expenses to our directors and officers to the full extent authorized by the DGCL.</w:t>
      </w:r>
    </w:p>
    <w:p>
      <w:pPr>
        <w:spacing w:after="0" w:line="75" w:lineRule="exact"/>
        <w:rPr>
          <w:sz w:val="20"/>
          <w:szCs w:val="20"/>
          <w:color w:val="auto"/>
        </w:rPr>
      </w:pPr>
    </w:p>
    <w:p>
      <w:pPr>
        <w:ind w:left="1400" w:right="1459" w:firstLine="271"/>
        <w:spacing w:after="0" w:line="247"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96" w:lineRule="exact"/>
        <w:rPr>
          <w:sz w:val="20"/>
          <w:szCs w:val="20"/>
          <w:color w:val="auto"/>
        </w:rPr>
      </w:pPr>
    </w:p>
    <w:p>
      <w:pPr>
        <w:ind w:left="1400" w:right="1439" w:firstLine="271"/>
        <w:spacing w:after="0" w:line="246" w:lineRule="auto"/>
        <w:rPr>
          <w:sz w:val="20"/>
          <w:szCs w:val="20"/>
          <w:color w:val="auto"/>
        </w:rPr>
      </w:pPr>
      <w:r>
        <w:rPr>
          <w:rFonts w:ascii="Times New Roman" w:cs="Times New Roman" w:eastAsia="Times New Roman" w:hAnsi="Times New Roman"/>
          <w:sz w:val="14"/>
          <w:szCs w:val="14"/>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98" w:lineRule="exact"/>
        <w:rPr>
          <w:sz w:val="20"/>
          <w:szCs w:val="20"/>
          <w:color w:val="auto"/>
        </w:rPr>
      </w:pPr>
    </w:p>
    <w:p>
      <w:pPr>
        <w:ind w:left="1400" w:right="1439" w:firstLine="271"/>
        <w:spacing w:after="0" w:line="247" w:lineRule="auto"/>
        <w:rPr>
          <w:sz w:val="20"/>
          <w:szCs w:val="20"/>
          <w:color w:val="auto"/>
        </w:rPr>
      </w:pPr>
      <w:r>
        <w:rPr>
          <w:rFonts w:ascii="Times New Roman" w:cs="Times New Roman" w:eastAsia="Times New Roman" w:hAnsi="Times New Roman"/>
          <w:sz w:val="14"/>
          <w:szCs w:val="14"/>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Company maintains and expect to maintain standard policies of insurance that provide coverage</w:t>
      </w:r>
    </w:p>
    <w:p>
      <w:pPr>
        <w:spacing w:after="0" w:line="14" w:lineRule="exact"/>
        <w:rPr>
          <w:sz w:val="20"/>
          <w:szCs w:val="20"/>
          <w:color w:val="auto"/>
        </w:rPr>
      </w:pPr>
    </w:p>
    <w:p>
      <w:pPr>
        <w:ind w:left="1400" w:right="1439" w:firstLine="8"/>
        <w:spacing w:after="0" w:line="244" w:lineRule="auto"/>
        <w:tabs>
          <w:tab w:leader="none" w:pos="16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98" w:lineRule="exact"/>
        <w:rPr>
          <w:sz w:val="20"/>
          <w:szCs w:val="20"/>
          <w:color w:val="auto"/>
        </w:rPr>
      </w:pPr>
    </w:p>
    <w:p>
      <w:pPr>
        <w:ind w:left="1400" w:right="1459" w:firstLine="271"/>
        <w:spacing w:after="0" w:line="247"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1" w:name="page22"/>
    <w:bookmarkEnd w:id="21"/>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59" w:firstLine="271"/>
        <w:spacing w:after="0" w:line="263" w:lineRule="auto"/>
        <w:rPr>
          <w:sz w:val="20"/>
          <w:szCs w:val="20"/>
          <w:color w:val="auto"/>
        </w:rPr>
      </w:pPr>
      <w:r>
        <w:rPr>
          <w:rFonts w:ascii="Times New Roman" w:cs="Times New Roman" w:eastAsia="Times New Roman" w:hAnsi="Times New Roman"/>
          <w:sz w:val="14"/>
          <w:szCs w:val="14"/>
          <w:color w:val="auto"/>
        </w:rPr>
        <w:t>The Company believes that these provisions, the insurance and the indemnity agreements are necessary to attract and retain talented and experienced officers and directors.</w:t>
      </w:r>
    </w:p>
    <w:p>
      <w:pPr>
        <w:spacing w:after="0" w:line="1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Our Common Stock is listed on The Nasdaq Stock Market LLC under the symbol “LCID.”</w:t>
      </w:r>
    </w:p>
    <w:p>
      <w:pPr>
        <w:spacing w:after="0" w:line="16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w:t>
      </w:r>
    </w:p>
    <w:p>
      <w:pPr>
        <w:spacing w:after="0" w:line="104" w:lineRule="exact"/>
        <w:rPr>
          <w:sz w:val="20"/>
          <w:szCs w:val="20"/>
          <w:color w:val="auto"/>
        </w:rPr>
      </w:pPr>
    </w:p>
    <w:p>
      <w:pPr>
        <w:ind w:left="1400" w:right="1519" w:firstLine="271"/>
        <w:spacing w:after="0" w:line="248" w:lineRule="auto"/>
        <w:rPr>
          <w:sz w:val="20"/>
          <w:szCs w:val="20"/>
          <w:color w:val="auto"/>
        </w:rPr>
      </w:pPr>
      <w:r>
        <w:rPr>
          <w:rFonts w:ascii="Times New Roman" w:cs="Times New Roman" w:eastAsia="Times New Roman" w:hAnsi="Times New Roman"/>
          <w:sz w:val="14"/>
          <w:szCs w:val="14"/>
          <w:color w:val="auto"/>
        </w:rPr>
        <w:t>We have agreed to indemnify Equiniti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2" w:name="page23"/>
    <w:bookmarkEnd w:id="22"/>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118" w:lineRule="exact"/>
        <w:rPr>
          <w:sz w:val="20"/>
          <w:szCs w:val="20"/>
          <w:color w:val="auto"/>
        </w:rPr>
      </w:pPr>
    </w:p>
    <w:p>
      <w:pPr>
        <w:ind w:left="1400" w:right="1419" w:firstLine="271"/>
        <w:spacing w:after="0" w:line="245" w:lineRule="auto"/>
        <w:rPr>
          <w:sz w:val="20"/>
          <w:szCs w:val="20"/>
          <w:color w:val="auto"/>
        </w:rPr>
      </w:pPr>
      <w:r>
        <w:rPr>
          <w:rFonts w:ascii="Times New Roman" w:cs="Times New Roman" w:eastAsia="Times New Roman" w:hAnsi="Times New Roman"/>
          <w:sz w:val="14"/>
          <w:szCs w:val="14"/>
          <w:color w:val="auto"/>
        </w:rPr>
        <w:t>This prospectus supplement relates to the possible offer and resale, from time to time, by the Selling Stockholder of up to (i) 100,000 shares of our Series A Convertible Preferred Stock, (ii) 297,567,387 shares of our Common Stock, which may be issued upon conversion of the Series A Convertible Preferred Stock as of December 31, 2024, (iii) 75,000 shares of our Series B Convertible Preferred Stock, (iv) 177,103,144 shares of our Common Stock, which may be issued upon conversion of the Series B Convertible Preferred Stock as of December 31, 2024, and (v) 396,188,386 shares of our Common Stock. We sold the Securities to the Selling Stockholder in a series of private placements. See “Summary — Private Placements.” We will not receive any of the proceeds from the sale of the Securities by the Selling Stockholder.</w:t>
      </w:r>
    </w:p>
    <w:p>
      <w:pPr>
        <w:spacing w:after="0" w:line="101" w:lineRule="exact"/>
        <w:rPr>
          <w:sz w:val="20"/>
          <w:szCs w:val="20"/>
          <w:color w:val="auto"/>
        </w:rPr>
      </w:pPr>
    </w:p>
    <w:p>
      <w:pPr>
        <w:ind w:left="1400" w:right="1499" w:firstLine="271"/>
        <w:spacing w:after="0" w:line="253" w:lineRule="auto"/>
        <w:rPr>
          <w:sz w:val="20"/>
          <w:szCs w:val="20"/>
          <w:color w:val="auto"/>
        </w:rPr>
      </w:pPr>
      <w:r>
        <w:rPr>
          <w:rFonts w:ascii="Times New Roman" w:cs="Times New Roman" w:eastAsia="Times New Roman" w:hAnsi="Times New Roman"/>
          <w:sz w:val="14"/>
          <w:szCs w:val="14"/>
          <w:color w:val="auto"/>
        </w:rPr>
        <w:t>The table below identifies the Selling Stockholder and provides other information regarding the beneficial ownership (as determined under Section 13(d) of the Exchange Act and the rules and regulations thereunder) of shares of Common Stock and Convertible Preferred Stock by the Selling Stockholder.</w:t>
      </w:r>
    </w:p>
    <w:p>
      <w:pPr>
        <w:spacing w:after="0" w:line="82" w:lineRule="exact"/>
        <w:rPr>
          <w:sz w:val="20"/>
          <w:szCs w:val="20"/>
          <w:color w:val="auto"/>
        </w:rPr>
      </w:pPr>
    </w:p>
    <w:p>
      <w:pPr>
        <w:ind w:left="1400" w:right="1819" w:firstLine="271"/>
        <w:spacing w:after="0" w:line="263" w:lineRule="auto"/>
        <w:rPr>
          <w:sz w:val="20"/>
          <w:szCs w:val="20"/>
          <w:color w:val="auto"/>
        </w:rPr>
      </w:pPr>
      <w:r>
        <w:rPr>
          <w:rFonts w:ascii="Times New Roman" w:cs="Times New Roman" w:eastAsia="Times New Roman" w:hAnsi="Times New Roman"/>
          <w:sz w:val="14"/>
          <w:szCs w:val="14"/>
          <w:color w:val="auto"/>
        </w:rPr>
        <w:t>The information presented regarding the Selling Stockholder is based, in part, on information the Selling Stockholder provided to us specifically for use herein.</w:t>
      </w:r>
    </w:p>
    <w:p>
      <w:pPr>
        <w:spacing w:after="0" w:line="85" w:lineRule="exact"/>
        <w:rPr>
          <w:sz w:val="20"/>
          <w:szCs w:val="20"/>
          <w:color w:val="auto"/>
        </w:rPr>
      </w:pPr>
    </w:p>
    <w:p>
      <w:pPr>
        <w:ind w:left="1400" w:right="1459" w:firstLine="271"/>
        <w:spacing w:after="0" w:line="245" w:lineRule="auto"/>
        <w:rPr>
          <w:sz w:val="20"/>
          <w:szCs w:val="20"/>
          <w:color w:val="auto"/>
        </w:rPr>
      </w:pPr>
      <w:r>
        <w:rPr>
          <w:rFonts w:ascii="Times New Roman" w:cs="Times New Roman" w:eastAsia="Times New Roman" w:hAnsi="Times New Roman"/>
          <w:sz w:val="14"/>
          <w:szCs w:val="14"/>
          <w:color w:val="auto"/>
        </w:rPr>
        <w:t>The Selling Stockholder may have sold, transferred or otherwise disposed of some or all of the Securities listed below in exempt or registered transactions since the date on which the information below was provided to us and may in the future sell, transfer or otherwise dispose of some or all of the Securities in private placement transactions exempt from, or not subject to the registration requirements of, the Securities Act. We have assumed for purposes of the table below that the Selling Stockholder will sell all of the Securities being offered hereby pursuant to this prospectus supplement. We have based percentage ownership on 3,031,361,899 shares of common stock outstanding as of December 31, 2024 and ownership information available as of that date.</w:t>
      </w:r>
    </w:p>
    <w:p>
      <w:pPr>
        <w:sectPr>
          <w:pgSz w:w="11900" w:h="16838" w:orient="portrait"/>
          <w:cols w:equalWidth="0" w:num="1">
            <w:col w:w="9019"/>
          </w:cols>
          <w:pgMar w:left="1440" w:top="1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color w:val="auto"/>
        </w:rPr>
        <w:t>Name of Selling</w:t>
      </w:r>
    </w:p>
    <w:p>
      <w:pPr>
        <w:spacing w:after="0" w:line="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color w:val="auto"/>
        </w:rPr>
        <w:t>Stockholder</w:t>
      </w:r>
    </w:p>
    <w:p>
      <w:pPr>
        <w:spacing w:after="0" w:line="39" w:lineRule="exact"/>
        <w:rPr>
          <w:sz w:val="20"/>
          <w:szCs w:val="20"/>
          <w:color w:val="auto"/>
        </w:rPr>
      </w:pPr>
    </w:p>
    <w:p>
      <w:pPr>
        <w:ind w:left="940" w:hanging="114"/>
        <w:spacing w:after="0" w:line="283" w:lineRule="auto"/>
        <w:rPr>
          <w:sz w:val="20"/>
          <w:szCs w:val="20"/>
          <w:color w:val="auto"/>
        </w:rPr>
      </w:pPr>
      <w:r>
        <w:rPr>
          <w:rFonts w:ascii="Times New Roman" w:cs="Times New Roman" w:eastAsia="Times New Roman" w:hAnsi="Times New Roman"/>
          <w:sz w:val="12"/>
          <w:szCs w:val="12"/>
          <w:color w:val="auto"/>
        </w:rPr>
        <w:t>The Public Investment Fund</w:t>
      </w:r>
      <w:r>
        <w:rPr>
          <w:rFonts w:ascii="Times New Roman" w:cs="Times New Roman" w:eastAsia="Times New Roman" w:hAnsi="Times New Roman"/>
          <w:sz w:val="14"/>
          <w:szCs w:val="14"/>
          <w:color w:val="auto"/>
          <w:vertAlign w:val="superscript"/>
        </w:rPr>
        <w:t>(9)</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Maximum</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5"/>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Maximum</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5"/>
              <w:spacing w:after="0" w:line="122"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of</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Percentage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5"/>
              <w:spacing w:after="0" w:line="122" w:lineRule="exact"/>
              <w:rPr>
                <w:sz w:val="20"/>
                <w:szCs w:val="20"/>
                <w:color w:val="auto"/>
              </w:rPr>
            </w:pPr>
            <w:r>
              <w:rPr>
                <w:rFonts w:ascii="Times New Roman" w:cs="Times New Roman" w:eastAsia="Times New Roman" w:hAnsi="Times New Roman"/>
                <w:sz w:val="11"/>
                <w:szCs w:val="11"/>
                <w:b w:val="1"/>
                <w:bCs w:val="1"/>
                <w:color w:val="auto"/>
                <w:w w:val="91"/>
              </w:rPr>
              <w:t>Shares of</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Percentage of</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Shares of</w:t>
            </w:r>
          </w:p>
        </w:tc>
        <w:tc>
          <w:tcPr>
            <w:tcW w:w="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Convertible</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of</w:t>
            </w:r>
          </w:p>
        </w:tc>
        <w:tc>
          <w:tcPr>
            <w:tcW w:w="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Common Stock</w:t>
            </w:r>
          </w:p>
        </w:tc>
        <w:tc>
          <w:tcPr>
            <w:tcW w:w="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Shares of</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Convertible</w:t>
            </w:r>
          </w:p>
        </w:tc>
        <w:tc>
          <w:tcPr>
            <w:tcW w:w="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Convertible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of</w:t>
            </w:r>
          </w:p>
        </w:tc>
        <w:tc>
          <w:tcPr>
            <w:tcW w:w="120" w:type="dxa"/>
            <w:vAlign w:val="bottom"/>
          </w:tcPr>
          <w:p>
            <w:pPr>
              <w:spacing w:after="0"/>
              <w:rPr>
                <w:sz w:val="10"/>
                <w:szCs w:val="10"/>
                <w:color w:val="auto"/>
              </w:rPr>
            </w:pPr>
          </w:p>
        </w:tc>
        <w:tc>
          <w:tcPr>
            <w:tcW w:w="700" w:type="dxa"/>
            <w:vAlign w:val="bottom"/>
          </w:tcPr>
          <w:p>
            <w:pPr>
              <w:jc w:val="center"/>
              <w:ind w:right="5"/>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 be Sold</w:t>
            </w:r>
          </w:p>
        </w:tc>
        <w:tc>
          <w:tcPr>
            <w:tcW w:w="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of</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 to be</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Preferred</w:t>
            </w:r>
          </w:p>
        </w:tc>
        <w:tc>
          <w:tcPr>
            <w:tcW w:w="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Preferred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 Stock</w:t>
            </w:r>
          </w:p>
        </w:tc>
        <w:tc>
          <w:tcPr>
            <w:tcW w:w="120" w:type="dxa"/>
            <w:vAlign w:val="bottom"/>
          </w:tcPr>
          <w:p>
            <w:pPr>
              <w:spacing w:after="0"/>
              <w:rPr>
                <w:sz w:val="10"/>
                <w:szCs w:val="10"/>
                <w:color w:val="auto"/>
              </w:rPr>
            </w:pPr>
          </w:p>
        </w:tc>
        <w:tc>
          <w:tcPr>
            <w:tcW w:w="700" w:type="dxa"/>
            <w:vAlign w:val="bottom"/>
          </w:tcPr>
          <w:p>
            <w:pPr>
              <w:jc w:val="center"/>
              <w:ind w:right="5"/>
              <w:spacing w:after="0" w:line="122" w:lineRule="exact"/>
              <w:rPr>
                <w:sz w:val="20"/>
                <w:szCs w:val="20"/>
                <w:color w:val="auto"/>
              </w:rPr>
            </w:pPr>
            <w:r>
              <w:rPr>
                <w:rFonts w:ascii="Times New Roman" w:cs="Times New Roman" w:eastAsia="Times New Roman" w:hAnsi="Times New Roman"/>
                <w:sz w:val="11"/>
                <w:szCs w:val="11"/>
                <w:b w:val="1"/>
                <w:bCs w:val="1"/>
                <w:color w:val="auto"/>
                <w:w w:val="92"/>
              </w:rPr>
              <w:t>Pursuant</w:t>
            </w:r>
          </w:p>
        </w:tc>
        <w:tc>
          <w:tcPr>
            <w:tcW w:w="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 Stock</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Stock Owned</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Stock Owned</w:t>
            </w:r>
          </w:p>
        </w:tc>
        <w:tc>
          <w:tcPr>
            <w:tcW w:w="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Sold Pursuant</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Stock Owned</w:t>
            </w:r>
          </w:p>
        </w:tc>
        <w:tc>
          <w:tcPr>
            <w:tcW w:w="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Stock Owned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Owned Prior to</w:t>
            </w:r>
          </w:p>
        </w:tc>
        <w:tc>
          <w:tcPr>
            <w:tcW w:w="120" w:type="dxa"/>
            <w:vAlign w:val="bottom"/>
          </w:tcPr>
          <w:p>
            <w:pPr>
              <w:spacing w:after="0"/>
              <w:rPr>
                <w:sz w:val="10"/>
                <w:szCs w:val="10"/>
                <w:color w:val="auto"/>
              </w:rPr>
            </w:pPr>
          </w:p>
        </w:tc>
        <w:tc>
          <w:tcPr>
            <w:tcW w:w="700" w:type="dxa"/>
            <w:vAlign w:val="bottom"/>
          </w:tcPr>
          <w:p>
            <w:pPr>
              <w:jc w:val="center"/>
              <w:ind w:right="5"/>
              <w:spacing w:after="0" w:line="122" w:lineRule="exact"/>
              <w:rPr>
                <w:sz w:val="20"/>
                <w:szCs w:val="20"/>
                <w:color w:val="auto"/>
              </w:rPr>
            </w:pPr>
            <w:r>
              <w:rPr>
                <w:rFonts w:ascii="Times New Roman" w:cs="Times New Roman" w:eastAsia="Times New Roman" w:hAnsi="Times New Roman"/>
                <w:sz w:val="11"/>
                <w:szCs w:val="11"/>
                <w:b w:val="1"/>
                <w:bCs w:val="1"/>
                <w:color w:val="auto"/>
                <w:w w:val="96"/>
              </w:rPr>
              <w:t>to this</w:t>
            </w:r>
          </w:p>
        </w:tc>
        <w:tc>
          <w:tcPr>
            <w:tcW w:w="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Owned After</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After</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Prior to</w:t>
            </w:r>
          </w:p>
        </w:tc>
        <w:tc>
          <w:tcPr>
            <w:tcW w:w="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to this</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After</w:t>
            </w:r>
          </w:p>
        </w:tc>
        <w:tc>
          <w:tcPr>
            <w:tcW w:w="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After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8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Offering</w:t>
            </w:r>
            <w:r>
              <w:rPr>
                <w:rFonts w:ascii="Times New Roman" w:cs="Times New Roman" w:eastAsia="Times New Roman" w:hAnsi="Times New Roman"/>
                <w:sz w:val="12"/>
                <w:szCs w:val="12"/>
                <w:b w:val="1"/>
                <w:bCs w:val="1"/>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Prospectus</w:t>
            </w:r>
            <w:r>
              <w:rPr>
                <w:rFonts w:ascii="Times New Roman" w:cs="Times New Roman" w:eastAsia="Times New Roman" w:hAnsi="Times New Roman"/>
                <w:sz w:val="13"/>
                <w:szCs w:val="13"/>
                <w:b w:val="1"/>
                <w:bCs w:val="1"/>
                <w:color w:val="auto"/>
                <w:w w:val="91"/>
                <w:vertAlign w:val="superscript"/>
              </w:rPr>
              <w:t>(2)</w:t>
            </w:r>
          </w:p>
        </w:tc>
        <w:tc>
          <w:tcPr>
            <w:tcW w:w="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Offering</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Offering</w:t>
            </w:r>
            <w:r>
              <w:rPr>
                <w:rFonts w:ascii="Times New Roman" w:cs="Times New Roman" w:eastAsia="Times New Roman" w:hAnsi="Times New Roman"/>
                <w:sz w:val="13"/>
                <w:szCs w:val="13"/>
                <w:b w:val="1"/>
                <w:bCs w:val="1"/>
                <w:color w:val="auto"/>
                <w:w w:val="91"/>
                <w:vertAlign w:val="superscript"/>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Offering</w:t>
            </w:r>
            <w:r>
              <w:rPr>
                <w:rFonts w:ascii="Times New Roman" w:cs="Times New Roman" w:eastAsia="Times New Roman" w:hAnsi="Times New Roman"/>
                <w:sz w:val="13"/>
                <w:szCs w:val="13"/>
                <w:b w:val="1"/>
                <w:bCs w:val="1"/>
                <w:color w:val="auto"/>
                <w:w w:val="91"/>
                <w:vertAlign w:val="superscript"/>
              </w:rPr>
              <w:t>(4)</w:t>
            </w:r>
          </w:p>
        </w:tc>
        <w:tc>
          <w:tcPr>
            <w:tcW w:w="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Prospectus</w:t>
            </w:r>
            <w:r>
              <w:rPr>
                <w:rFonts w:ascii="Times New Roman" w:cs="Times New Roman" w:eastAsia="Times New Roman" w:hAnsi="Times New Roman"/>
                <w:sz w:val="12"/>
                <w:szCs w:val="12"/>
                <w:b w:val="1"/>
                <w:bCs w:val="1"/>
                <w:color w:val="auto"/>
                <w:vertAlign w:val="superscript"/>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Offering</w:t>
            </w:r>
            <w:r>
              <w:rPr>
                <w:rFonts w:ascii="Times New Roman" w:cs="Times New Roman" w:eastAsia="Times New Roman" w:hAnsi="Times New Roman"/>
                <w:sz w:val="13"/>
                <w:szCs w:val="13"/>
                <w:b w:val="1"/>
                <w:bCs w:val="1"/>
                <w:color w:val="auto"/>
                <w:w w:val="91"/>
                <w:vertAlign w:val="superscript"/>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7"/>
              </w:rPr>
              <w:t>Offering</w:t>
            </w:r>
            <w:r>
              <w:rPr>
                <w:rFonts w:ascii="Times New Roman" w:cs="Times New Roman" w:eastAsia="Times New Roman" w:hAnsi="Times New Roman"/>
                <w:sz w:val="13"/>
                <w:szCs w:val="13"/>
                <w:b w:val="1"/>
                <w:bCs w:val="1"/>
                <w:color w:val="auto"/>
                <w:w w:val="87"/>
                <w:vertAlign w:val="superscript"/>
              </w:rPr>
              <w:t>(7)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2,245,559,215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870,858,917</w:t>
            </w:r>
          </w:p>
        </w:tc>
        <w:tc>
          <w:tcPr>
            <w:tcW w:w="900" w:type="dxa"/>
            <w:vAlign w:val="bottom"/>
            <w:gridSpan w:val="3"/>
          </w:tcPr>
          <w:p>
            <w:pPr>
              <w:jc w:val="right"/>
              <w:ind w:right="4"/>
              <w:spacing w:after="0"/>
              <w:rPr>
                <w:sz w:val="20"/>
                <w:szCs w:val="20"/>
                <w:color w:val="auto"/>
              </w:rPr>
            </w:pPr>
            <w:r>
              <w:rPr>
                <w:rFonts w:ascii="Times New Roman" w:cs="Times New Roman" w:eastAsia="Times New Roman" w:hAnsi="Times New Roman"/>
                <w:sz w:val="12"/>
                <w:szCs w:val="12"/>
                <w:color w:val="auto"/>
              </w:rPr>
              <w:t>1,374,700,298</w:t>
            </w:r>
            <w:r>
              <w:rPr>
                <w:rFonts w:ascii="Times New Roman" w:cs="Times New Roman" w:eastAsia="Times New Roman" w:hAnsi="Times New Roman"/>
                <w:sz w:val="14"/>
                <w:szCs w:val="14"/>
                <w:color w:val="auto"/>
                <w:vertAlign w:val="superscript"/>
              </w:rPr>
              <w:t>(8)</w:t>
            </w:r>
          </w:p>
        </w:tc>
        <w:tc>
          <w:tcPr>
            <w:tcW w:w="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45.35%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175,000</w:t>
            </w:r>
          </w:p>
        </w:tc>
        <w:tc>
          <w:tcPr>
            <w:tcW w:w="740" w:type="dxa"/>
            <w:vAlign w:val="bottom"/>
            <w:gridSpan w:val="2"/>
          </w:tcPr>
          <w:p>
            <w:pPr>
              <w:jc w:val="center"/>
              <w:ind w:left="45"/>
              <w:spacing w:after="0"/>
              <w:rPr>
                <w:sz w:val="20"/>
                <w:szCs w:val="20"/>
                <w:color w:val="auto"/>
              </w:rPr>
            </w:pPr>
            <w:r>
              <w:rPr>
                <w:rFonts w:ascii="Times New Roman" w:cs="Times New Roman" w:eastAsia="Times New Roman" w:hAnsi="Times New Roman"/>
                <w:sz w:val="12"/>
                <w:szCs w:val="12"/>
                <w:color w:val="auto"/>
                <w:w w:val="92"/>
              </w:rPr>
              <w:t>175,000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N/A</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12"/>
                <w:szCs w:val="12"/>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12"/>
                <w:szCs w:val="1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100" w:type="dxa"/>
            <w:vAlign w:val="bottom"/>
            <w:vMerge w:val="continue"/>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continue"/>
          </w:tcPr>
          <w:p>
            <w:pPr>
              <w:spacing w:after="0"/>
              <w:rPr>
                <w:sz w:val="12"/>
                <w:szCs w:val="12"/>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-268605</wp:posOffset>
            </wp:positionV>
            <wp:extent cx="4662805" cy="2133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4662805" cy="21336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47625</wp:posOffset>
            </wp:positionV>
            <wp:extent cx="93154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93154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240"/>
            <w:col w:w="6859"/>
          </w:cols>
          <w:pgMar w:left="1440" w:top="103" w:right="1440" w:bottom="1440" w:gutter="0" w:footer="0" w:header="0"/>
          <w:type w:val="continuous"/>
        </w:sectPr>
      </w:pPr>
    </w:p>
    <w:p>
      <w:pPr>
        <w:spacing w:after="0" w:line="5" w:lineRule="exact"/>
        <w:rPr>
          <w:sz w:val="20"/>
          <w:szCs w:val="20"/>
          <w:color w:val="auto"/>
        </w:rPr>
      </w:pPr>
    </w:p>
    <w:p>
      <w:pPr>
        <w:ind w:left="1680" w:right="1459" w:hanging="272"/>
        <w:spacing w:after="0" w:line="249"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shown includes shares of Common Stock beneficially owned by the Selling Stockholder herein and shares of Common Stock issuable upon conversion of the outstanding Convertible Preferred Stock as of December 31, 2024. Does not include any dividends that are not yet payable as of the date hereof.</w:t>
      </w:r>
    </w:p>
    <w:p>
      <w:pPr>
        <w:spacing w:after="0" w:line="65" w:lineRule="exact"/>
        <w:rPr>
          <w:rFonts w:ascii="Times New Roman" w:cs="Times New Roman" w:eastAsia="Times New Roman" w:hAnsi="Times New Roman"/>
          <w:sz w:val="14"/>
          <w:szCs w:val="14"/>
          <w:color w:val="auto"/>
        </w:rPr>
      </w:pPr>
    </w:p>
    <w:p>
      <w:pPr>
        <w:ind w:left="1680" w:right="1479" w:hanging="272"/>
        <w:spacing w:after="0" w:line="245"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shown includes shares of Common Stock that may be offered for resale from time to time, and includes shares of our Common Stock underlying Convertible Preferred Stock that may be convertible as a result of any payments of dividends in kind. Represents the maximum number of shares of Common Stock registered under this prospectus supplement, including shares of Common Stock that are issuable upon conversion of the Convertible Preferred Stock as of December 31, 2024. The number of shares of Common Stock issuable upon conversion of the Convertible Preferred is limited as required by applicable Nasdaq listing rules unless we obtain any required stockholder approval. The Company and the Selling Stockholder have agreed to cooperate reasonably to obtain such stockholder approval. The Selling Stockholder may sell all, some or none of their shares in this offering.</w:t>
      </w:r>
    </w:p>
    <w:p>
      <w:pPr>
        <w:spacing w:after="0" w:line="232" w:lineRule="exact"/>
        <w:rPr>
          <w:rFonts w:ascii="Times New Roman" w:cs="Times New Roman" w:eastAsia="Times New Roman" w:hAnsi="Times New Roman"/>
          <w:sz w:val="14"/>
          <w:szCs w:val="14"/>
          <w:color w:val="auto"/>
        </w:rPr>
      </w:pPr>
    </w:p>
    <w:p>
      <w:pPr>
        <w:ind w:left="1680" w:right="1439" w:hanging="272"/>
        <w:spacing w:after="0" w:line="249"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ownership of our Common Stock by the Selling Stockholder after completion of this offering, assuming that the Selling Stockholder sells all of the shares covered by this registration statement, to the extent such percentage will exceed 1% of the total number of shares of Common Stock outstanding.</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type w:val="continuous"/>
        </w:sectPr>
      </w:pPr>
    </w:p>
    <w:bookmarkStart w:id="23" w:name="page24"/>
    <w:bookmarkEnd w:id="23"/>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80" w:right="1759" w:hanging="272"/>
        <w:spacing w:after="0" w:line="263" w:lineRule="auto"/>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of Convertible Preferred Stock beneficially owned by the Selling Stockholder.</w:t>
      </w:r>
    </w:p>
    <w:p>
      <w:pPr>
        <w:spacing w:after="0" w:line="34" w:lineRule="exact"/>
        <w:rPr>
          <w:rFonts w:ascii="Times New Roman" w:cs="Times New Roman" w:eastAsia="Times New Roman" w:hAnsi="Times New Roman"/>
          <w:sz w:val="14"/>
          <w:szCs w:val="14"/>
          <w:color w:val="auto"/>
        </w:rPr>
      </w:pPr>
    </w:p>
    <w:p>
      <w:pPr>
        <w:ind w:left="1680" w:right="1639" w:hanging="272"/>
        <w:spacing w:after="0" w:line="263" w:lineRule="auto"/>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maximum number of shares of Convertible Preferred Stock being offered pursuant to this prospectus supplement by the Selling Stockholder.</w:t>
      </w:r>
    </w:p>
    <w:p>
      <w:pPr>
        <w:spacing w:after="0" w:line="24" w:lineRule="exact"/>
        <w:rPr>
          <w:rFonts w:ascii="Times New Roman" w:cs="Times New Roman" w:eastAsia="Times New Roman" w:hAnsi="Times New Roman"/>
          <w:sz w:val="14"/>
          <w:szCs w:val="14"/>
          <w:color w:val="auto"/>
        </w:rPr>
      </w:pPr>
    </w:p>
    <w:p>
      <w:pPr>
        <w:ind w:left="1680" w:right="1479" w:hanging="272"/>
        <w:spacing w:after="0" w:line="253" w:lineRule="auto"/>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shares of Convertible Preferred Stock to be held by the Selling Stockholder after completion of this offering, assuming that the Selling Stockholder sells all of the shares of Convertible Preferred Stock covered by this registration statement.</w:t>
      </w:r>
    </w:p>
    <w:p>
      <w:pPr>
        <w:spacing w:after="0" w:line="30" w:lineRule="exact"/>
        <w:rPr>
          <w:rFonts w:ascii="Times New Roman" w:cs="Times New Roman" w:eastAsia="Times New Roman" w:hAnsi="Times New Roman"/>
          <w:sz w:val="14"/>
          <w:szCs w:val="14"/>
          <w:color w:val="auto"/>
        </w:rPr>
      </w:pPr>
    </w:p>
    <w:p>
      <w:pPr>
        <w:ind w:left="1680" w:right="1719" w:hanging="272"/>
        <w:spacing w:after="0" w:line="253" w:lineRule="auto"/>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ownership of our Convertible Preferred Stock held by the Selling Stockholder after completion of this offering, assuming that the Selling Stockholder sells all of the shares of Convertible Preferred Stock covered by this registration statement.</w:t>
      </w:r>
    </w:p>
    <w:p>
      <w:pPr>
        <w:spacing w:after="0" w:line="40" w:lineRule="exact"/>
        <w:rPr>
          <w:rFonts w:ascii="Times New Roman" w:cs="Times New Roman" w:eastAsia="Times New Roman" w:hAnsi="Times New Roman"/>
          <w:sz w:val="14"/>
          <w:szCs w:val="14"/>
          <w:color w:val="auto"/>
        </w:rPr>
      </w:pPr>
    </w:p>
    <w:p>
      <w:pPr>
        <w:ind w:left="1680" w:right="1579" w:hanging="272"/>
        <w:spacing w:after="0" w:line="263" w:lineRule="auto"/>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beneficially owned other than shares of Common Stock covered by this registration statement.</w:t>
      </w:r>
    </w:p>
    <w:p>
      <w:pPr>
        <w:spacing w:after="0" w:line="24" w:lineRule="exact"/>
        <w:rPr>
          <w:rFonts w:ascii="Times New Roman" w:cs="Times New Roman" w:eastAsia="Times New Roman" w:hAnsi="Times New Roman"/>
          <w:sz w:val="14"/>
          <w:szCs w:val="14"/>
          <w:color w:val="auto"/>
        </w:rPr>
      </w:pPr>
    </w:p>
    <w:p>
      <w:pPr>
        <w:ind w:left="1680" w:right="1439" w:hanging="272"/>
        <w:spacing w:after="0" w:line="248" w:lineRule="auto"/>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Ayar is a wholly owned subsidiary of PIF. The Board of Directors of PIF has dispositive power over the shares held by PIF and Ayar. The Board of Directors of PIF, and, as managers of Ayar, each of Turqi Alnowaiser and Yasir Alsalman, has shared voting power over the shares held by Ayar. Neither</w:t>
      </w:r>
    </w:p>
    <w:p>
      <w:pPr>
        <w:spacing w:after="0" w:line="1" w:lineRule="exact"/>
        <w:rPr>
          <w:rFonts w:ascii="Times New Roman" w:cs="Times New Roman" w:eastAsia="Times New Roman" w:hAnsi="Times New Roman"/>
          <w:sz w:val="14"/>
          <w:szCs w:val="14"/>
          <w:color w:val="auto"/>
        </w:rPr>
      </w:pPr>
    </w:p>
    <w:p>
      <w:pPr>
        <w:ind w:left="1680" w:right="1459"/>
        <w:spacing w:after="0" w:line="24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Alnowaiser nor Mr. Alsalman has any pecuniary interest in the shares held by Ayar and each of Mr. Alnowaiser and Mr. Alsalman disclaims beneficial ownership of the shares held by Ayar. Securities offered by PIF hereby were issued to Ayar in a series of private placements. See “Summary — Private Placements.” The business address for PIF is The Public Investment Fund Tower, King Abdullah Financial District (KAFD), 1.16 Al Aqiq District, Riyadh, TO 13519, The Kingdom of Saudi Arabia.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4" w:name="page25"/>
    <w:bookmarkEnd w:id="24"/>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18" w:lineRule="exact"/>
        <w:rPr>
          <w:sz w:val="20"/>
          <w:szCs w:val="20"/>
          <w:color w:val="auto"/>
        </w:rPr>
      </w:pPr>
    </w:p>
    <w:p>
      <w:pPr>
        <w:ind w:left="1400" w:right="1459" w:firstLine="271"/>
        <w:spacing w:after="0" w:line="248" w:lineRule="auto"/>
        <w:rPr>
          <w:sz w:val="20"/>
          <w:szCs w:val="20"/>
          <w:color w:val="auto"/>
        </w:rPr>
      </w:pPr>
      <w:r>
        <w:rPr>
          <w:rFonts w:ascii="Times New Roman" w:cs="Times New Roman" w:eastAsia="Times New Roman" w:hAnsi="Times New Roman"/>
          <w:sz w:val="14"/>
          <w:szCs w:val="14"/>
          <w:color w:val="auto"/>
        </w:rPr>
        <w:t>The Selling Stockholder may sell, transfer or otherwise dispose of any or all of their Securities or interests in such Securities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Securities may be distributed from time to time in one or more transactions:</w:t>
      </w:r>
    </w:p>
    <w:p>
      <w:pPr>
        <w:spacing w:after="0" w:line="75" w:lineRule="exact"/>
        <w:rPr>
          <w:sz w:val="20"/>
          <w:szCs w:val="20"/>
          <w:color w:val="auto"/>
        </w:rPr>
      </w:pPr>
    </w:p>
    <w:p>
      <w:pPr>
        <w:ind w:left="1820" w:hanging="141"/>
        <w:spacing w:after="0"/>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93" w:lineRule="exact"/>
        <w:rPr>
          <w:rFonts w:ascii="Times New Roman" w:cs="Times New Roman" w:eastAsia="Times New Roman" w:hAnsi="Times New Roman"/>
          <w:sz w:val="14"/>
          <w:szCs w:val="14"/>
          <w:color w:val="auto"/>
        </w:rPr>
      </w:pPr>
    </w:p>
    <w:p>
      <w:pPr>
        <w:ind w:left="1820" w:right="1539" w:hanging="141"/>
        <w:spacing w:after="0" w:line="263" w:lineRule="auto"/>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7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brokers or dealers that may act solely as agents;</w:t>
      </w:r>
    </w:p>
    <w:p>
      <w:pPr>
        <w:spacing w:after="0" w:line="9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9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93" w:lineRule="exact"/>
        <w:rPr>
          <w:rFonts w:ascii="Times New Roman" w:cs="Times New Roman" w:eastAsia="Times New Roman" w:hAnsi="Times New Roman"/>
          <w:sz w:val="14"/>
          <w:szCs w:val="14"/>
          <w:color w:val="auto"/>
        </w:rPr>
      </w:pPr>
    </w:p>
    <w:p>
      <w:pPr>
        <w:ind w:left="1820" w:right="1659" w:hanging="141"/>
        <w:spacing w:after="0" w:line="253" w:lineRule="auto"/>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entered into after the effective date of the registration statement of which this prospectus supplement is a part, whether through an options exchange or otherwise;</w:t>
      </w:r>
    </w:p>
    <w:p>
      <w:pPr>
        <w:spacing w:after="0" w:line="71" w:lineRule="exact"/>
        <w:rPr>
          <w:rFonts w:ascii="Times New Roman" w:cs="Times New Roman" w:eastAsia="Times New Roman" w:hAnsi="Times New Roman"/>
          <w:sz w:val="14"/>
          <w:szCs w:val="14"/>
          <w:color w:val="auto"/>
        </w:rPr>
      </w:pPr>
    </w:p>
    <w:p>
      <w:pPr>
        <w:ind w:left="1820" w:right="1519" w:hanging="141"/>
        <w:spacing w:after="0" w:line="263" w:lineRule="auto"/>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 to sell a specified number of such shares at a stipulated price per share;</w:t>
      </w:r>
    </w:p>
    <w:p>
      <w:pPr>
        <w:spacing w:after="0" w:line="7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disposition; and</w:t>
      </w:r>
    </w:p>
    <w:p>
      <w:pPr>
        <w:spacing w:after="0" w:line="9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14" w:lineRule="exact"/>
        <w:rPr>
          <w:sz w:val="20"/>
          <w:szCs w:val="20"/>
          <w:color w:val="auto"/>
        </w:rPr>
      </w:pPr>
    </w:p>
    <w:p>
      <w:pPr>
        <w:ind w:left="1400" w:right="1719" w:firstLine="271"/>
        <w:spacing w:after="0" w:line="263" w:lineRule="auto"/>
        <w:rPr>
          <w:sz w:val="20"/>
          <w:szCs w:val="20"/>
          <w:color w:val="auto"/>
        </w:rPr>
      </w:pPr>
      <w:r>
        <w:rPr>
          <w:rFonts w:ascii="Times New Roman" w:cs="Times New Roman" w:eastAsia="Times New Roman" w:hAnsi="Times New Roman"/>
          <w:sz w:val="14"/>
          <w:szCs w:val="14"/>
          <w:color w:val="auto"/>
        </w:rPr>
        <w:t>The Selling Stockholder may also sell shares under Rule 144 under the Securities Act, if available, rather than under this prospectus supplement.</w:t>
      </w:r>
    </w:p>
    <w:p>
      <w:pPr>
        <w:spacing w:after="0" w:line="75" w:lineRule="exact"/>
        <w:rPr>
          <w:sz w:val="20"/>
          <w:szCs w:val="20"/>
          <w:color w:val="auto"/>
        </w:rPr>
      </w:pPr>
    </w:p>
    <w:p>
      <w:pPr>
        <w:ind w:left="1400" w:right="1459" w:firstLine="271"/>
        <w:spacing w:after="0" w:line="263" w:lineRule="auto"/>
        <w:rPr>
          <w:sz w:val="20"/>
          <w:szCs w:val="20"/>
          <w:color w:val="auto"/>
        </w:rPr>
      </w:pPr>
      <w:r>
        <w:rPr>
          <w:rFonts w:ascii="Times New Roman" w:cs="Times New Roman" w:eastAsia="Times New Roman" w:hAnsi="Times New Roman"/>
          <w:sz w:val="14"/>
          <w:szCs w:val="14"/>
          <w:color w:val="auto"/>
        </w:rPr>
        <w:t>The Securities may also be exchanged for satisfaction of any Selling Stockholder’s obligations or other liabilities to its creditors. Such transactions may or may not involve brokers or dealers.</w:t>
      </w:r>
    </w:p>
    <w:p>
      <w:pPr>
        <w:spacing w:after="0" w:line="85" w:lineRule="exact"/>
        <w:rPr>
          <w:sz w:val="20"/>
          <w:szCs w:val="20"/>
          <w:color w:val="auto"/>
        </w:rPr>
      </w:pPr>
    </w:p>
    <w:p>
      <w:pPr>
        <w:ind w:left="1400" w:right="1459" w:firstLine="271"/>
        <w:spacing w:after="0" w:line="245" w:lineRule="auto"/>
        <w:rPr>
          <w:sz w:val="20"/>
          <w:szCs w:val="20"/>
          <w:color w:val="auto"/>
        </w:rPr>
      </w:pPr>
      <w:r>
        <w:rPr>
          <w:rFonts w:ascii="Times New Roman" w:cs="Times New Roman" w:eastAsia="Times New Roman" w:hAnsi="Times New Roman"/>
          <w:sz w:val="14"/>
          <w:szCs w:val="14"/>
          <w:color w:val="auto"/>
        </w:rPr>
        <w:t>In addition, a Selling Stockholder that is an entity may elect to make a pro rata in-kind distribution of Securities to its members, partners or stockholders or purchase or redeem interests held in such entity by its members, partners or stockholders in exchange for Securities, in each case pursuant to the registration statement of which this prospectus supplement is a part by delivering a prospectus with a plan of distribution. Such members, partners or stockholders (unless our affiliate) would thereby receive freely tradeable Securities pursuant to the distribution. To the extent a distributee is an affiliate of ours (or to the extent otherwise required by law), we may file a supplement to this prospectus supplement in order to permit the distributees to use this prospectus supplement to resell the Securities acquired in the distribution.</w:t>
      </w:r>
    </w:p>
    <w:p>
      <w:pPr>
        <w:spacing w:after="0" w:line="101" w:lineRule="exact"/>
        <w:rPr>
          <w:sz w:val="20"/>
          <w:szCs w:val="20"/>
          <w:color w:val="auto"/>
        </w:rPr>
      </w:pPr>
    </w:p>
    <w:p>
      <w:pPr>
        <w:ind w:left="1400" w:right="1439" w:firstLine="271"/>
        <w:spacing w:after="0" w:line="247" w:lineRule="auto"/>
        <w:rPr>
          <w:sz w:val="20"/>
          <w:szCs w:val="20"/>
          <w:color w:val="auto"/>
        </w:rPr>
      </w:pPr>
      <w:r>
        <w:rPr>
          <w:rFonts w:ascii="Times New Roman" w:cs="Times New Roman" w:eastAsia="Times New Roman" w:hAnsi="Times New Roman"/>
          <w:sz w:val="14"/>
          <w:szCs w:val="14"/>
          <w:color w:val="auto"/>
        </w:rPr>
        <w:t>Upon our being notified in writing by the Selling Stockholder that any material arrangement has been entered into with a broker-dealer for the sale of the shares through a block trade, special offering exchange distribution or secondary distribution or a purchase by a broker or dealer, we will file a supplement to this prospectus supplement, if required, pursuant to Rule 424(b) under the Securities Act, disclosing the method of distribution, the terms and conditions of the offering of such Securities, including the offering price of the Securities and the proceeds to the Selling Stockholder, if applicable, and any other required information.</w:t>
      </w:r>
    </w:p>
    <w:p>
      <w:pPr>
        <w:spacing w:after="0" w:line="86" w:lineRule="exact"/>
        <w:rPr>
          <w:sz w:val="20"/>
          <w:szCs w:val="20"/>
          <w:color w:val="auto"/>
        </w:rPr>
      </w:pPr>
    </w:p>
    <w:p>
      <w:pPr>
        <w:ind w:left="1400" w:right="1459" w:firstLine="271"/>
        <w:spacing w:after="0" w:line="253" w:lineRule="auto"/>
        <w:rPr>
          <w:sz w:val="20"/>
          <w:szCs w:val="20"/>
          <w:color w:val="auto"/>
        </w:rPr>
      </w:pPr>
      <w:r>
        <w:rPr>
          <w:rFonts w:ascii="Times New Roman" w:cs="Times New Roman" w:eastAsia="Times New Roman" w:hAnsi="Times New Roman"/>
          <w:sz w:val="14"/>
          <w:szCs w:val="14"/>
          <w:color w:val="auto"/>
        </w:rPr>
        <w:t>The Selling Stockholder also may transfer the shares in other circumstances, in which case the transferees, pledgees or other successors in interest will be the selling beneficial owners for purposes of this prospectus supplement.</w:t>
      </w:r>
    </w:p>
    <w:p>
      <w:pPr>
        <w:spacing w:after="0" w:line="9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Offers to purchase the Securities being offered by this prospectus supplement may be solicited directly.</w:t>
      </w:r>
    </w:p>
    <w:p>
      <w:pPr>
        <w:spacing w:after="0" w:line="1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Agents may also be designated to solicit offers to purchase the Securities from time to time.</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5" w:name="page26"/>
    <w:bookmarkEnd w:id="25"/>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599" w:firstLine="271"/>
        <w:spacing w:after="0" w:line="253" w:lineRule="auto"/>
        <w:rPr>
          <w:sz w:val="20"/>
          <w:szCs w:val="20"/>
          <w:color w:val="auto"/>
        </w:rPr>
      </w:pPr>
      <w:r>
        <w:rPr>
          <w:rFonts w:ascii="Times New Roman" w:cs="Times New Roman" w:eastAsia="Times New Roman" w:hAnsi="Times New Roman"/>
          <w:sz w:val="14"/>
          <w:szCs w:val="14"/>
          <w:color w:val="auto"/>
        </w:rPr>
        <w:t>If a dealer is utilized in the sale of the Securities being offered by this prospectus supplement, the Securities will be sold to the dealer, as principal. The dealer may then resell the Securities to the public at varying prices to be determined by the dealer at the time of resale.</w:t>
      </w:r>
    </w:p>
    <w:p>
      <w:pPr>
        <w:spacing w:after="0" w:line="92" w:lineRule="exact"/>
        <w:rPr>
          <w:sz w:val="20"/>
          <w:szCs w:val="20"/>
          <w:color w:val="auto"/>
        </w:rPr>
      </w:pPr>
    </w:p>
    <w:p>
      <w:pPr>
        <w:ind w:left="1400" w:right="1519" w:firstLine="271"/>
        <w:spacing w:after="0" w:line="246" w:lineRule="auto"/>
        <w:rPr>
          <w:sz w:val="20"/>
          <w:szCs w:val="20"/>
          <w:color w:val="auto"/>
        </w:rPr>
      </w:pPr>
      <w:r>
        <w:rPr>
          <w:rFonts w:ascii="Times New Roman" w:cs="Times New Roman" w:eastAsia="Times New Roman" w:hAnsi="Times New Roman"/>
          <w:sz w:val="14"/>
          <w:szCs w:val="14"/>
          <w:color w:val="auto"/>
        </w:rPr>
        <w:t>The Selling Stockholder,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The Selling Stockholder may enter into agreements to indemnify dealers and agents against civil liabilities, including liabilities under the Securities Act, or to contribute to payments they may be required to make in respect thereof and to reimburse those persons for certain expenses.</w:t>
      </w:r>
    </w:p>
    <w:p>
      <w:pPr>
        <w:spacing w:after="0" w:line="98" w:lineRule="exact"/>
        <w:rPr>
          <w:sz w:val="20"/>
          <w:szCs w:val="20"/>
          <w:color w:val="auto"/>
        </w:rPr>
      </w:pPr>
    </w:p>
    <w:p>
      <w:pPr>
        <w:ind w:left="1400" w:right="1419" w:firstLine="271"/>
        <w:spacing w:after="0" w:line="244" w:lineRule="auto"/>
        <w:rPr>
          <w:sz w:val="20"/>
          <w:szCs w:val="20"/>
          <w:color w:val="auto"/>
        </w:rPr>
      </w:pPr>
      <w:r>
        <w:rPr>
          <w:rFonts w:ascii="Times New Roman" w:cs="Times New Roman" w:eastAsia="Times New Roman" w:hAnsi="Times New Roman"/>
          <w:sz w:val="14"/>
          <w:szCs w:val="14"/>
          <w:color w:val="auto"/>
        </w:rPr>
        <w:t>Any shares of Common Stock being offered by this prospectus supplement will be listed on the Nasdaq.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93" w:lineRule="exact"/>
        <w:rPr>
          <w:sz w:val="20"/>
          <w:szCs w:val="20"/>
          <w:color w:val="auto"/>
        </w:rPr>
      </w:pPr>
    </w:p>
    <w:p>
      <w:pPr>
        <w:ind w:left="1400" w:right="1439" w:firstLine="271"/>
        <w:spacing w:after="0" w:line="244" w:lineRule="auto"/>
        <w:rPr>
          <w:sz w:val="20"/>
          <w:szCs w:val="20"/>
          <w:color w:val="auto"/>
        </w:rPr>
      </w:pPr>
      <w:r>
        <w:rPr>
          <w:rFonts w:ascii="Times New Roman" w:cs="Times New Roman" w:eastAsia="Times New Roman" w:hAnsi="Times New Roman"/>
          <w:sz w:val="14"/>
          <w:szCs w:val="14"/>
          <w:color w:val="auto"/>
        </w:rPr>
        <w:t>The Selling Stockholder may engage in at the market offerings into an existing trading market in accordance with Rule 415(a)(4) under the Securities Act. In addition, the Selling Stockholder may enter into derivative transactions with third parties, or sell securities not covered by this prospectus supplement to third parties in privately negotiated transactions. In connection with those derivatives, the third parties may sell securities covered by this prospectus supplement, including in short sale transactions. If so, the third party may use securities pledged by the Selling Stockholder or borrowed from the Selling Stockholder or others to settle those sales or to close out any related open borrowings of stock, and may use securities received from the Selling Stockholder in settlement of those derivatives to close out any related open borrowings of stock. In addition, the Selling Stockholder may otherwise loan or pledge securities to a financial institution or other third party that in turn may sell the securities short using this prospectus supplement. Such financial institution or other third party may transfer its economic short position to investors in our securities or in connection with a concurrent offering of other securities.</w:t>
      </w:r>
    </w:p>
    <w:p>
      <w:pPr>
        <w:spacing w:after="0" w:line="104" w:lineRule="exact"/>
        <w:rPr>
          <w:sz w:val="20"/>
          <w:szCs w:val="20"/>
          <w:color w:val="auto"/>
        </w:rPr>
      </w:pPr>
    </w:p>
    <w:p>
      <w:pPr>
        <w:ind w:left="1400" w:right="1599" w:firstLine="271"/>
        <w:spacing w:after="0" w:line="263" w:lineRule="auto"/>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85" w:lineRule="exact"/>
        <w:rPr>
          <w:sz w:val="20"/>
          <w:szCs w:val="20"/>
          <w:color w:val="auto"/>
        </w:rPr>
      </w:pPr>
    </w:p>
    <w:p>
      <w:pPr>
        <w:ind w:left="1400" w:right="1419" w:firstLine="271"/>
        <w:spacing w:after="0" w:line="263" w:lineRule="auto"/>
        <w:rPr>
          <w:sz w:val="20"/>
          <w:szCs w:val="20"/>
          <w:color w:val="auto"/>
        </w:rPr>
      </w:pPr>
      <w:r>
        <w:rPr>
          <w:rFonts w:ascii="Times New Roman" w:cs="Times New Roman" w:eastAsia="Times New Roman" w:hAnsi="Times New Roman"/>
          <w:sz w:val="14"/>
          <w:szCs w:val="14"/>
          <w:color w:val="auto"/>
        </w:rPr>
        <w:t>The dealers and agents may engage in transactions with the Selling Stockholder, or perform services for the Selling Stockholder, in the ordinary course of business for which they receive compensation.</w:t>
      </w:r>
    </w:p>
    <w:p>
      <w:pPr>
        <w:spacing w:after="0" w:line="75" w:lineRule="exact"/>
        <w:rPr>
          <w:sz w:val="20"/>
          <w:szCs w:val="20"/>
          <w:color w:val="auto"/>
        </w:rPr>
      </w:pPr>
    </w:p>
    <w:p>
      <w:pPr>
        <w:ind w:left="1400" w:right="1799" w:firstLine="271"/>
        <w:spacing w:after="0" w:line="253" w:lineRule="auto"/>
        <w:rPr>
          <w:sz w:val="20"/>
          <w:szCs w:val="20"/>
          <w:color w:val="auto"/>
        </w:rPr>
      </w:pPr>
      <w:r>
        <w:rPr>
          <w:rFonts w:ascii="Times New Roman" w:cs="Times New Roman" w:eastAsia="Times New Roman" w:hAnsi="Times New Roman"/>
          <w:sz w:val="14"/>
          <w:szCs w:val="14"/>
          <w:color w:val="auto"/>
        </w:rPr>
        <w:t>We have advised the Selling Stockholder that they are required to comply with Regulation M promulgated under the Exchange Act during such time as they may be engaged in a distribution of the shares. The foregoing may affect the marketability of the Common Stock.</w:t>
      </w:r>
    </w:p>
    <w:p>
      <w:pPr>
        <w:spacing w:after="0" w:line="92" w:lineRule="exact"/>
        <w:rPr>
          <w:sz w:val="20"/>
          <w:szCs w:val="20"/>
          <w:color w:val="auto"/>
        </w:rPr>
      </w:pPr>
    </w:p>
    <w:p>
      <w:pPr>
        <w:ind w:left="1400" w:right="1599" w:firstLine="271"/>
        <w:spacing w:after="0" w:line="249" w:lineRule="auto"/>
        <w:rPr>
          <w:sz w:val="20"/>
          <w:szCs w:val="20"/>
          <w:color w:val="auto"/>
        </w:rPr>
      </w:pPr>
      <w:r>
        <w:rPr>
          <w:rFonts w:ascii="Times New Roman" w:cs="Times New Roman" w:eastAsia="Times New Roman" w:hAnsi="Times New Roman"/>
          <w:sz w:val="14"/>
          <w:szCs w:val="14"/>
          <w:color w:val="auto"/>
        </w:rPr>
        <w:t>We are required to pay all fees and expenses in connection with the registration of the Securities. We have agreed to indemnify the Selling Stockholder against certain losses, claims, damages and liabilities, including liabilities under the Securities Act or otherwise, relating to the registration of the Securities offered by this prospectus supplement.</w:t>
      </w:r>
    </w:p>
    <w:p>
      <w:pPr>
        <w:spacing w:after="0" w:line="96" w:lineRule="exact"/>
        <w:rPr>
          <w:sz w:val="20"/>
          <w:szCs w:val="20"/>
          <w:color w:val="auto"/>
        </w:rPr>
      </w:pPr>
    </w:p>
    <w:p>
      <w:pPr>
        <w:ind w:left="1400" w:right="1419" w:firstLine="271"/>
        <w:spacing w:after="0" w:line="251" w:lineRule="auto"/>
        <w:rPr>
          <w:sz w:val="20"/>
          <w:szCs w:val="20"/>
          <w:color w:val="auto"/>
        </w:rPr>
      </w:pPr>
      <w:r>
        <w:rPr>
          <w:rFonts w:ascii="Times New Roman" w:cs="Times New Roman" w:eastAsia="Times New Roman" w:hAnsi="Times New Roman"/>
          <w:sz w:val="14"/>
          <w:szCs w:val="14"/>
          <w:color w:val="auto"/>
        </w:rPr>
        <w:t>We have agreed with the Selling Stockholder to keep the registration statement of which this prospectus supplement constitutes a part effective until such time as of which all Securities registered by such registration statement have been sold or cease to be Registrable Securities, as defined in the Investor Rights Agreement.</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6" w:name="page27"/>
    <w:bookmarkEnd w:id="26"/>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VALIDITY OF THE SECURITIES</w:t>
      </w:r>
    </w:p>
    <w:p>
      <w:pPr>
        <w:spacing w:after="0" w:line="118" w:lineRule="exact"/>
        <w:rPr>
          <w:sz w:val="20"/>
          <w:szCs w:val="20"/>
          <w:color w:val="auto"/>
        </w:rPr>
      </w:pPr>
    </w:p>
    <w:p>
      <w:pPr>
        <w:ind w:left="1400" w:right="1699" w:firstLine="271"/>
        <w:spacing w:after="0" w:line="253" w:lineRule="auto"/>
        <w:rPr>
          <w:sz w:val="20"/>
          <w:szCs w:val="20"/>
          <w:color w:val="auto"/>
        </w:rPr>
      </w:pPr>
      <w:r>
        <w:rPr>
          <w:rFonts w:ascii="Times New Roman" w:cs="Times New Roman" w:eastAsia="Times New Roman" w:hAnsi="Times New Roman"/>
          <w:sz w:val="14"/>
          <w:szCs w:val="14"/>
          <w:color w:val="auto"/>
        </w:rPr>
        <w:t>The validity of the securities described in this prospectus supplement will be passed upon for us by Skadden, Arps, Slate, Meagher &amp; Flom LLP. Additional legal matters may be passed on for us, or any underwriters, dealers or agents, by counsel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7" w:name="page28"/>
    <w:bookmarkEnd w:id="27"/>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18" w:lineRule="exact"/>
        <w:rPr>
          <w:sz w:val="20"/>
          <w:szCs w:val="20"/>
          <w:color w:val="auto"/>
        </w:rPr>
      </w:pPr>
    </w:p>
    <w:p>
      <w:pPr>
        <w:ind w:left="1400" w:right="1479" w:firstLine="271"/>
        <w:spacing w:after="0" w:line="247" w:lineRule="auto"/>
        <w:rPr>
          <w:sz w:val="20"/>
          <w:szCs w:val="20"/>
          <w:color w:val="auto"/>
        </w:rPr>
      </w:pPr>
      <w:r>
        <w:rPr>
          <w:rFonts w:ascii="Times New Roman" w:cs="Times New Roman" w:eastAsia="Times New Roman" w:hAnsi="Times New Roman"/>
          <w:sz w:val="14"/>
          <w:szCs w:val="14"/>
          <w:color w:val="auto"/>
        </w:rPr>
        <w:t>The consolidated financial statements of Lucid Group, Inc. as of December 31, 2024 and 2023, and for each of the years in the two year period ended December 31, 2024, and management’s assessment of the effectiveness of internal control over financial reporting as of December 31, 2024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spacing w:after="0" w:line="96" w:lineRule="exact"/>
        <w:rPr>
          <w:sz w:val="20"/>
          <w:szCs w:val="20"/>
          <w:color w:val="auto"/>
        </w:rPr>
      </w:pPr>
    </w:p>
    <w:p>
      <w:pPr>
        <w:ind w:left="1400" w:right="1419" w:firstLine="271"/>
        <w:spacing w:after="0" w:line="249" w:lineRule="auto"/>
        <w:rPr>
          <w:sz w:val="20"/>
          <w:szCs w:val="20"/>
          <w:color w:val="auto"/>
        </w:rPr>
      </w:pPr>
      <w:r>
        <w:rPr>
          <w:rFonts w:ascii="Times New Roman" w:cs="Times New Roman" w:eastAsia="Times New Roman" w:hAnsi="Times New Roman"/>
          <w:sz w:val="14"/>
          <w:szCs w:val="14"/>
          <w:color w:val="auto"/>
        </w:rPr>
        <w:t>The audited financial statements of Lucid Group, Inc. as of and for the year ended December 31, 2022 incorporated by reference in this prospectus supplement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8" w:name="page29"/>
    <w:bookmarkEnd w:id="28"/>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18" w:lineRule="exact"/>
        <w:rPr>
          <w:sz w:val="20"/>
          <w:szCs w:val="20"/>
          <w:color w:val="auto"/>
        </w:rPr>
      </w:pPr>
    </w:p>
    <w:p>
      <w:pPr>
        <w:ind w:left="1400" w:right="1639" w:firstLine="271"/>
        <w:spacing w:after="0" w:line="24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http://www.sec.gov. Please note that the SEC’s website is included in this prospectus supplement and the accompanying prospectus as an inactive textual reference only. The information contained on the SEC’s website is not incorporated by reference into this prospectus supplement and should not be considered to be part of this prospectus supplement, except as described in the following paragraph.</w:t>
      </w:r>
    </w:p>
    <w:p>
      <w:pPr>
        <w:spacing w:after="0" w:line="96" w:lineRule="exact"/>
        <w:rPr>
          <w:sz w:val="20"/>
          <w:szCs w:val="20"/>
          <w:color w:val="auto"/>
        </w:rPr>
      </w:pPr>
    </w:p>
    <w:p>
      <w:pPr>
        <w:ind w:left="1400" w:right="1439" w:firstLine="271"/>
        <w:spacing w:after="0" w:line="244" w:lineRule="auto"/>
        <w:rPr>
          <w:sz w:val="20"/>
          <w:szCs w:val="20"/>
          <w:color w:val="auto"/>
        </w:rPr>
      </w:pPr>
      <w:r>
        <w:rPr>
          <w:rFonts w:ascii="Times New Roman" w:cs="Times New Roman" w:eastAsia="Times New Roman" w:hAnsi="Times New Roman"/>
          <w:sz w:val="14"/>
          <w:szCs w:val="14"/>
          <w:color w:val="auto"/>
        </w:rPr>
        <w:t>We “incorporate by reference” into this prospectus supplement and the accompanying prospectus certain information we file with the SEC, which means that we can disclose important information to you by referring you to those documents. The information incorporated by reference is an important part of this prospectus supplement. Certain information that we subsequently file with the SEC will automatically update and supersede information in this prospectus supplement and in our other filings with the SEC. We incorporate by reference the documents listed below, which we have already filed with the SEC, and any future filings we make with the SEC under Sections 13(a), 13(c), 14 or 15(d) of the Exchange Act, until all the Securities offered by this prospectus supplement have been sold and all conditions to the consummation of such sales have been satisfied, except that we are not incorporating any information included in a Current Report on Form 8-K that has been or will be furnished (and not filed) with the SEC, unless such information is expressly incorporated herein by a reference in a furnished Current Report on Form 8-K or other furnished document:</w:t>
      </w:r>
    </w:p>
    <w:p>
      <w:pPr>
        <w:spacing w:after="0" w:line="73" w:lineRule="exact"/>
        <w:rPr>
          <w:sz w:val="20"/>
          <w:szCs w:val="20"/>
          <w:color w:val="auto"/>
        </w:rPr>
      </w:pPr>
    </w:p>
    <w:p>
      <w:pPr>
        <w:ind w:left="1820" w:right="1419" w:hanging="141"/>
        <w:spacing w:after="0" w:line="263" w:lineRule="auto"/>
        <w:tabs>
          <w:tab w:leader="none" w:pos="1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57">
        <w:r>
          <w:rPr>
            <w:rFonts w:ascii="Times New Roman" w:cs="Times New Roman" w:eastAsia="Times New Roman" w:hAnsi="Times New Roman"/>
            <w:sz w:val="14"/>
            <w:szCs w:val="14"/>
            <w:u w:val="single" w:color="auto"/>
            <w:color w:val="0000EE"/>
          </w:rPr>
          <w:t>Annual Report on Form 10-K for the fiscal year ended December 31, 2024</w:t>
        </w:r>
      </w:hyperlink>
      <w:r>
        <w:rPr>
          <w:rFonts w:ascii="Times New Roman" w:cs="Times New Roman" w:eastAsia="Times New Roman" w:hAnsi="Times New Roman"/>
          <w:sz w:val="14"/>
          <w:szCs w:val="14"/>
          <w:color w:val="auto"/>
        </w:rPr>
        <w:t>, filed with the SEC on February 25, 2025;</w:t>
      </w:r>
    </w:p>
    <w:p>
      <w:pPr>
        <w:spacing w:after="0" w:line="54" w:lineRule="exact"/>
        <w:rPr>
          <w:rFonts w:ascii="Times New Roman" w:cs="Times New Roman" w:eastAsia="Times New Roman" w:hAnsi="Times New Roman"/>
          <w:sz w:val="14"/>
          <w:szCs w:val="14"/>
          <w:color w:val="auto"/>
        </w:rPr>
      </w:pPr>
    </w:p>
    <w:p>
      <w:pPr>
        <w:ind w:left="1820" w:right="1439" w:hanging="141"/>
        <w:spacing w:after="0" w:line="253" w:lineRule="auto"/>
        <w:tabs>
          <w:tab w:leader="none" w:pos="1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58">
        <w:r>
          <w:rPr>
            <w:rFonts w:ascii="Times New Roman" w:cs="Times New Roman" w:eastAsia="Times New Roman" w:hAnsi="Times New Roman"/>
            <w:sz w:val="14"/>
            <w:szCs w:val="14"/>
            <w:u w:val="single" w:color="auto"/>
            <w:color w:val="0000EE"/>
          </w:rPr>
          <w:t>January 28,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9">
        <w:r>
          <w:rPr>
            <w:rFonts w:ascii="Times New Roman" w:cs="Times New Roman" w:eastAsia="Times New Roman" w:hAnsi="Times New Roman"/>
            <w:sz w:val="14"/>
            <w:szCs w:val="14"/>
            <w:u w:val="single" w:color="auto"/>
            <w:color w:val="0000EE"/>
          </w:rPr>
          <w:t>February 25, 2025</w:t>
        </w:r>
      </w:hyperlink>
      <w:r>
        <w:rPr>
          <w:rFonts w:ascii="Times New Roman" w:cs="Times New Roman" w:eastAsia="Times New Roman" w:hAnsi="Times New Roman"/>
          <w:sz w:val="14"/>
          <w:szCs w:val="14"/>
          <w:color w:val="auto"/>
        </w:rPr>
        <w:t xml:space="preserve"> (except for any portions of such Current Reports on Form 8-K furnished pursuant to Item 2.02 and/or Item 7.01 thereof and any corresponding exhibits thereto not filed with the SEC);</w:t>
      </w:r>
    </w:p>
    <w:p>
      <w:pPr>
        <w:spacing w:after="0" w:line="61" w:lineRule="exact"/>
        <w:rPr>
          <w:rFonts w:ascii="Times New Roman" w:cs="Times New Roman" w:eastAsia="Times New Roman" w:hAnsi="Times New Roman"/>
          <w:sz w:val="14"/>
          <w:szCs w:val="14"/>
          <w:color w:val="auto"/>
        </w:rPr>
      </w:pPr>
    </w:p>
    <w:p>
      <w:pPr>
        <w:ind w:left="1820" w:right="1659" w:hanging="141"/>
        <w:spacing w:after="0" w:line="253" w:lineRule="auto"/>
        <w:tabs>
          <w:tab w:leader="none" w:pos="1820" w:val="left"/>
        </w:tabs>
        <w:numPr>
          <w:ilvl w:val="0"/>
          <w:numId w:val="12"/>
        </w:numPr>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auto"/>
          </w:rPr>
          <w:t xml:space="preserve">information specifically incorporated by reference into our </w:t>
        </w:r>
        <w:r>
          <w:rPr>
            <w:rFonts w:ascii="Times New Roman" w:cs="Times New Roman" w:eastAsia="Times New Roman" w:hAnsi="Times New Roman"/>
            <w:sz w:val="14"/>
            <w:szCs w:val="14"/>
            <w:u w:val="single" w:color="auto"/>
            <w:color w:val="0000EE"/>
          </w:rPr>
          <w:t>Annual Report on Form 10-K for the</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fiscal year ended 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from</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our Definitive Proxy Statement on Schedule 14A filed</w:t>
        </w:r>
      </w:hyperlink>
      <w:r>
        <w:rPr>
          <w:rFonts w:ascii="Times New Roman" w:cs="Times New Roman" w:eastAsia="Times New Roman" w:hAnsi="Times New Roman"/>
          <w:sz w:val="14"/>
          <w:szCs w:val="14"/>
          <w:color w:val="0000EE"/>
        </w:rPr>
        <w:t xml:space="preserve"> </w:t>
      </w:r>
      <w:hyperlink r:id="rId61">
        <w:r>
          <w:rPr>
            <w:rFonts w:ascii="Times New Roman" w:cs="Times New Roman" w:eastAsia="Times New Roman" w:hAnsi="Times New Roman"/>
            <w:sz w:val="14"/>
            <w:szCs w:val="14"/>
            <w:u w:val="single" w:color="auto"/>
            <w:color w:val="0000EE"/>
          </w:rPr>
          <w:t>with the SEC on April 25, 2024</w:t>
        </w:r>
        <w:r>
          <w:rPr>
            <w:rFonts w:ascii="Times New Roman" w:cs="Times New Roman" w:eastAsia="Times New Roman" w:hAnsi="Times New Roman"/>
            <w:sz w:val="14"/>
            <w:szCs w:val="14"/>
            <w:color w:val="000000"/>
          </w:rPr>
          <w:t>; and</w:t>
        </w:r>
      </w:hyperlink>
    </w:p>
    <w:p>
      <w:pPr>
        <w:spacing w:after="0" w:line="61" w:lineRule="exact"/>
        <w:rPr>
          <w:rFonts w:ascii="Times New Roman" w:cs="Times New Roman" w:eastAsia="Times New Roman" w:hAnsi="Times New Roman"/>
          <w:sz w:val="14"/>
          <w:szCs w:val="14"/>
          <w:color w:val="0000EE"/>
        </w:rPr>
      </w:pPr>
    </w:p>
    <w:p>
      <w:pPr>
        <w:ind w:left="1820" w:right="1479" w:hanging="141"/>
        <w:spacing w:after="0" w:line="249" w:lineRule="auto"/>
        <w:tabs>
          <w:tab w:leader="none" w:pos="1820" w:val="left"/>
        </w:tabs>
        <w:numPr>
          <w:ilvl w:val="0"/>
          <w:numId w:val="12"/>
        </w:numPr>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auto"/>
          </w:rPr>
          <w:t xml:space="preserve">the description of our securities contained in our Registration Statement on </w:t>
        </w:r>
        <w:r>
          <w:rPr>
            <w:rFonts w:ascii="Times New Roman" w:cs="Times New Roman" w:eastAsia="Times New Roman" w:hAnsi="Times New Roman"/>
            <w:sz w:val="14"/>
            <w:szCs w:val="14"/>
            <w:u w:val="single" w:color="auto"/>
            <w:color w:val="0000EE"/>
          </w:rPr>
          <w:t>Form 8-A (File No. 001-</w:t>
        </w:r>
      </w:hyperlink>
      <w:hyperlink r:id="rId62">
        <w:r>
          <w:rPr>
            <w:rFonts w:ascii="Times New Roman" w:cs="Times New Roman" w:eastAsia="Times New Roman" w:hAnsi="Times New Roman"/>
            <w:sz w:val="14"/>
            <w:szCs w:val="14"/>
            <w:u w:val="single" w:color="auto"/>
            <w:color w:val="0000EE"/>
          </w:rPr>
          <w:t>39408), filed with the SEC on July 23, 2021</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any amendments or reports filed for the purpose of</w:t>
        </w:r>
      </w:hyperlink>
      <w:r>
        <w:rPr>
          <w:rFonts w:ascii="Times New Roman" w:cs="Times New Roman" w:eastAsia="Times New Roman" w:hAnsi="Times New Roman"/>
          <w:sz w:val="14"/>
          <w:szCs w:val="14"/>
          <w:color w:val="0000EE"/>
        </w:rPr>
        <w:t xml:space="preserve"> </w:t>
      </w:r>
      <w:hyperlink r:id="rId63">
        <w:r>
          <w:rPr>
            <w:rFonts w:ascii="Times New Roman" w:cs="Times New Roman" w:eastAsia="Times New Roman" w:hAnsi="Times New Roman"/>
            <w:sz w:val="14"/>
            <w:szCs w:val="14"/>
            <w:color w:val="000000"/>
          </w:rPr>
          <w:t xml:space="preserve">updating such description, including </w:t>
        </w:r>
        <w:r>
          <w:rPr>
            <w:rFonts w:ascii="Times New Roman" w:cs="Times New Roman" w:eastAsia="Times New Roman" w:hAnsi="Times New Roman"/>
            <w:sz w:val="14"/>
            <w:szCs w:val="14"/>
            <w:u w:val="single" w:color="auto"/>
            <w:color w:val="0000EE"/>
          </w:rPr>
          <w:t>Exhibit 4.8 of our Annual Report on Form 10-K for the fiscal</w:t>
        </w:r>
      </w:hyperlink>
      <w:r>
        <w:rPr>
          <w:rFonts w:ascii="Times New Roman" w:cs="Times New Roman" w:eastAsia="Times New Roman" w:hAnsi="Times New Roman"/>
          <w:sz w:val="14"/>
          <w:szCs w:val="14"/>
          <w:color w:val="000000"/>
        </w:rPr>
        <w:t xml:space="preserve"> </w:t>
      </w:r>
      <w:hyperlink r:id="rId63">
        <w:r>
          <w:rPr>
            <w:rFonts w:ascii="Times New Roman" w:cs="Times New Roman" w:eastAsia="Times New Roman" w:hAnsi="Times New Roman"/>
            <w:sz w:val="14"/>
            <w:szCs w:val="14"/>
            <w:u w:val="single" w:color="auto"/>
            <w:color w:val="0000EE"/>
          </w:rPr>
          <w:t>year ended December 31, 2024</w:t>
        </w:r>
        <w:r>
          <w:rPr>
            <w:rFonts w:ascii="Times New Roman" w:cs="Times New Roman" w:eastAsia="Times New Roman" w:hAnsi="Times New Roman"/>
            <w:sz w:val="14"/>
            <w:szCs w:val="14"/>
            <w:color w:val="000000"/>
          </w:rPr>
          <w:t>, filed with the SEC on February 25, 2025.</w:t>
        </w:r>
      </w:hyperlink>
    </w:p>
    <w:p>
      <w:pPr>
        <w:spacing w:after="0" w:line="86" w:lineRule="exact"/>
        <w:rPr>
          <w:rFonts w:ascii="Times New Roman" w:cs="Times New Roman" w:eastAsia="Times New Roman" w:hAnsi="Times New Roman"/>
          <w:sz w:val="14"/>
          <w:szCs w:val="14"/>
          <w:color w:val="0000EE"/>
        </w:rPr>
      </w:pPr>
    </w:p>
    <w:p>
      <w:pPr>
        <w:ind w:left="1680"/>
        <w:spacing w:after="0"/>
        <w:rPr>
          <w:sz w:val="20"/>
          <w:szCs w:val="20"/>
          <w:color w:val="auto"/>
        </w:rPr>
      </w:pPr>
      <w:r>
        <w:rPr>
          <w:rFonts w:ascii="Times New Roman" w:cs="Times New Roman" w:eastAsia="Times New Roman" w:hAnsi="Times New Roman"/>
          <w:sz w:val="14"/>
          <w:szCs w:val="14"/>
          <w:color w:val="auto"/>
        </w:rPr>
        <w:t>You may request a copy of these filings, at no cost to you, by contacting us by mail: 7373 Gateway</w:t>
      </w:r>
    </w:p>
    <w:p>
      <w:pPr>
        <w:spacing w:after="0" w:line="14" w:lineRule="exact"/>
        <w:rPr>
          <w:rFonts w:ascii="Times New Roman" w:cs="Times New Roman" w:eastAsia="Times New Roman" w:hAnsi="Times New Roman"/>
          <w:sz w:val="14"/>
          <w:szCs w:val="14"/>
          <w:color w:val="0000EE"/>
        </w:rPr>
      </w:pPr>
    </w:p>
    <w:p>
      <w:pPr>
        <w:ind w:left="1400"/>
        <w:spacing w:after="0"/>
        <w:rPr>
          <w:sz w:val="20"/>
          <w:szCs w:val="20"/>
          <w:color w:val="auto"/>
        </w:rPr>
      </w:pPr>
      <w:r>
        <w:rPr>
          <w:rFonts w:ascii="Times New Roman" w:cs="Times New Roman" w:eastAsia="Times New Roman" w:hAnsi="Times New Roman"/>
          <w:sz w:val="14"/>
          <w:szCs w:val="14"/>
          <w:color w:val="auto"/>
        </w:rPr>
        <w:t>Boulevard, Newark, CA 94560, Attention: Investor Relations, by email: investor@lucidmotors.com or by</w:t>
      </w:r>
    </w:p>
    <w:p>
      <w:pPr>
        <w:spacing w:after="0" w:line="2" w:lineRule="exact"/>
        <w:rPr>
          <w:rFonts w:ascii="Times New Roman" w:cs="Times New Roman" w:eastAsia="Times New Roman" w:hAnsi="Times New Roman"/>
          <w:sz w:val="14"/>
          <w:szCs w:val="14"/>
          <w:color w:val="0000EE"/>
        </w:rPr>
      </w:pPr>
    </w:p>
    <w:p>
      <w:pPr>
        <w:ind w:left="1400"/>
        <w:spacing w:after="0"/>
        <w:rPr>
          <w:sz w:val="20"/>
          <w:szCs w:val="20"/>
          <w:color w:val="auto"/>
        </w:rPr>
      </w:pPr>
      <w:r>
        <w:rPr>
          <w:rFonts w:ascii="Times New Roman" w:cs="Times New Roman" w:eastAsia="Times New Roman" w:hAnsi="Times New Roman"/>
          <w:sz w:val="14"/>
          <w:szCs w:val="14"/>
          <w:color w:val="auto"/>
        </w:rPr>
        <w:t>telephone: (510) 648-3553.</w:t>
      </w: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357"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9" w:name="page30"/>
    <w:bookmarkEnd w:id="29"/>
    <w:p>
      <w:pPr>
        <w:ind w:left="460"/>
        <w:spacing w:after="0"/>
        <w:rPr>
          <w:sz w:val="20"/>
          <w:szCs w:val="20"/>
          <w:color w:val="auto"/>
        </w:rPr>
      </w:pPr>
      <w:r>
        <w:rPr>
          <w:rFonts w:ascii="Calibri" w:cs="Calibri" w:eastAsia="Calibri" w:hAnsi="Calibri"/>
          <w:sz w:val="11"/>
          <w:szCs w:val="11"/>
          <w:color w:val="003366"/>
        </w:rPr>
        <w:t>TABLE OF CONTENTS</w:t>
      </w:r>
    </w:p>
    <w:p>
      <w:pPr>
        <w:spacing w:after="0" w:line="3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LUCID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76835</wp:posOffset>
            </wp:positionV>
            <wp:extent cx="2670810" cy="174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670810" cy="17462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Depositary Shares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Debt Securities</w:t>
      </w:r>
    </w:p>
    <w:p>
      <w:pPr>
        <w:ind w:left="416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Subscription Rights</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Purchase Contracts</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72390</wp:posOffset>
            </wp:positionV>
            <wp:extent cx="93154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931545" cy="6350"/>
                    </a:xfrm>
                    <a:prstGeom prst="rect">
                      <a:avLst/>
                    </a:prstGeom>
                    <a:noFill/>
                  </pic:spPr>
                </pic:pic>
              </a:graphicData>
            </a:graphic>
          </wp:anchor>
        </w:drawing>
      </w:r>
    </w:p>
    <w:p>
      <w:pPr>
        <w:spacing w:after="0" w:line="20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We may offer, issue and sell, together or separately:</w:t>
      </w:r>
    </w:p>
    <w:p>
      <w:pPr>
        <w:spacing w:after="0" w:line="73" w:lineRule="exact"/>
        <w:rPr>
          <w:sz w:val="20"/>
          <w:szCs w:val="20"/>
          <w:color w:val="auto"/>
        </w:rPr>
      </w:pPr>
    </w:p>
    <w:p>
      <w:pPr>
        <w:ind w:left="1240" w:hanging="140"/>
        <w:spacing w:after="0"/>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common stock;</w:t>
      </w:r>
    </w:p>
    <w:p>
      <w:pPr>
        <w:spacing w:after="0" w:line="73" w:lineRule="exact"/>
        <w:rPr>
          <w:rFonts w:ascii="Times New Roman" w:cs="Times New Roman" w:eastAsia="Times New Roman" w:hAnsi="Times New Roman"/>
          <w:sz w:val="14"/>
          <w:szCs w:val="14"/>
          <w:color w:val="auto"/>
        </w:rPr>
      </w:pPr>
    </w:p>
    <w:p>
      <w:pPr>
        <w:ind w:left="1240" w:hanging="140"/>
        <w:spacing w:after="0"/>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preferred stock, which may be issued in one or more series;</w:t>
      </w:r>
    </w:p>
    <w:p>
      <w:pPr>
        <w:spacing w:after="0" w:line="63" w:lineRule="exact"/>
        <w:rPr>
          <w:rFonts w:ascii="Times New Roman" w:cs="Times New Roman" w:eastAsia="Times New Roman" w:hAnsi="Times New Roman"/>
          <w:sz w:val="14"/>
          <w:szCs w:val="14"/>
          <w:color w:val="auto"/>
        </w:rPr>
      </w:pPr>
    </w:p>
    <w:p>
      <w:pPr>
        <w:ind w:left="1240" w:hanging="140"/>
        <w:spacing w:after="0"/>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receipts, representing fractional shares of our preferred stock, which are called depositary shares;</w:t>
      </w:r>
    </w:p>
    <w:p>
      <w:pPr>
        <w:spacing w:after="0" w:line="73" w:lineRule="exact"/>
        <w:rPr>
          <w:rFonts w:ascii="Times New Roman" w:cs="Times New Roman" w:eastAsia="Times New Roman" w:hAnsi="Times New Roman"/>
          <w:sz w:val="14"/>
          <w:szCs w:val="14"/>
          <w:color w:val="auto"/>
        </w:rPr>
      </w:pPr>
    </w:p>
    <w:p>
      <w:pPr>
        <w:ind w:left="1240" w:right="959" w:hanging="140"/>
        <w:spacing w:after="0" w:line="248"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which may be issued in one or more series and which may be senior debt securities or subordinated debt securities;</w:t>
      </w:r>
    </w:p>
    <w:p>
      <w:pPr>
        <w:spacing w:after="0" w:line="44" w:lineRule="exact"/>
        <w:rPr>
          <w:rFonts w:ascii="Times New Roman" w:cs="Times New Roman" w:eastAsia="Times New Roman" w:hAnsi="Times New Roman"/>
          <w:sz w:val="14"/>
          <w:szCs w:val="14"/>
          <w:color w:val="auto"/>
        </w:rPr>
      </w:pPr>
    </w:p>
    <w:p>
      <w:pPr>
        <w:ind w:left="1240" w:hanging="140"/>
        <w:spacing w:after="0"/>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shares of our common stock, shares of our preferred stock or our debt securities;</w:t>
      </w:r>
    </w:p>
    <w:p>
      <w:pPr>
        <w:spacing w:after="0" w:line="73" w:lineRule="exact"/>
        <w:rPr>
          <w:rFonts w:ascii="Times New Roman" w:cs="Times New Roman" w:eastAsia="Times New Roman" w:hAnsi="Times New Roman"/>
          <w:sz w:val="14"/>
          <w:szCs w:val="14"/>
          <w:color w:val="auto"/>
        </w:rPr>
      </w:pPr>
    </w:p>
    <w:p>
      <w:pPr>
        <w:ind w:left="1240" w:hanging="140"/>
        <w:spacing w:after="0"/>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rights to purchase shares of our common stock, shares of our preferred stock or our debt securities;</w:t>
      </w:r>
    </w:p>
    <w:p>
      <w:pPr>
        <w:spacing w:after="0" w:line="73" w:lineRule="exact"/>
        <w:rPr>
          <w:rFonts w:ascii="Times New Roman" w:cs="Times New Roman" w:eastAsia="Times New Roman" w:hAnsi="Times New Roman"/>
          <w:sz w:val="14"/>
          <w:szCs w:val="14"/>
          <w:color w:val="auto"/>
        </w:rPr>
      </w:pPr>
    </w:p>
    <w:p>
      <w:pPr>
        <w:ind w:left="1240" w:hanging="140"/>
        <w:spacing w:after="0"/>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contracts to purchase shares of our common stock, shares of our preferred stock or our debt securities; and</w:t>
      </w:r>
    </w:p>
    <w:p>
      <w:pPr>
        <w:spacing w:after="0" w:line="63" w:lineRule="exact"/>
        <w:rPr>
          <w:rFonts w:ascii="Times New Roman" w:cs="Times New Roman" w:eastAsia="Times New Roman" w:hAnsi="Times New Roman"/>
          <w:sz w:val="14"/>
          <w:szCs w:val="14"/>
          <w:color w:val="auto"/>
        </w:rPr>
      </w:pPr>
    </w:p>
    <w:p>
      <w:pPr>
        <w:ind w:left="1240" w:right="899" w:hanging="140"/>
        <w:spacing w:after="0" w:line="238"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units, each representing ownership of a purchase contract and debt securities, preferred securities or debt obligations of third-parties, including U.S. treasury securities, or any combination of the foregoing, securing the holder’s obligation to purchase our common stock or other securities under the purchase contracts.</w:t>
      </w:r>
    </w:p>
    <w:p>
      <w:pPr>
        <w:spacing w:after="0" w:line="51" w:lineRule="exact"/>
        <w:rPr>
          <w:sz w:val="20"/>
          <w:szCs w:val="20"/>
          <w:color w:val="auto"/>
        </w:rPr>
      </w:pPr>
    </w:p>
    <w:p>
      <w:pPr>
        <w:ind w:left="820" w:right="859" w:firstLine="272"/>
        <w:spacing w:after="0" w:line="248" w:lineRule="auto"/>
        <w:rPr>
          <w:sz w:val="20"/>
          <w:szCs w:val="20"/>
          <w:color w:val="auto"/>
        </w:rPr>
      </w:pPr>
      <w:r>
        <w:rPr>
          <w:rFonts w:ascii="Times New Roman" w:cs="Times New Roman" w:eastAsia="Times New Roman" w:hAnsi="Times New Roman"/>
          <w:sz w:val="14"/>
          <w:szCs w:val="14"/>
          <w:color w:val="auto"/>
        </w:rPr>
        <w:t>In addition, selling securityholders may offer and sell, from time to time, these securities on terms described in a prospectus supplement.</w:t>
      </w:r>
    </w:p>
    <w:p>
      <w:pPr>
        <w:spacing w:after="0" w:line="54" w:lineRule="exact"/>
        <w:rPr>
          <w:sz w:val="20"/>
          <w:szCs w:val="20"/>
          <w:color w:val="auto"/>
        </w:rPr>
      </w:pPr>
    </w:p>
    <w:p>
      <w:pPr>
        <w:ind w:left="820" w:right="919" w:firstLine="272"/>
        <w:spacing w:after="0" w:line="232" w:lineRule="auto"/>
        <w:rPr>
          <w:sz w:val="20"/>
          <w:szCs w:val="20"/>
          <w:color w:val="auto"/>
        </w:rPr>
      </w:pPr>
      <w:r>
        <w:rPr>
          <w:rFonts w:ascii="Times New Roman" w:cs="Times New Roman" w:eastAsia="Times New Roman" w:hAnsi="Times New Roman"/>
          <w:sz w:val="14"/>
          <w:szCs w:val="14"/>
          <w:color w:val="auto"/>
        </w:rPr>
        <w:t>This prospectus describes some of the general terms that may apply to these securities. The specific terms of any securities to be offered will be described in a prospectus supplement. The prospectus supplement may also add, update or change information contained in this prospectus. You should read this prospectus and the applicable prospectus supplement carefully before you make your investment decision.</w:t>
      </w:r>
    </w:p>
    <w:p>
      <w:pPr>
        <w:spacing w:after="0" w:line="50" w:lineRule="exact"/>
        <w:rPr>
          <w:sz w:val="20"/>
          <w:szCs w:val="20"/>
          <w:color w:val="auto"/>
        </w:rPr>
      </w:pPr>
    </w:p>
    <w:p>
      <w:pPr>
        <w:ind w:left="820" w:right="859" w:firstLine="272"/>
        <w:spacing w:after="0" w:line="248" w:lineRule="auto"/>
        <w:rPr>
          <w:sz w:val="20"/>
          <w:szCs w:val="20"/>
          <w:color w:val="auto"/>
        </w:rPr>
      </w:pPr>
      <w:r>
        <w:rPr>
          <w:rFonts w:ascii="Times New Roman" w:cs="Times New Roman" w:eastAsia="Times New Roman" w:hAnsi="Times New Roman"/>
          <w:sz w:val="14"/>
          <w:szCs w:val="14"/>
          <w:color w:val="auto"/>
        </w:rPr>
        <w:t>We and/or the selling securityholders may offer and sell these securities to or through one or more underwriters, dealers and agents, or directly to purchasers, on a continuous or delayed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55245</wp:posOffset>
            </wp:positionV>
            <wp:extent cx="93154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931545" cy="6350"/>
                    </a:xfrm>
                    <a:prstGeom prst="rect">
                      <a:avLst/>
                    </a:prstGeom>
                    <a:noFill/>
                  </pic:spPr>
                </pic:pic>
              </a:graphicData>
            </a:graphic>
          </wp:anchor>
        </w:drawing>
      </w:r>
    </w:p>
    <w:p>
      <w:pPr>
        <w:spacing w:after="0" w:line="1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63500</wp:posOffset>
            </wp:positionV>
            <wp:extent cx="93154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931545" cy="6350"/>
                    </a:xfrm>
                    <a:prstGeom prst="rect">
                      <a:avLst/>
                    </a:prstGeom>
                    <a:noFill/>
                  </pic:spPr>
                </pic:pic>
              </a:graphicData>
            </a:graphic>
          </wp:anchor>
        </w:drawing>
      </w:r>
    </w:p>
    <w:p>
      <w:pPr>
        <w:spacing w:after="0" w:line="1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2"/>
          <w:szCs w:val="12"/>
          <w:b w:val="1"/>
          <w:bCs w:val="1"/>
          <w:color w:val="auto"/>
        </w:rPr>
        <w:t xml:space="preserve">Investing in our securities involves a number of risks. See “Risk Factors” on page </w:t>
      </w:r>
      <w:r>
        <w:rPr>
          <w:rFonts w:ascii="Times New Roman" w:cs="Times New Roman" w:eastAsia="Times New Roman" w:hAnsi="Times New Roman"/>
          <w:sz w:val="12"/>
          <w:szCs w:val="12"/>
          <w:b w:val="1"/>
          <w:bCs w:val="1"/>
          <w:u w:val="single" w:color="auto"/>
          <w:color w:val="0000EE"/>
        </w:rPr>
        <w:t>8</w:t>
      </w:r>
      <w:r>
        <w:rPr>
          <w:rFonts w:ascii="Times New Roman" w:cs="Times New Roman" w:eastAsia="Times New Roman" w:hAnsi="Times New Roman"/>
          <w:sz w:val="12"/>
          <w:szCs w:val="12"/>
          <w:b w:val="1"/>
          <w:bCs w:val="1"/>
          <w:color w:val="auto"/>
        </w:rPr>
        <w:t xml:space="preserve"> before you make your investment decision.</w:t>
      </w:r>
    </w:p>
    <w:p>
      <w:pPr>
        <w:spacing w:after="0" w:line="100" w:lineRule="exact"/>
        <w:rPr>
          <w:sz w:val="20"/>
          <w:szCs w:val="20"/>
          <w:color w:val="auto"/>
        </w:rPr>
      </w:pPr>
    </w:p>
    <w:p>
      <w:pPr>
        <w:ind w:left="820" w:right="979" w:firstLine="272"/>
        <w:spacing w:after="0" w:line="232" w:lineRule="auto"/>
        <w:rPr>
          <w:sz w:val="20"/>
          <w:szCs w:val="20"/>
          <w:color w:val="auto"/>
        </w:rPr>
      </w:pPr>
      <w:r>
        <w:rPr>
          <w:rFonts w:ascii="Times New Roman" w:cs="Times New Roman" w:eastAsia="Times New Roman" w:hAnsi="Times New Roman"/>
          <w:sz w:val="14"/>
          <w:szCs w:val="14"/>
          <w:color w:val="auto"/>
        </w:rPr>
        <w:t>We may offer securities through underwriting syndicates managed or co -managed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50" w:lineRule="exact"/>
        <w:rPr>
          <w:sz w:val="20"/>
          <w:szCs w:val="20"/>
          <w:color w:val="auto"/>
        </w:rPr>
      </w:pPr>
    </w:p>
    <w:p>
      <w:pPr>
        <w:ind w:left="820" w:right="1359" w:firstLine="272"/>
        <w:spacing w:after="0" w:line="248" w:lineRule="auto"/>
        <w:rPr>
          <w:sz w:val="20"/>
          <w:szCs w:val="20"/>
          <w:color w:val="auto"/>
        </w:rPr>
      </w:pPr>
      <w:r>
        <w:rPr>
          <w:rFonts w:ascii="Times New Roman" w:cs="Times New Roman" w:eastAsia="Times New Roman" w:hAnsi="Times New Roman"/>
          <w:sz w:val="14"/>
          <w:szCs w:val="14"/>
          <w:color w:val="auto"/>
        </w:rPr>
        <w:t>Our common stock is listed on The Nasdaq Stock Market LLC (“Nasdaq”) under the trading symbol “LCID.” Each prospectus supplement will indicate whether the securities offered thereby will be listed on any securities exchange.</w:t>
      </w:r>
    </w:p>
    <w:p>
      <w:pPr>
        <w:spacing w:after="0" w:line="50" w:lineRule="exact"/>
        <w:rPr>
          <w:sz w:val="20"/>
          <w:szCs w:val="20"/>
          <w:color w:val="auto"/>
        </w:rPr>
      </w:pPr>
    </w:p>
    <w:p>
      <w:pPr>
        <w:ind w:left="820" w:right="959" w:firstLine="272"/>
        <w:spacing w:after="0" w:line="235"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59690</wp:posOffset>
            </wp:positionV>
            <wp:extent cx="93154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31545" cy="6350"/>
                    </a:xfrm>
                    <a:prstGeom prst="rect">
                      <a:avLst/>
                    </a:prstGeom>
                    <a:noFill/>
                  </pic:spPr>
                </pic:pic>
              </a:graphicData>
            </a:graphic>
          </wp:anchor>
        </w:drawing>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date of this prospectus is October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192405</wp:posOffset>
            </wp:positionV>
            <wp:extent cx="516064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0" w:name="page31"/>
    <w:bookmarkEnd w:id="30"/>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31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3932555" cy="123190"/>
                    </a:xfrm>
                    <a:prstGeom prst="rect">
                      <a:avLst/>
                    </a:prstGeom>
                    <a:noFill/>
                  </pic:spPr>
                </pic:pic>
              </a:graphicData>
            </a:graphic>
          </wp:anchor>
        </w:drawing>
      </w:r>
    </w:p>
    <w:p>
      <w:pPr>
        <w:spacing w:after="0" w:line="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FREQUENTLY USED TERMS</w:t>
      </w:r>
    </w:p>
    <w:p>
      <w:pPr>
        <w:spacing w:after="0" w:line="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24130</wp:posOffset>
            </wp:positionV>
            <wp:extent cx="3932555" cy="1295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THE COMPANY</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SUBSCRIPTION RIGHTS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DESCRIPTION OF PURCHASE CONTRACTS AND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SELLING SECURITYHOLDERS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9525</wp:posOffset>
            </wp:positionV>
            <wp:extent cx="3932555" cy="1295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3932555" cy="129540"/>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1"/>
          <w:szCs w:val="21"/>
          <w:b w:val="1"/>
          <w:bCs w:val="1"/>
          <w:color w:val="auto"/>
          <w:vertAlign w:val="subscript"/>
        </w:rPr>
        <w: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480" w:space="720"/>
            <w:col w:w="1819"/>
          </w:cols>
          <w:pgMar w:left="1440" w:top="102" w:right="1440" w:bottom="1440" w:gutter="0" w:footer="0" w:header="0"/>
        </w:sectPr>
      </w:pPr>
    </w:p>
    <w:bookmarkStart w:id="31" w:name="page32"/>
    <w:bookmarkEnd w:id="31"/>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18" w:lineRule="exact"/>
        <w:rPr>
          <w:sz w:val="20"/>
          <w:szCs w:val="20"/>
          <w:color w:val="auto"/>
        </w:rPr>
      </w:pPr>
    </w:p>
    <w:p>
      <w:pPr>
        <w:ind w:left="1400" w:right="1439" w:firstLine="271"/>
        <w:spacing w:after="0" w:line="244"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and/or the selling securityholders may sell from time to time any combination of the securities described in this prospectus. This prospectus only provides you with a general description of the securities that we and/or the selling securityholders may offer. Each time we and/or the selling securityholders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04" w:lineRule="exact"/>
        <w:rPr>
          <w:sz w:val="20"/>
          <w:szCs w:val="20"/>
          <w:color w:val="auto"/>
        </w:rPr>
      </w:pPr>
    </w:p>
    <w:p>
      <w:pPr>
        <w:ind w:left="1400" w:right="1519" w:firstLine="271"/>
        <w:spacing w:after="0" w:line="246"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88" w:lineRule="exact"/>
        <w:rPr>
          <w:sz w:val="20"/>
          <w:szCs w:val="20"/>
          <w:color w:val="auto"/>
        </w:rPr>
      </w:pPr>
    </w:p>
    <w:p>
      <w:pPr>
        <w:ind w:left="1400" w:right="1499" w:firstLine="271"/>
        <w:spacing w:after="0" w:line="263" w:lineRule="auto"/>
        <w:rPr>
          <w:sz w:val="20"/>
          <w:szCs w:val="20"/>
          <w:color w:val="auto"/>
        </w:rPr>
      </w:pPr>
      <w:r>
        <w:rPr>
          <w:rFonts w:ascii="Times New Roman" w:cs="Times New Roman" w:eastAsia="Times New Roman" w:hAnsi="Times New Roman"/>
          <w:sz w:val="14"/>
          <w:szCs w:val="14"/>
          <w:color w:val="auto"/>
        </w:rPr>
        <w:t>The information in this prospectus is accurate as of the date on the front cover. You should not assume that the information contained in this prospectus is accurate as of any other date.</w:t>
      </w:r>
    </w:p>
    <w:p>
      <w:pPr>
        <w:spacing w:after="0" w:line="85" w:lineRule="exact"/>
        <w:rPr>
          <w:sz w:val="20"/>
          <w:szCs w:val="20"/>
          <w:color w:val="auto"/>
        </w:rPr>
      </w:pPr>
    </w:p>
    <w:p>
      <w:pPr>
        <w:jc w:val="both"/>
        <w:ind w:left="1400" w:right="1539" w:firstLine="271"/>
        <w:spacing w:after="0" w:line="263" w:lineRule="auto"/>
        <w:rPr>
          <w:sz w:val="20"/>
          <w:szCs w:val="20"/>
          <w:color w:val="auto"/>
        </w:rPr>
      </w:pPr>
      <w:r>
        <w:rPr>
          <w:rFonts w:ascii="Times New Roman" w:cs="Times New Roman" w:eastAsia="Times New Roman" w:hAnsi="Times New Roman"/>
          <w:sz w:val="14"/>
          <w:szCs w:val="14"/>
          <w:color w:val="auto"/>
        </w:rPr>
        <w:t>When used in this prospectus, the terms “Lucid,” the “Company,” “we,” “our” and “us” refer to Lucid Group, Inc. and its consolidated subsidiaries, unless otherwise specified or the context otherwise requires.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18" w:lineRule="exact"/>
        <w:rPr>
          <w:sz w:val="20"/>
          <w:szCs w:val="20"/>
          <w:color w:val="auto"/>
        </w:rPr>
      </w:pPr>
    </w:p>
    <w:p>
      <w:pPr>
        <w:ind w:left="1400" w:right="1699" w:firstLine="271"/>
        <w:spacing w:after="0" w:line="253"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82" w:lineRule="exact"/>
        <w:rPr>
          <w:sz w:val="20"/>
          <w:szCs w:val="20"/>
          <w:color w:val="auto"/>
        </w:rPr>
      </w:pPr>
    </w:p>
    <w:p>
      <w:pPr>
        <w:ind w:left="1400" w:right="1459" w:firstLine="271"/>
        <w:spacing w:after="0" w:line="245"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252" w:lineRule="exact"/>
        <w:rPr>
          <w:sz w:val="20"/>
          <w:szCs w:val="20"/>
          <w:color w:val="auto"/>
        </w:rPr>
      </w:pPr>
    </w:p>
    <w:p>
      <w:pPr>
        <w:ind w:left="1820" w:right="1779" w:hanging="141"/>
        <w:spacing w:after="0" w:line="263" w:lineRule="auto"/>
        <w:tabs>
          <w:tab w:leader="none" w:pos="1820" w:val="left"/>
        </w:tabs>
        <w:numPr>
          <w:ilvl w:val="0"/>
          <w:numId w:val="14"/>
        </w:numPr>
        <w:rPr>
          <w:rFonts w:ascii="Times New Roman" w:cs="Times New Roman" w:eastAsia="Times New Roman" w:hAnsi="Times New Roman"/>
          <w:sz w:val="14"/>
          <w:szCs w:val="14"/>
          <w:u w:val="single" w:color="auto"/>
          <w:color w:val="0000EE"/>
        </w:rPr>
      </w:pPr>
      <w:hyperlink r:id="rId81">
        <w:r>
          <w:rPr>
            <w:rFonts w:ascii="Times New Roman" w:cs="Times New Roman" w:eastAsia="Times New Roman" w:hAnsi="Times New Roman"/>
            <w:sz w:val="14"/>
            <w:szCs w:val="14"/>
            <w:u w:val="single" w:color="auto"/>
            <w:color w:val="0000EE"/>
          </w:rPr>
          <w:t>our Annual Report on Form 10-K for the year ended December 31, 2023, filed with the SEC on</w:t>
        </w:r>
      </w:hyperlink>
      <w:r>
        <w:rPr>
          <w:rFonts w:ascii="Times New Roman" w:cs="Times New Roman" w:eastAsia="Times New Roman" w:hAnsi="Times New Roman"/>
          <w:sz w:val="14"/>
          <w:szCs w:val="14"/>
          <w:u w:val="single" w:color="auto"/>
          <w:color w:val="0000EE"/>
        </w:rPr>
        <w:t xml:space="preserve"> </w:t>
      </w:r>
      <w:hyperlink r:id="rId81">
        <w:r>
          <w:rPr>
            <w:rFonts w:ascii="Times New Roman" w:cs="Times New Roman" w:eastAsia="Times New Roman" w:hAnsi="Times New Roman"/>
            <w:sz w:val="14"/>
            <w:szCs w:val="14"/>
            <w:u w:val="single" w:color="auto"/>
            <w:color w:val="0000EE"/>
          </w:rPr>
          <w:t>February 27, 2024 (the “Annual Report”);</w:t>
        </w:r>
      </w:hyperlink>
    </w:p>
    <w:p>
      <w:pPr>
        <w:spacing w:after="0" w:line="64" w:lineRule="exact"/>
        <w:rPr>
          <w:rFonts w:ascii="Times New Roman" w:cs="Times New Roman" w:eastAsia="Times New Roman" w:hAnsi="Times New Roman"/>
          <w:sz w:val="14"/>
          <w:szCs w:val="14"/>
          <w:u w:val="single" w:color="auto"/>
          <w:color w:val="0000EE"/>
        </w:rPr>
      </w:pPr>
    </w:p>
    <w:p>
      <w:pPr>
        <w:ind w:left="1820" w:right="1519" w:hanging="141"/>
        <w:spacing w:after="0" w:line="253" w:lineRule="auto"/>
        <w:tabs>
          <w:tab w:leader="none" w:pos="1820" w:val="left"/>
        </w:tabs>
        <w:numPr>
          <w:ilvl w:val="0"/>
          <w:numId w:val="1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information specifically incorporated by reference into our Annual Report on Form 10-K for the </w:t>
      </w:r>
      <w:hyperlink r:id="rId82">
        <w:r>
          <w:rPr>
            <w:rFonts w:ascii="Times New Roman" w:cs="Times New Roman" w:eastAsia="Times New Roman" w:hAnsi="Times New Roman"/>
            <w:sz w:val="14"/>
            <w:szCs w:val="14"/>
            <w:color w:val="auto"/>
          </w:rPr>
          <w:t xml:space="preserve">fiscal year ended December 31, 2023 from our </w:t>
        </w:r>
        <w:r>
          <w:rPr>
            <w:rFonts w:ascii="Times New Roman" w:cs="Times New Roman" w:eastAsia="Times New Roman" w:hAnsi="Times New Roman"/>
            <w:sz w:val="14"/>
            <w:szCs w:val="14"/>
            <w:u w:val="single" w:color="auto"/>
            <w:color w:val="0000EE"/>
          </w:rPr>
          <w:t>definitive proxy statement on Schedule 14A, filed</w:t>
        </w:r>
      </w:hyperlink>
      <w:r>
        <w:rPr>
          <w:rFonts w:ascii="Times New Roman" w:cs="Times New Roman" w:eastAsia="Times New Roman" w:hAnsi="Times New Roman"/>
          <w:sz w:val="14"/>
          <w:szCs w:val="14"/>
          <w:color w:val="auto"/>
        </w:rPr>
        <w:t xml:space="preserve"> </w:t>
      </w:r>
      <w:hyperlink r:id="rId82">
        <w:r>
          <w:rPr>
            <w:rFonts w:ascii="Times New Roman" w:cs="Times New Roman" w:eastAsia="Times New Roman" w:hAnsi="Times New Roman"/>
            <w:sz w:val="14"/>
            <w:szCs w:val="14"/>
            <w:u w:val="single" w:color="auto"/>
            <w:color w:val="0000EE"/>
          </w:rPr>
          <w:t>with the SEC on April 25, 2024</w:t>
        </w:r>
        <w:r>
          <w:rPr>
            <w:rFonts w:ascii="Times New Roman" w:cs="Times New Roman" w:eastAsia="Times New Roman" w:hAnsi="Times New Roman"/>
            <w:sz w:val="14"/>
            <w:szCs w:val="14"/>
            <w:color w:val="000000"/>
          </w:rPr>
          <w:t>;</w:t>
        </w:r>
      </w:hyperlink>
    </w:p>
    <w:p>
      <w:pPr>
        <w:spacing w:after="0" w:line="71" w:lineRule="exact"/>
        <w:rPr>
          <w:rFonts w:ascii="Times New Roman" w:cs="Times New Roman" w:eastAsia="Times New Roman" w:hAnsi="Times New Roman"/>
          <w:sz w:val="14"/>
          <w:szCs w:val="14"/>
          <w:color w:val="0000EE"/>
        </w:rPr>
      </w:pPr>
    </w:p>
    <w:p>
      <w:pPr>
        <w:ind w:left="1820" w:right="1479" w:hanging="141"/>
        <w:spacing w:after="0" w:line="263" w:lineRule="auto"/>
        <w:tabs>
          <w:tab w:leader="none" w:pos="1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2024 and June 30, 2024, filed with the SEC on </w:t>
      </w:r>
      <w:hyperlink r:id="rId83">
        <w:r>
          <w:rPr>
            <w:rFonts w:ascii="Times New Roman" w:cs="Times New Roman" w:eastAsia="Times New Roman" w:hAnsi="Times New Roman"/>
            <w:sz w:val="14"/>
            <w:szCs w:val="14"/>
            <w:u w:val="single" w:color="auto"/>
            <w:color w:val="0000EE"/>
          </w:rPr>
          <w:t>May 6,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84">
        <w:r>
          <w:rPr>
            <w:rFonts w:ascii="Times New Roman" w:cs="Times New Roman" w:eastAsia="Times New Roman" w:hAnsi="Times New Roman"/>
            <w:sz w:val="14"/>
            <w:szCs w:val="14"/>
            <w:u w:val="single" w:color="auto"/>
            <w:color w:val="0000EE"/>
          </w:rPr>
          <w:t>August 5, 2024</w:t>
        </w:r>
      </w:hyperlink>
      <w:r>
        <w:rPr>
          <w:rFonts w:ascii="Times New Roman" w:cs="Times New Roman" w:eastAsia="Times New Roman" w:hAnsi="Times New Roman"/>
          <w:sz w:val="14"/>
          <w:szCs w:val="14"/>
          <w:color w:val="auto"/>
        </w:rPr>
        <w:t>, respectively;</w:t>
      </w:r>
    </w:p>
    <w:p>
      <w:pPr>
        <w:spacing w:after="0" w:line="74" w:lineRule="exact"/>
        <w:rPr>
          <w:rFonts w:ascii="Times New Roman" w:cs="Times New Roman" w:eastAsia="Times New Roman" w:hAnsi="Times New Roman"/>
          <w:sz w:val="14"/>
          <w:szCs w:val="14"/>
          <w:color w:val="auto"/>
        </w:rPr>
      </w:pPr>
    </w:p>
    <w:p>
      <w:pPr>
        <w:ind w:left="1820" w:right="1639" w:hanging="141"/>
        <w:spacing w:after="0" w:line="249" w:lineRule="auto"/>
        <w:tabs>
          <w:tab w:leader="none" w:pos="1820" w:val="left"/>
        </w:tabs>
        <w:numPr>
          <w:ilvl w:val="0"/>
          <w:numId w:val="1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85">
        <w:r>
          <w:rPr>
            <w:rFonts w:ascii="Times New Roman" w:cs="Times New Roman" w:eastAsia="Times New Roman" w:hAnsi="Times New Roman"/>
            <w:sz w:val="14"/>
            <w:szCs w:val="14"/>
            <w:u w:val="single" w:color="auto"/>
            <w:color w:val="0000EE"/>
          </w:rPr>
          <w:t>January 26, 2024</w:t>
        </w:r>
      </w:hyperlink>
      <w:r>
        <w:rPr>
          <w:rFonts w:ascii="Times New Roman" w:cs="Times New Roman" w:eastAsia="Times New Roman" w:hAnsi="Times New Roman"/>
          <w:sz w:val="14"/>
          <w:szCs w:val="14"/>
          <w:color w:val="auto"/>
        </w:rPr>
        <w:t xml:space="preserve">, </w:t>
      </w:r>
      <w:hyperlink r:id="rId86">
        <w:r>
          <w:rPr>
            <w:rFonts w:ascii="Times New Roman" w:cs="Times New Roman" w:eastAsia="Times New Roman" w:hAnsi="Times New Roman"/>
            <w:sz w:val="14"/>
            <w:szCs w:val="14"/>
            <w:u w:val="single" w:color="auto"/>
            <w:color w:val="0000EE"/>
          </w:rPr>
          <w:t>February 15, 2024</w:t>
        </w:r>
      </w:hyperlink>
      <w:r>
        <w:rPr>
          <w:rFonts w:ascii="Times New Roman" w:cs="Times New Roman" w:eastAsia="Times New Roman" w:hAnsi="Times New Roman"/>
          <w:sz w:val="14"/>
          <w:szCs w:val="14"/>
          <w:color w:val="auto"/>
        </w:rPr>
        <w:t xml:space="preserve">, </w:t>
      </w:r>
      <w:hyperlink r:id="rId87">
        <w:r>
          <w:rPr>
            <w:rFonts w:ascii="Times New Roman" w:cs="Times New Roman" w:eastAsia="Times New Roman" w:hAnsi="Times New Roman"/>
            <w:sz w:val="14"/>
            <w:szCs w:val="14"/>
            <w:u w:val="single" w:color="auto"/>
            <w:color w:val="0000EE"/>
          </w:rPr>
          <w:t>March 25, 2024</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March 29, 2024</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May 6,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(only with respect to Item 5.02 therein),</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May 24,</w:t>
        </w:r>
      </w:hyperlink>
      <w:r>
        <w:rPr>
          <w:rFonts w:ascii="Times New Roman" w:cs="Times New Roman" w:eastAsia="Times New Roman" w:hAnsi="Times New Roman"/>
          <w:sz w:val="14"/>
          <w:szCs w:val="14"/>
          <w:color w:val="0000EE"/>
        </w:rPr>
        <w:t xml:space="preserve"> </w:t>
      </w:r>
      <w:hyperlink r:id="rId87">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(only with respect to Item 2.05 therein),</w:t>
        </w:r>
        <w:r>
          <w:rPr>
            <w:rFonts w:ascii="Times New Roman" w:cs="Times New Roman" w:eastAsia="Times New Roman" w:hAnsi="Times New Roman"/>
            <w:sz w:val="14"/>
            <w:szCs w:val="14"/>
            <w:color w:val="0000EE"/>
          </w:rPr>
          <w:t xml:space="preserve"> </w:t>
        </w:r>
      </w:hyperlink>
      <w:hyperlink r:id="rId88">
        <w:r>
          <w:rPr>
            <w:rFonts w:ascii="Times New Roman" w:cs="Times New Roman" w:eastAsia="Times New Roman" w:hAnsi="Times New Roman"/>
            <w:sz w:val="14"/>
            <w:szCs w:val="14"/>
            <w:u w:val="single" w:color="auto"/>
            <w:color w:val="0000EE"/>
          </w:rPr>
          <w:t>June 6, 2024</w:t>
        </w:r>
      </w:hyperlink>
      <w:hyperlink r:id="rId87">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89">
        <w:r>
          <w:rPr>
            <w:rFonts w:ascii="Times New Roman" w:cs="Times New Roman" w:eastAsia="Times New Roman" w:hAnsi="Times New Roman"/>
            <w:sz w:val="14"/>
            <w:szCs w:val="14"/>
            <w:u w:val="single" w:color="auto"/>
            <w:color w:val="0000EE"/>
          </w:rPr>
          <w:t xml:space="preserve">August 5, 2024 </w:t>
        </w:r>
      </w:hyperlink>
      <w:hyperlink r:id="rId87">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90">
        <w:r>
          <w:rPr>
            <w:rFonts w:ascii="Times New Roman" w:cs="Times New Roman" w:eastAsia="Times New Roman" w:hAnsi="Times New Roman"/>
            <w:sz w:val="14"/>
            <w:szCs w:val="14"/>
            <w:u w:val="single" w:color="auto"/>
            <w:color w:val="0000EE"/>
          </w:rPr>
          <w:t>August 19,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279"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2" w:name="page33"/>
    <w:bookmarkEnd w:id="32"/>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820" w:right="1479" w:hanging="141"/>
        <w:spacing w:after="0" w:line="253" w:lineRule="auto"/>
        <w:tabs>
          <w:tab w:leader="none" w:pos="18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capital stock contained in </w:t>
      </w:r>
      <w:hyperlink r:id="rId92">
        <w:r>
          <w:rPr>
            <w:rFonts w:ascii="Times New Roman" w:cs="Times New Roman" w:eastAsia="Times New Roman" w:hAnsi="Times New Roman"/>
            <w:sz w:val="14"/>
            <w:szCs w:val="14"/>
            <w:u w:val="single" w:color="auto"/>
            <w:color w:val="0000EE"/>
          </w:rPr>
          <w:t>Exhibit 4.6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our Annual Report on Form 10-K for the year ended December 31, 2021, filed with the SEC on February 28, 2022, and any amendment or report filed for the purpose of updating such description.</w:t>
      </w:r>
    </w:p>
    <w:p>
      <w:pPr>
        <w:spacing w:after="0" w:line="92" w:lineRule="exact"/>
        <w:rPr>
          <w:sz w:val="20"/>
          <w:szCs w:val="20"/>
          <w:color w:val="auto"/>
        </w:rPr>
      </w:pPr>
    </w:p>
    <w:p>
      <w:pPr>
        <w:ind w:left="1400" w:right="1459" w:firstLine="271"/>
        <w:spacing w:after="0" w:line="248" w:lineRule="auto"/>
        <w:rPr>
          <w:sz w:val="20"/>
          <w:szCs w:val="20"/>
          <w:color w:val="auto"/>
        </w:rPr>
      </w:pPr>
      <w:r>
        <w:rPr>
          <w:rFonts w:ascii="Times New Roman" w:cs="Times New Roman" w:eastAsia="Times New Roman" w:hAnsi="Times New Roman"/>
          <w:sz w:val="14"/>
          <w:szCs w:val="14"/>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95" w:lineRule="exact"/>
        <w:rPr>
          <w:sz w:val="20"/>
          <w:szCs w:val="20"/>
          <w:color w:val="auto"/>
        </w:rPr>
      </w:pPr>
    </w:p>
    <w:p>
      <w:pPr>
        <w:ind w:left="1400" w:right="1479" w:firstLine="271"/>
        <w:spacing w:after="0" w:line="247"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contact us at Investor Relations at 7373 Gateway Boulevard, Newark, CA 94560, by email: investor@lucidmotors.com, or by telephone: (510) 648-3553.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3" w:name="page34"/>
    <w:bookmarkEnd w:id="33"/>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FREQUENTLY USED TERMS</w:t>
      </w:r>
    </w:p>
    <w:p>
      <w:pPr>
        <w:spacing w:after="0" w:line="1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Unless otherwise stated in this prospectus or the context otherwise requires, references to:</w:t>
      </w:r>
    </w:p>
    <w:p>
      <w:pPr>
        <w:spacing w:after="0" w:line="1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“AMP-1” are to our Advanced Manufacturing Plant-1 in Casa Grande, Arizona;</w:t>
      </w:r>
    </w:p>
    <w:p>
      <w:pPr>
        <w:spacing w:after="0" w:line="104" w:lineRule="exact"/>
        <w:rPr>
          <w:sz w:val="20"/>
          <w:szCs w:val="20"/>
          <w:color w:val="auto"/>
        </w:rPr>
      </w:pPr>
    </w:p>
    <w:p>
      <w:pPr>
        <w:ind w:left="1400" w:right="1699" w:firstLine="271"/>
        <w:spacing w:after="0" w:line="253" w:lineRule="auto"/>
        <w:rPr>
          <w:sz w:val="20"/>
          <w:szCs w:val="20"/>
          <w:color w:val="auto"/>
        </w:rPr>
      </w:pPr>
      <w:r>
        <w:rPr>
          <w:rFonts w:ascii="Times New Roman" w:cs="Times New Roman" w:eastAsia="Times New Roman" w:hAnsi="Times New Roman"/>
          <w:sz w:val="14"/>
          <w:szCs w:val="14"/>
          <w:color w:val="auto"/>
        </w:rPr>
        <w:t>“AMP-2” are to our planned Advanced Manufacturing Plant-2 in Saudi Arabia, which consists of a semi knocked-down portion that has been completed and a completely-built-up portion that will be constructed;</w:t>
      </w:r>
    </w:p>
    <w:p>
      <w:pPr>
        <w:spacing w:after="0" w:line="92" w:lineRule="exact"/>
        <w:rPr>
          <w:sz w:val="20"/>
          <w:szCs w:val="20"/>
          <w:color w:val="auto"/>
        </w:rPr>
      </w:pPr>
    </w:p>
    <w:p>
      <w:pPr>
        <w:ind w:left="1400" w:right="1419" w:firstLine="271"/>
        <w:spacing w:after="0" w:line="263" w:lineRule="auto"/>
        <w:rPr>
          <w:sz w:val="20"/>
          <w:szCs w:val="20"/>
          <w:color w:val="auto"/>
        </w:rPr>
      </w:pPr>
      <w:r>
        <w:rPr>
          <w:rFonts w:ascii="Times New Roman" w:cs="Times New Roman" w:eastAsia="Times New Roman" w:hAnsi="Times New Roman"/>
          <w:sz w:val="14"/>
          <w:szCs w:val="14"/>
          <w:color w:val="auto"/>
        </w:rPr>
        <w:t>“Ayar” are to Ayar Third Investment Company, an affiliate of PIF and the controlling stockholder of the Company;</w:t>
      </w:r>
    </w:p>
    <w:p>
      <w:pPr>
        <w:spacing w:after="0" w:line="85" w:lineRule="exact"/>
        <w:rPr>
          <w:sz w:val="20"/>
          <w:szCs w:val="20"/>
          <w:color w:val="auto"/>
        </w:rPr>
      </w:pPr>
    </w:p>
    <w:p>
      <w:pPr>
        <w:ind w:left="1400" w:right="1979" w:firstLine="271"/>
        <w:spacing w:after="0" w:line="263" w:lineRule="auto"/>
        <w:rPr>
          <w:sz w:val="20"/>
          <w:szCs w:val="20"/>
          <w:color w:val="auto"/>
        </w:rPr>
      </w:pPr>
      <w:r>
        <w:rPr>
          <w:rFonts w:ascii="Times New Roman" w:cs="Times New Roman" w:eastAsia="Times New Roman" w:hAnsi="Times New Roman"/>
          <w:sz w:val="14"/>
          <w:szCs w:val="14"/>
          <w:color w:val="auto"/>
        </w:rPr>
        <w:t>“Board” or “Board of Directors” are to the board of directors of Lucid Group Inc., a Delaware corporation;</w:t>
      </w:r>
    </w:p>
    <w:p>
      <w:pPr>
        <w:spacing w:after="0" w:line="75" w:lineRule="exact"/>
        <w:rPr>
          <w:sz w:val="20"/>
          <w:szCs w:val="20"/>
          <w:color w:val="auto"/>
        </w:rPr>
      </w:pPr>
    </w:p>
    <w:p>
      <w:pPr>
        <w:ind w:left="1400" w:right="1579" w:firstLine="271"/>
        <w:spacing w:after="0" w:line="253" w:lineRule="auto"/>
        <w:rPr>
          <w:sz w:val="20"/>
          <w:szCs w:val="20"/>
          <w:color w:val="auto"/>
        </w:rPr>
      </w:pPr>
      <w:r>
        <w:rPr>
          <w:rFonts w:ascii="Times New Roman" w:cs="Times New Roman" w:eastAsia="Times New Roman" w:hAnsi="Times New Roman"/>
          <w:sz w:val="14"/>
          <w:szCs w:val="14"/>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92" w:lineRule="exact"/>
        <w:rPr>
          <w:sz w:val="20"/>
          <w:szCs w:val="20"/>
          <w:color w:val="auto"/>
        </w:rPr>
      </w:pPr>
    </w:p>
    <w:p>
      <w:pPr>
        <w:ind w:left="1680" w:right="1579"/>
        <w:spacing w:after="0" w:line="402" w:lineRule="auto"/>
        <w:rPr>
          <w:sz w:val="20"/>
          <w:szCs w:val="20"/>
          <w:color w:val="auto"/>
        </w:rPr>
      </w:pPr>
      <w:r>
        <w:rPr>
          <w:rFonts w:ascii="Times New Roman" w:cs="Times New Roman" w:eastAsia="Times New Roman" w:hAnsi="Times New Roman"/>
          <w:sz w:val="14"/>
          <w:szCs w:val="14"/>
          <w:color w:val="auto"/>
        </w:rPr>
        <w:t>“Churchill IPO” are to the initial public offering by Churchill which closed on August 3, 2020; “common stock” are to the Class A common stock of Lucid Group, Inc., par value $0.0001 per share;</w:t>
      </w:r>
    </w:p>
    <w:p>
      <w:pPr>
        <w:spacing w:after="0" w:line="1" w:lineRule="exact"/>
        <w:rPr>
          <w:sz w:val="20"/>
          <w:szCs w:val="20"/>
          <w:color w:val="auto"/>
        </w:rPr>
      </w:pPr>
    </w:p>
    <w:p>
      <w:pPr>
        <w:ind w:left="1400" w:right="1559" w:firstLine="271"/>
        <w:spacing w:after="0" w:line="263" w:lineRule="auto"/>
        <w:rPr>
          <w:sz w:val="20"/>
          <w:szCs w:val="20"/>
          <w:color w:val="auto"/>
        </w:rPr>
      </w:pPr>
      <w:r>
        <w:rPr>
          <w:rFonts w:ascii="Times New Roman" w:cs="Times New Roman" w:eastAsia="Times New Roman" w:hAnsi="Times New Roman"/>
          <w:sz w:val="14"/>
          <w:szCs w:val="14"/>
          <w:color w:val="auto"/>
        </w:rPr>
        <w:t>“current bylaws” are to the Company’s Second Amended and Restated Bylaws in effect as of the date of this prospectus;</w:t>
      </w:r>
    </w:p>
    <w:p>
      <w:pPr>
        <w:spacing w:after="0" w:line="85" w:lineRule="exact"/>
        <w:rPr>
          <w:sz w:val="20"/>
          <w:szCs w:val="20"/>
          <w:color w:val="auto"/>
        </w:rPr>
      </w:pPr>
    </w:p>
    <w:p>
      <w:pPr>
        <w:ind w:left="1400" w:right="1499" w:firstLine="271"/>
        <w:spacing w:after="0" w:line="263" w:lineRule="auto"/>
        <w:rPr>
          <w:sz w:val="20"/>
          <w:szCs w:val="20"/>
          <w:color w:val="auto"/>
        </w:rPr>
      </w:pPr>
      <w:r>
        <w:rPr>
          <w:rFonts w:ascii="Times New Roman" w:cs="Times New Roman" w:eastAsia="Times New Roman" w:hAnsi="Times New Roman"/>
          <w:sz w:val="14"/>
          <w:szCs w:val="14"/>
          <w:color w:val="auto"/>
        </w:rPr>
        <w:t>“current certificate of incorporation” are to the Company’s Third Amended and Restated Certificate of Incorporation in effect as of the date of this prospectus;</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“DGCL” are to the Delaware General Corporation Law, as amended;</w:t>
      </w:r>
    </w:p>
    <w:p>
      <w:pPr>
        <w:spacing w:after="0" w:line="1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“EV” are to electric vehicle;</w:t>
      </w:r>
    </w:p>
    <w:p>
      <w:pPr>
        <w:spacing w:after="0" w:line="114" w:lineRule="exact"/>
        <w:rPr>
          <w:sz w:val="20"/>
          <w:szCs w:val="20"/>
          <w:color w:val="auto"/>
        </w:rPr>
      </w:pPr>
    </w:p>
    <w:p>
      <w:pPr>
        <w:ind w:left="1400" w:right="1519" w:firstLine="271"/>
        <w:spacing w:after="0" w:line="253" w:lineRule="auto"/>
        <w:rPr>
          <w:sz w:val="20"/>
          <w:szCs w:val="20"/>
          <w:color w:val="auto"/>
        </w:rPr>
      </w:pPr>
      <w:r>
        <w:rPr>
          <w:rFonts w:ascii="Times New Roman" w:cs="Times New Roman" w:eastAsia="Times New Roman" w:hAnsi="Times New Roman"/>
          <w:sz w:val="14"/>
          <w:szCs w:val="14"/>
          <w:color w:val="auto"/>
        </w:rPr>
        <w:t>“Investor Rights Agreement” are to the Investor Rights Agreement, dated as of February 22, 2021 and as may be amended from time to time, by and among the Company, the Sponsor, Ayar and certain other parties thereto;</w:t>
      </w:r>
    </w:p>
    <w:p>
      <w:pPr>
        <w:spacing w:after="0" w:line="92" w:lineRule="exact"/>
        <w:rPr>
          <w:sz w:val="20"/>
          <w:szCs w:val="20"/>
          <w:color w:val="auto"/>
        </w:rPr>
      </w:pPr>
    </w:p>
    <w:p>
      <w:pPr>
        <w:ind w:left="1400" w:right="1539" w:firstLine="271"/>
        <w:spacing w:after="0" w:line="253" w:lineRule="auto"/>
        <w:rPr>
          <w:sz w:val="20"/>
          <w:szCs w:val="20"/>
          <w:color w:val="auto"/>
        </w:rPr>
      </w:pPr>
      <w:r>
        <w:rPr>
          <w:rFonts w:ascii="Times New Roman" w:cs="Times New Roman" w:eastAsia="Times New Roman" w:hAnsi="Times New Roman"/>
          <w:sz w:val="14"/>
          <w:szCs w:val="14"/>
          <w:color w:val="auto"/>
        </w:rPr>
        <w:t>“Legacy Lucid” are to Atieva, Inc., d/b/a Lucid Motors, an exempted company incorporated with limited liability under the laws of the Cayman Islands, and its consolidated subsidiaries before the Closing Date;</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“Merger” are to the merger of a merger subsidiary of Churchill and Atieva, Inc., with Atieva, Inc.</w:t>
      </w:r>
    </w:p>
    <w:p>
      <w:pPr>
        <w:spacing w:after="0" w:line="1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surviving such merger as a wholly owned subsidiary of Churchill;</w:t>
      </w:r>
    </w:p>
    <w:p>
      <w:pPr>
        <w:spacing w:after="0" w:line="102" w:lineRule="exact"/>
        <w:rPr>
          <w:sz w:val="20"/>
          <w:szCs w:val="20"/>
          <w:color w:val="auto"/>
        </w:rPr>
      </w:pPr>
    </w:p>
    <w:p>
      <w:pPr>
        <w:ind w:left="1400" w:right="1439" w:firstLine="271"/>
        <w:spacing w:after="0" w:line="249" w:lineRule="auto"/>
        <w:rPr>
          <w:sz w:val="20"/>
          <w:szCs w:val="20"/>
          <w:color w:val="auto"/>
        </w:rPr>
      </w:pPr>
      <w:r>
        <w:rPr>
          <w:rFonts w:ascii="Times New Roman" w:cs="Times New Roman" w:eastAsia="Times New Roman" w:hAnsi="Times New Roman"/>
          <w:sz w:val="14"/>
          <w:szCs w:val="14"/>
          <w:color w:val="auto"/>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spacing w:after="0" w:line="8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“Nasdaq” are to The Nasdaq Stock Market LLC;</w:t>
      </w:r>
    </w:p>
    <w:p>
      <w:pPr>
        <w:spacing w:after="0" w:line="1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“PIF” are to the Public Investment Fund, the sovereign wealth fund of Saudi Arabia;</w:t>
      </w:r>
    </w:p>
    <w:p>
      <w:pPr>
        <w:spacing w:after="0" w:line="114" w:lineRule="exact"/>
        <w:rPr>
          <w:sz w:val="20"/>
          <w:szCs w:val="20"/>
          <w:color w:val="auto"/>
        </w:rPr>
      </w:pPr>
    </w:p>
    <w:p>
      <w:pPr>
        <w:ind w:left="1400" w:right="1779" w:firstLine="271"/>
        <w:spacing w:after="0" w:line="263" w:lineRule="auto"/>
        <w:rPr>
          <w:sz w:val="20"/>
          <w:szCs w:val="20"/>
          <w:color w:val="auto"/>
        </w:rPr>
      </w:pPr>
      <w:r>
        <w:rPr>
          <w:rFonts w:ascii="Times New Roman" w:cs="Times New Roman" w:eastAsia="Times New Roman" w:hAnsi="Times New Roman"/>
          <w:sz w:val="14"/>
          <w:szCs w:val="14"/>
          <w:color w:val="auto"/>
        </w:rPr>
        <w:t>“Redeemable Convertible Preferred Stock” are to the Series A and Series B Convertible Preferred Stock of Lucid Group, Inc., par value $0.0001 per share;</w:t>
      </w:r>
    </w:p>
    <w:p>
      <w:pPr>
        <w:spacing w:after="0" w:line="75" w:lineRule="exact"/>
        <w:rPr>
          <w:sz w:val="20"/>
          <w:szCs w:val="20"/>
          <w:color w:val="auto"/>
        </w:rPr>
      </w:pPr>
    </w:p>
    <w:p>
      <w:pPr>
        <w:ind w:left="1400" w:right="1599" w:firstLine="271"/>
        <w:spacing w:after="0" w:line="253" w:lineRule="auto"/>
        <w:rPr>
          <w:sz w:val="20"/>
          <w:szCs w:val="20"/>
          <w:color w:val="auto"/>
        </w:rPr>
      </w:pPr>
      <w:r>
        <w:rPr>
          <w:rFonts w:ascii="Times New Roman" w:cs="Times New Roman" w:eastAsia="Times New Roman" w:hAnsi="Times New Roman"/>
          <w:sz w:val="14"/>
          <w:szCs w:val="14"/>
          <w:color w:val="auto"/>
        </w:rPr>
        <w:t>“Sponsor” are to Churchill Sponsor IV LLC, a Delaware limited liability company and an affiliate of M. Klein and Company, LLC in which certain of Churchill’s directors and officers hold membership interests;</w:t>
      </w:r>
    </w:p>
    <w:p>
      <w:pPr>
        <w:spacing w:after="0" w:line="92" w:lineRule="exact"/>
        <w:rPr>
          <w:sz w:val="20"/>
          <w:szCs w:val="20"/>
          <w:color w:val="auto"/>
        </w:rPr>
      </w:pPr>
    </w:p>
    <w:p>
      <w:pPr>
        <w:ind w:left="1400" w:right="1559" w:firstLine="271"/>
        <w:spacing w:after="0" w:line="263" w:lineRule="auto"/>
        <w:rPr>
          <w:sz w:val="20"/>
          <w:szCs w:val="20"/>
          <w:color w:val="auto"/>
        </w:rPr>
      </w:pPr>
      <w:r>
        <w:rPr>
          <w:rFonts w:ascii="Times New Roman" w:cs="Times New Roman" w:eastAsia="Times New Roman" w:hAnsi="Times New Roman"/>
          <w:sz w:val="14"/>
          <w:szCs w:val="14"/>
          <w:color w:val="auto"/>
        </w:rPr>
        <w:t>“Transactions” are to the Merger, together with the other transactions consummated under the Merger Agreement and the related agreements; and</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190500</wp:posOffset>
            </wp:positionV>
            <wp:extent cx="516064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4" w:name="page35"/>
    <w:bookmarkEnd w:id="34"/>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539" w:firstLine="271"/>
        <w:spacing w:after="0" w:line="263" w:lineRule="auto"/>
        <w:rPr>
          <w:sz w:val="20"/>
          <w:szCs w:val="20"/>
          <w:color w:val="auto"/>
        </w:rPr>
      </w:pPr>
      <w:r>
        <w:rPr>
          <w:rFonts w:ascii="Times New Roman" w:cs="Times New Roman" w:eastAsia="Times New Roman" w:hAnsi="Times New Roman"/>
          <w:sz w:val="14"/>
          <w:szCs w:val="14"/>
          <w:color w:val="auto"/>
        </w:rPr>
        <w:t>“Private Placement Warrants” are to Churchill’s warrants issued to the Sponsor in a private placement simultaneously with the closing of the Churchill IPO;</w:t>
      </w:r>
    </w:p>
    <w:p>
      <w:pPr>
        <w:spacing w:after="0" w:line="85" w:lineRule="exact"/>
        <w:rPr>
          <w:sz w:val="20"/>
          <w:szCs w:val="20"/>
          <w:color w:val="auto"/>
        </w:rPr>
      </w:pPr>
    </w:p>
    <w:p>
      <w:pPr>
        <w:ind w:left="1400" w:right="1719" w:firstLine="271"/>
        <w:spacing w:after="0" w:line="253" w:lineRule="auto"/>
        <w:rPr>
          <w:sz w:val="20"/>
          <w:szCs w:val="20"/>
          <w:color w:val="auto"/>
        </w:rPr>
      </w:pPr>
      <w:r>
        <w:rPr>
          <w:rFonts w:ascii="Times New Roman" w:cs="Times New Roman" w:eastAsia="Times New Roman" w:hAnsi="Times New Roman"/>
          <w:sz w:val="14"/>
          <w:szCs w:val="14"/>
          <w:color w:val="auto"/>
        </w:rPr>
        <w:t>“Promissory Note”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92" w:lineRule="exact"/>
        <w:rPr>
          <w:sz w:val="20"/>
          <w:szCs w:val="20"/>
          <w:color w:val="auto"/>
        </w:rPr>
      </w:pPr>
    </w:p>
    <w:p>
      <w:pPr>
        <w:ind w:left="1400" w:right="1639" w:firstLine="271"/>
        <w:spacing w:after="0" w:line="263" w:lineRule="auto"/>
        <w:rPr>
          <w:sz w:val="20"/>
          <w:szCs w:val="20"/>
          <w:color w:val="auto"/>
        </w:rPr>
      </w:pPr>
      <w:r>
        <w:rPr>
          <w:rFonts w:ascii="Times New Roman" w:cs="Times New Roman" w:eastAsia="Times New Roman" w:hAnsi="Times New Roman"/>
          <w:sz w:val="14"/>
          <w:szCs w:val="14"/>
          <w:color w:val="auto"/>
        </w:rPr>
        <w:t>“Warrant Agreement” are to the Warrant Agreement, dated July 29, 2020, entered into in connection with the Churchill IPO by and between Continental Stock Transfer &amp; Trust Company and Churchill; and</w:t>
      </w:r>
    </w:p>
    <w:p>
      <w:pPr>
        <w:spacing w:after="0" w:line="75" w:lineRule="exact"/>
        <w:rPr>
          <w:sz w:val="20"/>
          <w:szCs w:val="20"/>
          <w:color w:val="auto"/>
        </w:rPr>
      </w:pPr>
    </w:p>
    <w:p>
      <w:pPr>
        <w:ind w:left="1400" w:right="1519" w:firstLine="271"/>
        <w:spacing w:after="0" w:line="263" w:lineRule="auto"/>
        <w:rPr>
          <w:sz w:val="20"/>
          <w:szCs w:val="20"/>
          <w:color w:val="auto"/>
        </w:rPr>
      </w:pPr>
      <w:r>
        <w:rPr>
          <w:rFonts w:ascii="Times New Roman" w:cs="Times New Roman" w:eastAsia="Times New Roman" w:hAnsi="Times New Roman"/>
          <w:sz w:val="14"/>
          <w:szCs w:val="14"/>
          <w:color w:val="auto"/>
        </w:rPr>
        <w:t>“Working Capital Warrants” are to the Company’s warrants to purchase common stock pursuant to the terms of the Promissory Note, on terms identical to the terms of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5" w:name="page36"/>
    <w:bookmarkEnd w:id="35"/>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18" w:lineRule="exact"/>
        <w:rPr>
          <w:sz w:val="20"/>
          <w:szCs w:val="20"/>
          <w:color w:val="auto"/>
        </w:rPr>
      </w:pPr>
    </w:p>
    <w:p>
      <w:pPr>
        <w:ind w:left="1400" w:right="1459" w:firstLine="271"/>
        <w:spacing w:after="0" w:line="248"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documents incorporated by reference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w:t>
      </w:r>
    </w:p>
    <w:p>
      <w:pPr>
        <w:spacing w:after="0" w:line="95" w:lineRule="exact"/>
        <w:rPr>
          <w:sz w:val="20"/>
          <w:szCs w:val="20"/>
          <w:color w:val="auto"/>
        </w:rPr>
      </w:pPr>
    </w:p>
    <w:p>
      <w:pPr>
        <w:ind w:left="1400" w:right="1479" w:firstLine="271"/>
        <w:spacing w:after="0" w:line="244" w:lineRule="auto"/>
        <w:rPr>
          <w:sz w:val="20"/>
          <w:szCs w:val="20"/>
          <w:color w:val="auto"/>
        </w:rPr>
      </w:pPr>
      <w:r>
        <w:rPr>
          <w:rFonts w:ascii="Times New Roman" w:cs="Times New Roman" w:eastAsia="Times New Roman" w:hAnsi="Times New Roman"/>
          <w:sz w:val="14"/>
          <w:szCs w:val="14"/>
          <w:color w:val="auto"/>
        </w:rPr>
        <w:t>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232" w:lineRule="exact"/>
        <w:rPr>
          <w:sz w:val="20"/>
          <w:szCs w:val="20"/>
          <w:color w:val="auto"/>
        </w:rPr>
      </w:pPr>
    </w:p>
    <w:p>
      <w:pPr>
        <w:jc w:val="both"/>
        <w:ind w:left="1820" w:right="1459" w:hanging="141"/>
        <w:spacing w:after="0" w:line="253" w:lineRule="auto"/>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w:t>
      </w:r>
    </w:p>
    <w:p>
      <w:pPr>
        <w:spacing w:after="0" w:line="61" w:lineRule="exact"/>
        <w:rPr>
          <w:rFonts w:ascii="Times New Roman" w:cs="Times New Roman" w:eastAsia="Times New Roman" w:hAnsi="Times New Roman"/>
          <w:sz w:val="14"/>
          <w:szCs w:val="14"/>
          <w:color w:val="auto"/>
        </w:rPr>
      </w:pPr>
    </w:p>
    <w:p>
      <w:pPr>
        <w:ind w:left="1820" w:right="1599" w:hanging="141"/>
        <w:spacing w:after="0" w:line="263" w:lineRule="auto"/>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in overall demand for our products and services and cancellation of orders for our vehicles;</w:t>
      </w:r>
    </w:p>
    <w:p>
      <w:pPr>
        <w:spacing w:after="0" w:line="54" w:lineRule="exact"/>
        <w:rPr>
          <w:rFonts w:ascii="Times New Roman" w:cs="Times New Roman" w:eastAsia="Times New Roman" w:hAnsi="Times New Roman"/>
          <w:sz w:val="14"/>
          <w:szCs w:val="14"/>
          <w:color w:val="auto"/>
        </w:rPr>
      </w:pPr>
    </w:p>
    <w:p>
      <w:pPr>
        <w:ind w:left="1820" w:right="1859" w:hanging="141"/>
        <w:spacing w:after="0" w:line="253" w:lineRule="auto"/>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61"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uncertainty of our projected financial information;</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timing of expected business milestones and commercial product launches;</w:t>
      </w:r>
    </w:p>
    <w:p>
      <w:pPr>
        <w:spacing w:after="0" w:line="83" w:lineRule="exact"/>
        <w:rPr>
          <w:rFonts w:ascii="Times New Roman" w:cs="Times New Roman" w:eastAsia="Times New Roman" w:hAnsi="Times New Roman"/>
          <w:sz w:val="14"/>
          <w:szCs w:val="14"/>
          <w:color w:val="auto"/>
        </w:rPr>
      </w:pPr>
    </w:p>
    <w:p>
      <w:pPr>
        <w:ind w:left="1820" w:right="1579" w:hanging="141"/>
        <w:spacing w:after="0" w:line="263" w:lineRule="auto"/>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expansion of our manufacturing facility, the construction of new manufacturing facilities and the increase of our production capacity;</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issuance and sale of shares of our Redeemable Convertible Preferred Stock;</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expenses and control costs;</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future market adoption of our offerings;</w:t>
      </w:r>
    </w:p>
    <w:p>
      <w:pPr>
        <w:spacing w:after="0" w:line="83" w:lineRule="exact"/>
        <w:rPr>
          <w:rFonts w:ascii="Times New Roman" w:cs="Times New Roman" w:eastAsia="Times New Roman" w:hAnsi="Times New Roman"/>
          <w:sz w:val="14"/>
          <w:szCs w:val="14"/>
          <w:color w:val="auto"/>
        </w:rPr>
      </w:pPr>
    </w:p>
    <w:p>
      <w:pPr>
        <w:ind w:left="1820" w:right="1839" w:hanging="141"/>
        <w:spacing w:after="0" w:line="263" w:lineRule="auto"/>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the pace and depth of electric vehicle adoption generally on our business;</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governmental incentives and fuel and energy prices;</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rapidly innovate;</w:t>
      </w:r>
    </w:p>
    <w:p>
      <w:pPr>
        <w:spacing w:after="0" w:line="83" w:lineRule="exact"/>
        <w:rPr>
          <w:rFonts w:ascii="Times New Roman" w:cs="Times New Roman" w:eastAsia="Times New Roman" w:hAnsi="Times New Roman"/>
          <w:sz w:val="14"/>
          <w:szCs w:val="14"/>
          <w:color w:val="auto"/>
        </w:rPr>
      </w:pPr>
    </w:p>
    <w:p>
      <w:pPr>
        <w:ind w:left="1820" w:right="1459" w:hanging="141"/>
        <w:spacing w:after="0" w:line="253" w:lineRule="auto"/>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or maintain partnerships with original equipment manufacturers, vendors and technology providers, including our ability to realize the anticipated benefits of our transaction with Aston Martin;</w:t>
      </w:r>
    </w:p>
    <w:p>
      <w:pPr>
        <w:spacing w:after="0" w:line="61" w:lineRule="exact"/>
        <w:rPr>
          <w:rFonts w:ascii="Times New Roman" w:cs="Times New Roman" w:eastAsia="Times New Roman" w:hAnsi="Times New Roman"/>
          <w:sz w:val="14"/>
          <w:szCs w:val="14"/>
          <w:color w:val="auto"/>
        </w:rPr>
      </w:pPr>
    </w:p>
    <w:p>
      <w:pPr>
        <w:ind w:left="1820" w:right="1719" w:hanging="141"/>
        <w:spacing w:after="0" w:line="263" w:lineRule="auto"/>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and recruit and retain key employees, including our chief executive officer and executive team;</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6" w:name="page37"/>
    <w:bookmarkEnd w:id="36"/>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20" w:hanging="141"/>
        <w:spacing w:after="0"/>
        <w:tabs>
          <w:tab w:leader="none" w:pos="1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vehicle recalls;</w:t>
      </w:r>
    </w:p>
    <w:p>
      <w:pPr>
        <w:spacing w:after="0" w:line="83" w:lineRule="exact"/>
        <w:rPr>
          <w:rFonts w:ascii="Times New Roman" w:cs="Times New Roman" w:eastAsia="Times New Roman" w:hAnsi="Times New Roman"/>
          <w:sz w:val="14"/>
          <w:szCs w:val="14"/>
          <w:color w:val="auto"/>
        </w:rPr>
      </w:pPr>
    </w:p>
    <w:p>
      <w:pPr>
        <w:ind w:left="1820" w:right="1759" w:hanging="141"/>
        <w:spacing w:after="0" w:line="263" w:lineRule="auto"/>
        <w:tabs>
          <w:tab w:leader="none" w:pos="1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expand our brand, and capture additional market share, and the risks associated with negative press or reputational harm;</w:t>
      </w:r>
    </w:p>
    <w:p>
      <w:pPr>
        <w:spacing w:after="0" w:line="54" w:lineRule="exact"/>
        <w:rPr>
          <w:rFonts w:ascii="Times New Roman" w:cs="Times New Roman" w:eastAsia="Times New Roman" w:hAnsi="Times New Roman"/>
          <w:sz w:val="14"/>
          <w:szCs w:val="14"/>
          <w:color w:val="auto"/>
        </w:rPr>
      </w:pPr>
    </w:p>
    <w:p>
      <w:pPr>
        <w:ind w:left="1820" w:right="1599" w:hanging="141"/>
        <w:spacing w:after="0" w:line="263" w:lineRule="auto"/>
        <w:tabs>
          <w:tab w:leader="none" w:pos="1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utilize zero emission vehicle credits and obtain and utilize certain tax and other incentives;</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conduct equity, equity-linked, or debt financing in the future;</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interest and principal on our indebtedness;</w:t>
      </w:r>
    </w:p>
    <w:p>
      <w:pPr>
        <w:spacing w:after="0" w:line="83" w:lineRule="exact"/>
        <w:rPr>
          <w:rFonts w:ascii="Times New Roman" w:cs="Times New Roman" w:eastAsia="Times New Roman" w:hAnsi="Times New Roman"/>
          <w:sz w:val="14"/>
          <w:szCs w:val="14"/>
          <w:color w:val="auto"/>
        </w:rPr>
      </w:pPr>
    </w:p>
    <w:p>
      <w:pPr>
        <w:ind w:left="1820" w:right="2039" w:hanging="141"/>
        <w:spacing w:after="0" w:line="263" w:lineRule="auto"/>
        <w:tabs>
          <w:tab w:leader="none" w:pos="1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changes to vehicle specifications which may impact performance, pricing, and other expectations;</w:t>
      </w:r>
    </w:p>
    <w:p>
      <w:pPr>
        <w:spacing w:after="0" w:line="54" w:lineRule="exact"/>
        <w:rPr>
          <w:rFonts w:ascii="Times New Roman" w:cs="Times New Roman" w:eastAsia="Times New Roman" w:hAnsi="Times New Roman"/>
          <w:sz w:val="14"/>
          <w:szCs w:val="14"/>
          <w:color w:val="auto"/>
        </w:rPr>
      </w:pPr>
    </w:p>
    <w:p>
      <w:pPr>
        <w:ind w:left="1820" w:right="1579" w:hanging="141"/>
        <w:spacing w:after="0" w:line="263" w:lineRule="auto"/>
        <w:tabs>
          <w:tab w:leader="none" w:pos="1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potential litigation, government and regulatory proceedings, investigations and inquiries; and</w:t>
      </w:r>
    </w:p>
    <w:p>
      <w:pPr>
        <w:spacing w:after="0" w:line="54" w:lineRule="exact"/>
        <w:rPr>
          <w:rFonts w:ascii="Times New Roman" w:cs="Times New Roman" w:eastAsia="Times New Roman" w:hAnsi="Times New Roman"/>
          <w:sz w:val="14"/>
          <w:szCs w:val="14"/>
          <w:color w:val="auto"/>
        </w:rPr>
      </w:pPr>
    </w:p>
    <w:p>
      <w:pPr>
        <w:ind w:left="1820" w:right="2139" w:hanging="141"/>
        <w:spacing w:after="0" w:line="263" w:lineRule="auto"/>
        <w:tabs>
          <w:tab w:leader="none" w:pos="1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this prospectus or our other filings with the SEC, including any accompanying prospectus supplement.</w:t>
      </w:r>
    </w:p>
    <w:p>
      <w:pPr>
        <w:spacing w:after="0" w:line="85" w:lineRule="exact"/>
        <w:rPr>
          <w:sz w:val="20"/>
          <w:szCs w:val="20"/>
          <w:color w:val="auto"/>
        </w:rPr>
      </w:pPr>
    </w:p>
    <w:p>
      <w:pPr>
        <w:ind w:left="1400" w:right="1499" w:firstLine="271"/>
        <w:spacing w:after="0" w:line="245"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w:t>
      </w:r>
    </w:p>
    <w:p>
      <w:pPr>
        <w:spacing w:after="0" w:line="98" w:lineRule="exact"/>
        <w:rPr>
          <w:sz w:val="20"/>
          <w:szCs w:val="20"/>
          <w:color w:val="auto"/>
        </w:rPr>
      </w:pPr>
    </w:p>
    <w:p>
      <w:pPr>
        <w:ind w:left="1400" w:right="1419" w:firstLine="271"/>
        <w:spacing w:after="0" w:line="246" w:lineRule="auto"/>
        <w:rPr>
          <w:sz w:val="20"/>
          <w:szCs w:val="20"/>
          <w:color w:val="auto"/>
        </w:rPr>
      </w:pPr>
      <w:r>
        <w:rPr>
          <w:rFonts w:ascii="Times New Roman" w:cs="Times New Roman" w:eastAsia="Times New Roman" w:hAnsi="Times New Roman"/>
          <w:sz w:val="14"/>
          <w:szCs w:val="14"/>
          <w:color w:val="auto"/>
        </w:rPr>
        <w:t>There can be no assurance that other factors not currently anticipated by us will not materially and adversely affect our business, financial condition and results of operations.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7" w:name="page38"/>
    <w:bookmarkEnd w:id="37"/>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16" w:lineRule="exact"/>
        <w:rPr>
          <w:sz w:val="20"/>
          <w:szCs w:val="20"/>
          <w:color w:val="auto"/>
        </w:rPr>
      </w:pPr>
    </w:p>
    <w:p>
      <w:pPr>
        <w:ind w:left="1400" w:right="1539" w:firstLine="271"/>
        <w:spacing w:after="0" w:line="248"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About Lucid</w:t>
      </w:r>
    </w:p>
    <w:p>
      <w:pPr>
        <w:spacing w:after="0" w:line="118" w:lineRule="exact"/>
        <w:rPr>
          <w:sz w:val="20"/>
          <w:szCs w:val="20"/>
          <w:color w:val="auto"/>
        </w:rPr>
      </w:pPr>
    </w:p>
    <w:p>
      <w:pPr>
        <w:ind w:left="1400" w:right="1519" w:firstLine="271"/>
        <w:spacing w:after="0" w:line="253" w:lineRule="auto"/>
        <w:rPr>
          <w:sz w:val="20"/>
          <w:szCs w:val="20"/>
          <w:color w:val="auto"/>
        </w:rPr>
      </w:pPr>
      <w:r>
        <w:rPr>
          <w:rFonts w:ascii="Times New Roman" w:cs="Times New Roman" w:eastAsia="Times New Roman" w:hAnsi="Times New Roman"/>
          <w:sz w:val="14"/>
          <w:szCs w:val="14"/>
          <w:color w:val="auto"/>
        </w:rPr>
        <w:t>We are a technology company with a mission to create exceptional experiences to drive the world forward. Our focus on in-house hardware and software innovation, vertical integration, and a “clean sheet” approach to engineering and design led to the development of the award-winning Lucid Air.</w:t>
      </w:r>
    </w:p>
    <w:p>
      <w:pPr>
        <w:spacing w:after="0" w:line="82" w:lineRule="exact"/>
        <w:rPr>
          <w:sz w:val="20"/>
          <w:szCs w:val="20"/>
          <w:color w:val="auto"/>
        </w:rPr>
      </w:pPr>
    </w:p>
    <w:p>
      <w:pPr>
        <w:ind w:left="1400" w:right="1439" w:firstLine="271"/>
        <w:spacing w:after="0" w:line="246" w:lineRule="auto"/>
        <w:rPr>
          <w:sz w:val="20"/>
          <w:szCs w:val="20"/>
          <w:color w:val="auto"/>
        </w:rPr>
      </w:pPr>
      <w:r>
        <w:rPr>
          <w:rFonts w:ascii="Times New Roman" w:cs="Times New Roman" w:eastAsia="Times New Roman" w:hAnsi="Times New Roman"/>
          <w:sz w:val="14"/>
          <w:szCs w:val="14"/>
          <w:color w:val="auto"/>
        </w:rPr>
        <w:t>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w:t>
      </w:r>
    </w:p>
    <w:p>
      <w:pPr>
        <w:spacing w:after="0" w:line="98" w:lineRule="exact"/>
        <w:rPr>
          <w:sz w:val="20"/>
          <w:szCs w:val="20"/>
          <w:color w:val="auto"/>
        </w:rPr>
      </w:pPr>
    </w:p>
    <w:p>
      <w:pPr>
        <w:ind w:left="1400" w:right="1519" w:firstLine="271"/>
        <w:spacing w:after="0" w:line="248" w:lineRule="auto"/>
        <w:rPr>
          <w:sz w:val="20"/>
          <w:szCs w:val="20"/>
          <w:color w:val="auto"/>
        </w:rPr>
      </w:pPr>
      <w:r>
        <w:rPr>
          <w:rFonts w:ascii="Times New Roman" w:cs="Times New Roman" w:eastAsia="Times New Roman" w:hAnsi="Times New Roman"/>
          <w:sz w:val="14"/>
          <w:szCs w:val="14"/>
          <w:color w:val="auto"/>
        </w:rPr>
        <w:t>We began delivering the Lucid Air to customers in October 2021 and we expect to launch additional vehicles over the coming decade. We have leveraged and expanded the technological advancements from the Lucid Air to the Lucid Gravity sport utility vehicle (“SUV”), which is scheduled for start of production in late 2024. After the Lucid Air and the Lucid Gravity SUV, start of production of our Midsize platform is scheduled for late 2026.</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18" w:lineRule="exact"/>
        <w:rPr>
          <w:sz w:val="20"/>
          <w:szCs w:val="20"/>
          <w:color w:val="auto"/>
        </w:rPr>
      </w:pPr>
    </w:p>
    <w:p>
      <w:pPr>
        <w:ind w:left="1400" w:right="1459" w:firstLine="271"/>
        <w:spacing w:after="0" w:line="248" w:lineRule="auto"/>
        <w:rPr>
          <w:sz w:val="20"/>
          <w:szCs w:val="20"/>
          <w:color w:val="auto"/>
        </w:rPr>
      </w:pPr>
      <w:r>
        <w:rPr>
          <w:rFonts w:ascii="Times New Roman" w:cs="Times New Roman" w:eastAsia="Times New Roman" w:hAnsi="Times New Roman"/>
          <w:sz w:val="14"/>
          <w:szCs w:val="14"/>
          <w:color w:val="auto"/>
        </w:rPr>
        <w:t>Lucid Group, Inc. is a Delaware corporation. Our principal executive office is located at 7373 Gateway Boulevard, Newark, CA 94560 and our telephone number is (510) 648-3553. We maintain a website at https://www.lucidmotors.com. The information on our website is not incorporated by reference in this prospectus or any accompanying prospectus supplement, and you should not consider it a part of this prospectus or any accompanying prospectus supplement.</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Controlled Company Exemption</w:t>
      </w:r>
    </w:p>
    <w:p>
      <w:pPr>
        <w:spacing w:after="0" w:line="108" w:lineRule="exact"/>
        <w:rPr>
          <w:sz w:val="20"/>
          <w:szCs w:val="20"/>
          <w:color w:val="auto"/>
        </w:rPr>
      </w:pPr>
    </w:p>
    <w:p>
      <w:pPr>
        <w:ind w:left="1400" w:right="1419" w:firstLine="271"/>
        <w:spacing w:after="0" w:line="247" w:lineRule="auto"/>
        <w:rPr>
          <w:sz w:val="20"/>
          <w:szCs w:val="20"/>
          <w:color w:val="auto"/>
        </w:rPr>
      </w:pPr>
      <w:r>
        <w:rPr>
          <w:rFonts w:ascii="Times New Roman" w:cs="Times New Roman" w:eastAsia="Times New Roman" w:hAnsi="Times New Roman"/>
          <w:sz w:val="14"/>
          <w:szCs w:val="14"/>
          <w:color w:val="auto"/>
        </w:rPr>
        <w:t>As of September 30, 2024,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8" w:name="page39"/>
    <w:bookmarkEnd w:id="38"/>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18" w:lineRule="exact"/>
        <w:rPr>
          <w:sz w:val="20"/>
          <w:szCs w:val="20"/>
          <w:color w:val="auto"/>
        </w:rPr>
      </w:pPr>
    </w:p>
    <w:p>
      <w:pPr>
        <w:ind w:left="1400" w:right="1439" w:firstLine="271"/>
        <w:spacing w:after="0" w:line="245" w:lineRule="auto"/>
        <w:rPr>
          <w:sz w:val="20"/>
          <w:szCs w:val="20"/>
          <w:color w:val="auto"/>
        </w:rPr>
      </w:pPr>
      <w:r>
        <w:rPr>
          <w:rFonts w:ascii="Times New Roman" w:cs="Times New Roman" w:eastAsia="Times New Roman" w:hAnsi="Times New Roman"/>
          <w:sz w:val="14"/>
          <w:szCs w:val="14"/>
          <w:color w:val="auto"/>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9" w:name="page40"/>
    <w:bookmarkEnd w:id="39"/>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18" w:lineRule="exact"/>
        <w:rPr>
          <w:sz w:val="20"/>
          <w:szCs w:val="20"/>
          <w:color w:val="auto"/>
        </w:rPr>
      </w:pPr>
    </w:p>
    <w:p>
      <w:pPr>
        <w:ind w:left="1400" w:right="1599" w:firstLine="271"/>
        <w:spacing w:after="0" w:line="247" w:lineRule="auto"/>
        <w:rPr>
          <w:sz w:val="20"/>
          <w:szCs w:val="20"/>
          <w:color w:val="auto"/>
        </w:rPr>
      </w:pPr>
      <w:r>
        <w:rPr>
          <w:rFonts w:ascii="Times New Roman" w:cs="Times New Roman" w:eastAsia="Times New Roman" w:hAnsi="Times New Roman"/>
          <w:sz w:val="14"/>
          <w:szCs w:val="14"/>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96" w:lineRule="exact"/>
        <w:rPr>
          <w:sz w:val="20"/>
          <w:szCs w:val="20"/>
          <w:color w:val="auto"/>
        </w:rPr>
      </w:pPr>
    </w:p>
    <w:p>
      <w:pPr>
        <w:ind w:left="1400" w:right="1639" w:firstLine="271"/>
        <w:spacing w:after="0" w:line="263" w:lineRule="auto"/>
        <w:rPr>
          <w:sz w:val="20"/>
          <w:szCs w:val="20"/>
          <w:color w:val="auto"/>
        </w:rPr>
      </w:pPr>
      <w:r>
        <w:rPr>
          <w:rFonts w:ascii="Times New Roman" w:cs="Times New Roman" w:eastAsia="Times New Roman" w:hAnsi="Times New Roman"/>
          <w:sz w:val="14"/>
          <w:szCs w:val="14"/>
          <w:color w:val="auto"/>
        </w:rPr>
        <w:t>Unless set forth in an accompanying prospectus supplement, we will not receive any proceeds in the event that securities are sold by a selling securityholder.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0" w:name="page41"/>
    <w:bookmarkEnd w:id="40"/>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18" w:lineRule="exact"/>
        <w:rPr>
          <w:sz w:val="20"/>
          <w:szCs w:val="20"/>
          <w:color w:val="auto"/>
        </w:rPr>
      </w:pPr>
    </w:p>
    <w:p>
      <w:pPr>
        <w:ind w:left="1400" w:right="1539" w:firstLine="271"/>
        <w:spacing w:after="0" w:line="248" w:lineRule="auto"/>
        <w:rPr>
          <w:sz w:val="20"/>
          <w:szCs w:val="20"/>
          <w:color w:val="auto"/>
        </w:rPr>
      </w:pPr>
      <w:r>
        <w:rPr>
          <w:rFonts w:ascii="Times New Roman" w:cs="Times New Roman" w:eastAsia="Times New Roman" w:hAnsi="Times New Roman"/>
          <w:sz w:val="14"/>
          <w:szCs w:val="14"/>
          <w:color w:val="auto"/>
        </w:rPr>
        <w:t>This prospectus contains summary descriptions of the common stock, preferred stock, depositary shares, debt securities,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1" w:name="page42"/>
    <w:bookmarkEnd w:id="41"/>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8" w:lineRule="exact"/>
        <w:rPr>
          <w:sz w:val="20"/>
          <w:szCs w:val="20"/>
          <w:color w:val="auto"/>
        </w:rPr>
      </w:pPr>
    </w:p>
    <w:p>
      <w:pPr>
        <w:ind w:left="1400" w:right="1419" w:firstLine="271"/>
        <w:spacing w:after="0" w:line="236" w:lineRule="auto"/>
        <w:rPr>
          <w:sz w:val="20"/>
          <w:szCs w:val="20"/>
          <w:color w:val="auto"/>
        </w:rPr>
      </w:pPr>
      <w:r>
        <w:rPr>
          <w:rFonts w:ascii="Times New Roman" w:cs="Times New Roman" w:eastAsia="Times New Roman" w:hAnsi="Times New Roman"/>
          <w:sz w:val="14"/>
          <w:szCs w:val="14"/>
          <w:color w:val="auto"/>
        </w:rPr>
        <w:t>The following summary description of our capital stock is based on the provisions of the Delaware General Corporation Law (the “DGCL”), our current certificate of incorporation and our current bylaws. This description does not purport to be complete and is qualified in its entirety by reference to the full text of the DGCL, as it may be amended from time to time, and to the terms of our current certificate of incorporation and our current bylaws, as each may be amended from time to time, which are incorporated by reference as exhibits to the registration statement of which this prospectus is a part. See “Where You Can Find More Information.” As used in this “Description of Capital Stock,” the terms “Lucid,” the “Company”, “we,” “our” and “us” refer to Lucid Group, Inc., a Delaware corporation, and do not, unless otherwise specified, include our subsidiaries.</w:t>
      </w:r>
    </w:p>
    <w:p>
      <w:pPr>
        <w:spacing w:after="0" w:line="93" w:lineRule="exact"/>
        <w:rPr>
          <w:sz w:val="20"/>
          <w:szCs w:val="20"/>
          <w:color w:val="auto"/>
        </w:rPr>
      </w:pPr>
    </w:p>
    <w:p>
      <w:pPr>
        <w:ind w:left="1400" w:right="1439" w:firstLine="271"/>
        <w:spacing w:after="0" w:line="235" w:lineRule="auto"/>
        <w:rPr>
          <w:sz w:val="20"/>
          <w:szCs w:val="20"/>
          <w:color w:val="auto"/>
        </w:rPr>
      </w:pPr>
      <w:r>
        <w:rPr>
          <w:rFonts w:ascii="Times New Roman" w:cs="Times New Roman" w:eastAsia="Times New Roman" w:hAnsi="Times New Roman"/>
          <w:sz w:val="14"/>
          <w:szCs w:val="14"/>
          <w:color w:val="auto"/>
        </w:rPr>
        <w:t>Our authorized capital stock consists of 15,000,000,000 shares of common stock, par value $0.0001 per share, and 10,000,000 shares of preferred stock, par value $0.0001 per share (the “Preferred Stock”). The outstanding shares of common stock are duly authorized, validly issued, fully paid and non-assessable. The number of authorized shares of any class may be increased or decreased by an amendment to our current certificate of incorporation proposed by our Board and approved by a majority of voting shares voted on the issue at a meeting at which a quorum exists.</w:t>
      </w:r>
    </w:p>
    <w:p>
      <w:pPr>
        <w:spacing w:after="0" w:line="93" w:lineRule="exact"/>
        <w:rPr>
          <w:sz w:val="20"/>
          <w:szCs w:val="20"/>
          <w:color w:val="auto"/>
        </w:rPr>
      </w:pPr>
    </w:p>
    <w:p>
      <w:pPr>
        <w:ind w:left="1400" w:right="1659" w:firstLine="271"/>
        <w:spacing w:after="0" w:line="245" w:lineRule="auto"/>
        <w:rPr>
          <w:sz w:val="20"/>
          <w:szCs w:val="20"/>
          <w:color w:val="auto"/>
        </w:rPr>
      </w:pPr>
      <w:r>
        <w:rPr>
          <w:rFonts w:ascii="Times New Roman" w:cs="Times New Roman" w:eastAsia="Times New Roman" w:hAnsi="Times New Roman"/>
          <w:sz w:val="14"/>
          <w:szCs w:val="14"/>
          <w:color w:val="auto"/>
        </w:rPr>
        <w:t>Of the Preferred Stock, we designated 100,000 shares as Series A Convertible Preferred Stock and 75,000 shares as Series B Convertible Preferred Stock (together, the “Redeemable Convertible Preferred Stock”).</w:t>
      </w:r>
    </w:p>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As of September 30, 2024, there were (i) 2,337,518,542 shares of our common stock outstanding,</w:t>
      </w:r>
    </w:p>
    <w:p>
      <w:pPr>
        <w:spacing w:after="0" w:line="6" w:lineRule="exact"/>
        <w:rPr>
          <w:sz w:val="20"/>
          <w:szCs w:val="20"/>
          <w:color w:val="auto"/>
        </w:rPr>
      </w:pPr>
    </w:p>
    <w:p>
      <w:pPr>
        <w:ind w:left="1400" w:right="1679" w:firstLine="8"/>
        <w:spacing w:after="0" w:line="236" w:lineRule="auto"/>
        <w:tabs>
          <w:tab w:leader="none" w:pos="161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 shares of Series A Convertible Preferred Stock outstanding, (iii) 75,000 shares of Series B Convertible Preferred Stock outstanding, and (iv) 44,350,000 shares of common stock issuable upon the exercise of Private Placement Warrants (including the Working Capital Warrants).</w:t>
      </w:r>
    </w:p>
    <w:p>
      <w:pPr>
        <w:spacing w:after="0" w:line="1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6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Voting Power</w:t>
      </w:r>
    </w:p>
    <w:p>
      <w:pPr>
        <w:spacing w:after="0" w:line="118" w:lineRule="exact"/>
        <w:rPr>
          <w:sz w:val="20"/>
          <w:szCs w:val="20"/>
          <w:color w:val="auto"/>
        </w:rPr>
      </w:pPr>
    </w:p>
    <w:p>
      <w:pPr>
        <w:ind w:left="1400" w:right="1459" w:firstLine="271"/>
        <w:spacing w:after="0" w:line="235" w:lineRule="auto"/>
        <w:rPr>
          <w:sz w:val="20"/>
          <w:szCs w:val="20"/>
          <w:color w:val="auto"/>
        </w:rPr>
      </w:pP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5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08" w:lineRule="exact"/>
        <w:rPr>
          <w:sz w:val="20"/>
          <w:szCs w:val="20"/>
          <w:color w:val="auto"/>
        </w:rPr>
      </w:pPr>
    </w:p>
    <w:p>
      <w:pPr>
        <w:ind w:left="1400" w:right="1439" w:firstLine="271"/>
        <w:spacing w:after="0" w:line="245" w:lineRule="auto"/>
        <w:rPr>
          <w:sz w:val="20"/>
          <w:szCs w:val="20"/>
          <w:color w:val="auto"/>
        </w:rPr>
      </w:pPr>
      <w:r>
        <w:rPr>
          <w:rFonts w:ascii="Times New Roman" w:cs="Times New Roman" w:eastAsia="Times New Roman" w:hAnsi="Times New Roman"/>
          <w:sz w:val="14"/>
          <w:szCs w:val="14"/>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 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118" w:lineRule="exact"/>
        <w:rPr>
          <w:sz w:val="20"/>
          <w:szCs w:val="20"/>
          <w:color w:val="auto"/>
        </w:rPr>
      </w:pPr>
    </w:p>
    <w:p>
      <w:pPr>
        <w:ind w:left="1400" w:right="1459" w:firstLine="271"/>
        <w:spacing w:after="0" w:line="263" w:lineRule="auto"/>
        <w:rPr>
          <w:sz w:val="20"/>
          <w:szCs w:val="20"/>
          <w:color w:val="auto"/>
        </w:rPr>
      </w:pPr>
      <w:r>
        <w:rPr>
          <w:rFonts w:ascii="Times New Roman" w:cs="Times New Roman" w:eastAsia="Times New Roman" w:hAnsi="Times New Roman"/>
          <w:sz w:val="14"/>
          <w:szCs w:val="14"/>
          <w:color w:val="auto"/>
        </w:rPr>
        <w:t>In the event of the voluntary or involuntary liquidation, dissolution, or winding-up of the Company, the holders of our common stock will be entitled to receive all the remaining assets of the Company available</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190500</wp:posOffset>
            </wp:positionV>
            <wp:extent cx="516064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2" w:name="page43"/>
    <w:bookmarkEnd w:id="42"/>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400" w:right="1679"/>
        <w:spacing w:after="0" w:line="245" w:lineRule="auto"/>
        <w:rPr>
          <w:sz w:val="20"/>
          <w:szCs w:val="20"/>
          <w:color w:val="auto"/>
        </w:rPr>
      </w:pPr>
      <w:r>
        <w:rPr>
          <w:rFonts w:ascii="Times New Roman" w:cs="Times New Roman" w:eastAsia="Times New Roman" w:hAnsi="Times New Roman"/>
          <w:sz w:val="14"/>
          <w:szCs w:val="14"/>
          <w:color w:val="auto"/>
        </w:rPr>
        <w:t>for distribution to stockholders, ratably in proportion to the number of shares of common stock held by them, after the rights of creditors of the Company and the holders of any outstanding shares of preferred stock have been satisfied.</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Preemptive or Other Rights</w:t>
      </w:r>
    </w:p>
    <w:p>
      <w:pPr>
        <w:spacing w:after="0" w:line="118" w:lineRule="exact"/>
        <w:rPr>
          <w:sz w:val="20"/>
          <w:szCs w:val="20"/>
          <w:color w:val="auto"/>
        </w:rPr>
      </w:pPr>
    </w:p>
    <w:p>
      <w:pPr>
        <w:ind w:left="1400" w:right="1599" w:firstLine="271"/>
        <w:spacing w:after="0" w:line="248" w:lineRule="auto"/>
        <w:rPr>
          <w:sz w:val="20"/>
          <w:szCs w:val="20"/>
          <w:color w:val="auto"/>
        </w:rPr>
      </w:pPr>
      <w:r>
        <w:rPr>
          <w:rFonts w:ascii="Times New Roman" w:cs="Times New Roman" w:eastAsia="Times New Roman" w:hAnsi="Times New Roman"/>
          <w:sz w:val="14"/>
          <w:szCs w:val="14"/>
          <w:color w:val="auto"/>
        </w:rPr>
        <w:t>The holders of our common stock do not have preemptive or other subscription rights and there is no sinking fund or redemption provisions applicable to our common stock.</w:t>
      </w:r>
    </w:p>
    <w:p>
      <w:pPr>
        <w:spacing w:after="0" w:line="85" w:lineRule="exact"/>
        <w:rPr>
          <w:sz w:val="20"/>
          <w:szCs w:val="20"/>
          <w:color w:val="auto"/>
        </w:rPr>
      </w:pPr>
    </w:p>
    <w:p>
      <w:pPr>
        <w:ind w:left="1400" w:right="1459" w:firstLine="271"/>
        <w:spacing w:after="0" w:line="245" w:lineRule="auto"/>
        <w:rPr>
          <w:sz w:val="20"/>
          <w:szCs w:val="20"/>
          <w:color w:val="auto"/>
        </w:rPr>
      </w:pPr>
      <w:r>
        <w:rPr>
          <w:rFonts w:ascii="Times New Roman" w:cs="Times New Roman" w:eastAsia="Times New Roman" w:hAnsi="Times New Roman"/>
          <w:sz w:val="14"/>
          <w:szCs w:val="14"/>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6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18" w:lineRule="exact"/>
        <w:rPr>
          <w:sz w:val="20"/>
          <w:szCs w:val="20"/>
          <w:color w:val="auto"/>
        </w:rPr>
      </w:pPr>
    </w:p>
    <w:p>
      <w:pPr>
        <w:ind w:left="1400" w:right="1419" w:firstLine="271"/>
        <w:spacing w:after="0"/>
        <w:rPr>
          <w:sz w:val="20"/>
          <w:szCs w:val="20"/>
          <w:color w:val="auto"/>
        </w:rPr>
      </w:pPr>
      <w:r>
        <w:rPr>
          <w:rFonts w:ascii="Times New Roman" w:cs="Times New Roman" w:eastAsia="Times New Roman" w:hAnsi="Times New Roman"/>
          <w:sz w:val="14"/>
          <w:szCs w:val="14"/>
          <w:color w:val="auto"/>
        </w:rPr>
        <w:t>This section describes the general terms and provisions of preferred stock that we are authorized to issue. An accompanying prospectus supplement will describe the specific terms of the shares of preferred stock offered through that prospectus supplement, as well as any general terms described in this section that will not apply to those shares of preferred stock. If there are differences between the prospectus supplement relating to a particular series of preferred stock and this prospectus, the prospectus supplement will control. We will file a copy of the certificate of amendment to our current certificate of incorporation that contains the terms of each new series of preferred stock with the Secretary of the State of Delaware and with the SEC each time we issue a new series of preferred stock. Each such certificate of amendment will establish the number of shares included in a designated series and fix the designation, powers, privileges, preferences and rights of the shares of each series as well as any applicable qualifications, limitations or restrictions. You should refer to the applicable certificate of amendment as well as our current certificate of incorporation before deciding to buy shares of our preferred stock as described in any accompanying prospectus supplement.</w:t>
      </w:r>
    </w:p>
    <w:p>
      <w:pPr>
        <w:spacing w:after="0" w:line="207" w:lineRule="exact"/>
        <w:rPr>
          <w:sz w:val="20"/>
          <w:szCs w:val="20"/>
          <w:color w:val="auto"/>
        </w:rPr>
      </w:pPr>
    </w:p>
    <w:p>
      <w:pPr>
        <w:ind w:left="1400" w:right="1459" w:firstLine="271"/>
        <w:spacing w:after="0" w:line="234" w:lineRule="auto"/>
        <w:rPr>
          <w:sz w:val="20"/>
          <w:szCs w:val="20"/>
          <w:color w:val="auto"/>
        </w:rPr>
      </w:pPr>
      <w:r>
        <w:rPr>
          <w:rFonts w:ascii="Times New Roman" w:cs="Times New Roman" w:eastAsia="Times New Roman" w:hAnsi="Times New Roman"/>
          <w:sz w:val="14"/>
          <w:szCs w:val="14"/>
          <w:color w:val="auto"/>
        </w:rPr>
        <w:t>Our current certificate of incorporation provides that shares of preferred stock may be issued from time to time in one or more series. With respect to each series of our preferred stock, our Board has the authority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 -takeover effects. The ability of the Board to issue preferred stock without stockholder approval could have the effect of delaying, deferring or preventing a change of control of us or the removal of existing management.</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w:t>
      </w:r>
    </w:p>
    <w:p>
      <w:pPr>
        <w:spacing w:after="0" w:line="106" w:lineRule="exact"/>
        <w:rPr>
          <w:sz w:val="20"/>
          <w:szCs w:val="20"/>
          <w:color w:val="auto"/>
        </w:rPr>
      </w:pPr>
    </w:p>
    <w:p>
      <w:pPr>
        <w:ind w:left="1400" w:right="1479" w:firstLine="271"/>
        <w:spacing w:after="0" w:line="235" w:lineRule="auto"/>
        <w:rPr>
          <w:sz w:val="20"/>
          <w:szCs w:val="20"/>
          <w:color w:val="auto"/>
        </w:rPr>
      </w:pPr>
      <w:r>
        <w:rPr>
          <w:rFonts w:ascii="Times New Roman" w:cs="Times New Roman" w:eastAsia="Times New Roman" w:hAnsi="Times New Roman"/>
          <w:sz w:val="14"/>
          <w:szCs w:val="14"/>
          <w:i w:val="1"/>
          <w:iCs w:val="1"/>
          <w:color w:val="auto"/>
        </w:rPr>
        <w:t xml:space="preserve">Ranking and Dividend. </w:t>
      </w:r>
      <w:r>
        <w:rPr>
          <w:rFonts w:ascii="Times New Roman" w:cs="Times New Roman" w:eastAsia="Times New Roman" w:hAnsi="Times New Roman"/>
          <w:sz w:val="14"/>
          <w:szCs w:val="14"/>
          <w:color w:val="auto"/>
        </w:rPr>
        <w:t>The Redeemable Convertible Preferred Stock ranks senior to our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with respect to dividends and distributions of assets upon the Company’s liquidation, dissolution or winding up. Each share of the Redeemable Convertible Preferred Stock has an initial value of $10,000 (the “Initial Value”). Dividends on the Redeemable Convertible Preferred Stock is payable in the form of compounded dividends upon each share of Redeemable Convertible Preferred Stock (such payment in kind, “Compounded Returns”). Dividends accrue on the Initial Value (as increased for any Compounded Dividends previously compounded thereon) of each share of Redeemable Convertible Preferred Stock at a rate of 9% per annum and is compound on the basis of quarterly dividend payment dates on each March 31, June 30, September 30 and December 31 of each year, which commenced on June 30, 2024 for the Series A Convertible Preferred Stock and September 30, 2024 for the Series B Convertible Preferred Stock.</w:t>
      </w:r>
    </w:p>
    <w:p>
      <w:pPr>
        <w:spacing w:after="0" w:line="94" w:lineRule="exact"/>
        <w:rPr>
          <w:sz w:val="20"/>
          <w:szCs w:val="20"/>
          <w:color w:val="auto"/>
        </w:rPr>
      </w:pPr>
    </w:p>
    <w:p>
      <w:pPr>
        <w:ind w:left="1400" w:right="1459" w:firstLine="271"/>
        <w:spacing w:after="0" w:line="241" w:lineRule="auto"/>
        <w:rPr>
          <w:sz w:val="20"/>
          <w:szCs w:val="20"/>
          <w:color w:val="auto"/>
        </w:rPr>
      </w:pPr>
      <w:r>
        <w:rPr>
          <w:rFonts w:ascii="Times New Roman" w:cs="Times New Roman" w:eastAsia="Times New Roman" w:hAnsi="Times New Roman"/>
          <w:sz w:val="14"/>
          <w:szCs w:val="14"/>
          <w:i w:val="1"/>
          <w:iCs w:val="1"/>
          <w:color w:val="auto"/>
        </w:rPr>
        <w:t xml:space="preserve">Liquidation Preference. </w:t>
      </w:r>
      <w:r>
        <w:rPr>
          <w:rFonts w:ascii="Times New Roman" w:cs="Times New Roman" w:eastAsia="Times New Roman" w:hAnsi="Times New Roman"/>
          <w:sz w:val="14"/>
          <w:szCs w:val="14"/>
          <w:color w:val="auto"/>
        </w:rPr>
        <w:t>Upon a liquidation, dissolution or winding up of the Company, each holder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Redeemable Convertible Preferred Stock (“Holder”) is entitled to receive, with respect to each share of then -outstanding Redeemable Convertible Preferred Stock, out of the assets of the Company available for distribution to its stockholders (pari passu with the holders of any liquidation parity securities) an amount in cash equal to the greater of (a) an amount per share of Redeemable Convertible Preferred</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3" w:name="page44"/>
    <w:bookmarkEnd w:id="43"/>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39"/>
        <w:spacing w:after="0" w:line="235" w:lineRule="auto"/>
        <w:rPr>
          <w:sz w:val="20"/>
          <w:szCs w:val="20"/>
          <w:color w:val="auto"/>
        </w:rPr>
      </w:pPr>
      <w:r>
        <w:rPr>
          <w:rFonts w:ascii="Times New Roman" w:cs="Times New Roman" w:eastAsia="Times New Roman" w:hAnsi="Times New Roman"/>
          <w:sz w:val="14"/>
          <w:szCs w:val="14"/>
          <w:color w:val="auto"/>
        </w:rPr>
        <w:t>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respective certificate of designations) multiplied by (ii) the relevant percentage (as defined in the respective certificate of designations) (the product of (i) and (ii), the “Minimum Consideration”); and (b) the amount that such Holder would have received with respect to such share of Redeemable Convertible Preferred Stock based on its Accrued Value if all shares of Redeemable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w:t>
      </w:r>
    </w:p>
    <w:p>
      <w:pPr>
        <w:spacing w:after="0" w:line="93" w:lineRule="exact"/>
        <w:rPr>
          <w:sz w:val="20"/>
          <w:szCs w:val="20"/>
          <w:color w:val="auto"/>
        </w:rPr>
      </w:pPr>
    </w:p>
    <w:p>
      <w:pPr>
        <w:ind w:left="1400" w:right="1439" w:firstLine="271"/>
        <w:spacing w:after="0" w:line="235" w:lineRule="auto"/>
        <w:rPr>
          <w:sz w:val="20"/>
          <w:szCs w:val="20"/>
          <w:color w:val="auto"/>
        </w:rPr>
      </w:pPr>
      <w:r>
        <w:rPr>
          <w:rFonts w:ascii="Times New Roman" w:cs="Times New Roman" w:eastAsia="Times New Roman" w:hAnsi="Times New Roman"/>
          <w:sz w:val="14"/>
          <w:szCs w:val="14"/>
          <w:i w:val="1"/>
          <w:iCs w:val="1"/>
          <w:color w:val="auto"/>
        </w:rPr>
        <w:t xml:space="preserve">Conversion. </w:t>
      </w:r>
      <w:r>
        <w:rPr>
          <w:rFonts w:ascii="Times New Roman" w:cs="Times New Roman" w:eastAsia="Times New Roman" w:hAnsi="Times New Roman"/>
          <w:sz w:val="14"/>
          <w:szCs w:val="14"/>
          <w:color w:val="auto"/>
        </w:rPr>
        <w:t>Each share of Redeemable Convertible Preferred Stock is convertible, at the option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 Holder, from time to time after the initial issue date (the “Initial Issue Date”), and without the payment of additional consideration by the Holder, (a) at any time that the closing price per share of our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respective conversion price (as defined in the respective certificate of designations) in effect as of such conversion date.</w:t>
      </w:r>
    </w:p>
    <w:p>
      <w:pPr>
        <w:spacing w:after="0" w:line="94" w:lineRule="exact"/>
        <w:rPr>
          <w:sz w:val="20"/>
          <w:szCs w:val="20"/>
          <w:color w:val="auto"/>
        </w:rPr>
      </w:pPr>
    </w:p>
    <w:p>
      <w:pPr>
        <w:ind w:left="1400" w:right="1459" w:firstLine="271"/>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Voting. </w:t>
      </w:r>
      <w:r>
        <w:rPr>
          <w:rFonts w:ascii="Times New Roman" w:cs="Times New Roman" w:eastAsia="Times New Roman" w:hAnsi="Times New Roman"/>
          <w:sz w:val="14"/>
          <w:szCs w:val="14"/>
          <w:color w:val="auto"/>
        </w:rPr>
        <w:t>Except as otherwise provided in the respective certificate of designations or by applicable law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the rules of any stock exchange on which the Company’s securities are listed, on any matter presented to the stockholders of the Company for their action or consideration at any meeting of stockholders and on which matter holders of our common stock shall be entitled to vote, each Holder is entitled to the number of votes equal to the number of whole shares of common stock into which the aggregate shares of Redeemable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are entitled to notice of any meeting of stockholders and, except as otherwise provided in the respective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$2.77 for the Series A Convertible Preferred Stock and the quotient of the $10,000 Initial Value and $3.120 for the Series B Convertible Preferred Stock.</w:t>
      </w:r>
    </w:p>
    <w:p>
      <w:pPr>
        <w:spacing w:after="0" w:line="103" w:lineRule="exact"/>
        <w:rPr>
          <w:sz w:val="20"/>
          <w:szCs w:val="20"/>
          <w:color w:val="auto"/>
        </w:rPr>
      </w:pPr>
    </w:p>
    <w:p>
      <w:pPr>
        <w:ind w:left="1400" w:right="1439" w:firstLine="271"/>
        <w:spacing w:after="0" w:line="245" w:lineRule="auto"/>
        <w:rPr>
          <w:sz w:val="20"/>
          <w:szCs w:val="20"/>
          <w:color w:val="auto"/>
        </w:rPr>
      </w:pPr>
      <w:r>
        <w:rPr>
          <w:rFonts w:ascii="Times New Roman" w:cs="Times New Roman" w:eastAsia="Times New Roman" w:hAnsi="Times New Roman"/>
          <w:sz w:val="14"/>
          <w:szCs w:val="14"/>
          <w:color w:val="auto"/>
        </w:rPr>
        <w:t>For each series of the Redeemable Convertible Preferred Stock, as long as at least 10% of the aggregate number of shares of such series issued on the Initial Issue Date remain outstanding, and subject to certain other conditions, Holders of such series are entitled to a separate class vote with respect to, among other things, amendments to the Company’s organizational documents that have an adverse effect on such series, authorizations or issuances by the Company of capital stock of the Company that ranks senior or equal to such series with respect to dividends or distributions on liquidation or the terms of which provide for cash dividends (other than our common stock), winding-up and dissolution, and decreases in the number of authorized shares of such series.</w:t>
      </w:r>
    </w:p>
    <w:p>
      <w:pPr>
        <w:spacing w:after="0" w:line="89" w:lineRule="exact"/>
        <w:rPr>
          <w:sz w:val="20"/>
          <w:szCs w:val="20"/>
          <w:color w:val="auto"/>
        </w:rPr>
      </w:pPr>
    </w:p>
    <w:p>
      <w:pPr>
        <w:ind w:left="1400" w:right="1459" w:firstLine="271"/>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Junior and Parity Securities. </w:t>
      </w:r>
      <w:r>
        <w:rPr>
          <w:rFonts w:ascii="Times New Roman" w:cs="Times New Roman" w:eastAsia="Times New Roman" w:hAnsi="Times New Roman"/>
          <w:sz w:val="14"/>
          <w:szCs w:val="14"/>
          <w:color w:val="auto"/>
        </w:rPr>
        <w:t>Subject to certain exceptions, unless all accumulated and unpaid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on the Redeemable Convertible Preferred Stock for all preceding quarterly dividend payment periods have been declared upon all outstanding shares of Redeemable Convertible Preferred Stock through the most recently completed dividend period, the Company (1) may not repurchase, redeem or otherwise acquire shares of any parity stock or any junior stock (which includes our common stock), (2) may not declare or pay dividends on any junior stock (which includes our common stock) and (3) may not declare or pay dividends on any parity stock, unless the respective amounts of dividends declared on the Redeemable Convertible Preferred Stock and each such other class or series of dividend parity stock bear the same ratio</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190500</wp:posOffset>
            </wp:positionV>
            <wp:extent cx="516064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4" w:name="page45"/>
    <w:bookmarkEnd w:id="44"/>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599"/>
        <w:spacing w:after="0" w:line="249" w:lineRule="auto"/>
        <w:rPr>
          <w:sz w:val="20"/>
          <w:szCs w:val="20"/>
          <w:color w:val="auto"/>
        </w:rPr>
      </w:pPr>
      <w:r>
        <w:rPr>
          <w:rFonts w:ascii="Times New Roman" w:cs="Times New Roman" w:eastAsia="Times New Roman" w:hAnsi="Times New Roman"/>
          <w:sz w:val="14"/>
          <w:szCs w:val="14"/>
          <w:color w:val="auto"/>
        </w:rPr>
        <w:t>to each other as all accumulated and unpaid dividends per share of the Redeemable Convertible Preferred Stock and such class or series of parity stock (subject to their having been declared by the Board out of legally available funds) bear to each other, in proportion to their respective liquidation preferences at the time of declaration.</w:t>
      </w:r>
    </w:p>
    <w:p>
      <w:pPr>
        <w:spacing w:after="0" w:line="94" w:lineRule="exact"/>
        <w:rPr>
          <w:sz w:val="20"/>
          <w:szCs w:val="20"/>
          <w:color w:val="auto"/>
        </w:rPr>
      </w:pPr>
    </w:p>
    <w:p>
      <w:pPr>
        <w:ind w:left="1400" w:right="1479" w:firstLine="271"/>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Mandatory Conversion. </w:t>
      </w:r>
      <w:r>
        <w:rPr>
          <w:rFonts w:ascii="Times New Roman" w:cs="Times New Roman" w:eastAsia="Times New Roman" w:hAnsi="Times New Roman"/>
          <w:sz w:val="14"/>
          <w:szCs w:val="14"/>
          <w:color w:val="auto"/>
        </w:rPr>
        <w:t>On or after the third anniversary of the respective Initial Issue Date, if at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(i) the daily VWAP (as defined in the respective certificate of designations) of our common stock has been at least 200% of the respective conversion price (as defined in the respective certificate of designations) for at least twenty (20) trading days (whether or not consecutive) during any thirty (30) consecutive trading days (including the last day of such period) and (ii) certain common stock liquidity conditions (as defined in the respective certificate of designations) are satisfied, the Company has the right, exercisable at its election within fifteen (15) business days following completion of the applicable thirty</w:t>
      </w:r>
    </w:p>
    <w:p>
      <w:pPr>
        <w:spacing w:after="0" w:line="4" w:lineRule="exact"/>
        <w:rPr>
          <w:sz w:val="20"/>
          <w:szCs w:val="20"/>
          <w:color w:val="auto"/>
        </w:rPr>
      </w:pPr>
    </w:p>
    <w:p>
      <w:pPr>
        <w:ind w:left="1400" w:right="1479" w:firstLine="8"/>
        <w:spacing w:after="0" w:line="243" w:lineRule="auto"/>
        <w:tabs>
          <w:tab w:leader="none" w:pos="167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day period, to cause all or any portion of the Redeemable Convertible Preferred Stock to convert into common stock. The Company is required to pay an additional amount per share of Redeemable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w:t>
      </w:r>
    </w:p>
    <w:p>
      <w:pPr>
        <w:spacing w:after="0" w:line="98" w:lineRule="exact"/>
        <w:rPr>
          <w:sz w:val="20"/>
          <w:szCs w:val="20"/>
          <w:color w:val="auto"/>
        </w:rPr>
      </w:pPr>
    </w:p>
    <w:p>
      <w:pPr>
        <w:ind w:left="1400" w:right="1499" w:firstLine="271"/>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Fundamental Change. </w:t>
      </w:r>
      <w:r>
        <w:rPr>
          <w:rFonts w:ascii="Times New Roman" w:cs="Times New Roman" w:eastAsia="Times New Roman" w:hAnsi="Times New Roman"/>
          <w:sz w:val="14"/>
          <w:szCs w:val="14"/>
          <w:color w:val="auto"/>
        </w:rPr>
        <w:t>Upon a “fundamental change” (as​ defined in the respective certificate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designations), the Holders are entitled, on the fundamental change repurchase date specified by the Company, to receive an amount equal to the greater of (a) the Minimum Consideration and (b) an amount equal to the value that such Holder would have received if it had converted its shares of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respective certificate of designations) are not satisfied.</w:t>
      </w:r>
    </w:p>
    <w:p>
      <w:pPr>
        <w:spacing w:after="0" w:line="93" w:lineRule="exact"/>
        <w:rPr>
          <w:sz w:val="20"/>
          <w:szCs w:val="20"/>
          <w:color w:val="auto"/>
        </w:rPr>
      </w:pPr>
    </w:p>
    <w:p>
      <w:pPr>
        <w:ind w:left="1400" w:right="1479" w:firstLine="271"/>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Optional Redemption. </w:t>
      </w:r>
      <w:r>
        <w:rPr>
          <w:rFonts w:ascii="Times New Roman" w:cs="Times New Roman" w:eastAsia="Times New Roman" w:hAnsi="Times New Roman"/>
          <w:sz w:val="14"/>
          <w:szCs w:val="14"/>
          <w:color w:val="auto"/>
        </w:rPr>
        <w:t>On or after the fifth anniversary of the respective Initial Issue Date,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may redeem all or any portion of the respective series of the Redeemable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respective certificate of designations) are not satisfied.</w:t>
      </w:r>
    </w:p>
    <w:p>
      <w:pPr>
        <w:spacing w:after="0" w:line="98" w:lineRule="exact"/>
        <w:rPr>
          <w:sz w:val="20"/>
          <w:szCs w:val="20"/>
          <w:color w:val="auto"/>
        </w:rPr>
      </w:pPr>
    </w:p>
    <w:p>
      <w:pPr>
        <w:ind w:left="1400" w:right="1419" w:firstLine="271"/>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Nasdaq Rules. </w:t>
      </w:r>
      <w:r>
        <w:rPr>
          <w:rFonts w:ascii="Times New Roman" w:cs="Times New Roman" w:eastAsia="Times New Roman" w:hAnsi="Times New Roman"/>
          <w:sz w:val="14"/>
          <w:szCs w:val="14"/>
          <w:color w:val="auto"/>
        </w:rPr>
        <w:t>The number of shares of common stock deliverable upon conversion, redemption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repurchase of the Redeemable Convertible Preferred Stock is limited as required by applicable Nasdaq listing rules, unless the Company shall have obtained any required stockholder approval. Lucid and Ayar have agreed to cooperate reasonably to obtain, and Ayar has agreed to consent in respect of such stockholder approval no later than 18 months following the respective closing of the private placement of each series of the Redeemable Convertible Preferred Stock. The Series A Convertible Preferred Stock is initially convertible into approximately 278.15 million shares of common stock and the Series B Convertible Preferred Stock is initially convertible into approximately 171.24 million shares of common stock.</w:t>
      </w:r>
    </w:p>
    <w:p>
      <w:pPr>
        <w:spacing w:after="0" w:line="96" w:lineRule="exact"/>
        <w:rPr>
          <w:sz w:val="20"/>
          <w:szCs w:val="20"/>
          <w:color w:val="auto"/>
        </w:rPr>
      </w:pPr>
    </w:p>
    <w:p>
      <w:pPr>
        <w:ind w:left="1400" w:right="1659" w:firstLine="271"/>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Remedies for Nonpayment. </w:t>
      </w:r>
      <w:r>
        <w:rPr>
          <w:rFonts w:ascii="Times New Roman" w:cs="Times New Roman" w:eastAsia="Times New Roman" w:hAnsi="Times New Roman"/>
          <w:sz w:val="14"/>
          <w:szCs w:val="14"/>
          <w:color w:val="auto"/>
        </w:rPr>
        <w:t>The dividend rate described above will be increased to a rate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exceeding 15% per annum upon certain events of noncompliance relating to a failure by the Company to deliver consideration due in connection with a fundamental change or optional redemption.</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5" w:name="page46"/>
    <w:bookmarkEnd w:id="45"/>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6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Warrants and Working Capital Warrants</w:t>
      </w:r>
    </w:p>
    <w:p>
      <w:pPr>
        <w:spacing w:after="0" w:line="118" w:lineRule="exact"/>
        <w:rPr>
          <w:sz w:val="20"/>
          <w:szCs w:val="20"/>
          <w:color w:val="auto"/>
        </w:rPr>
      </w:pPr>
    </w:p>
    <w:p>
      <w:pPr>
        <w:ind w:left="1400" w:right="1439" w:firstLine="271"/>
        <w:spacing w:after="0" w:line="237" w:lineRule="auto"/>
        <w:rPr>
          <w:sz w:val="20"/>
          <w:szCs w:val="20"/>
          <w:color w:val="auto"/>
        </w:rPr>
      </w:pPr>
      <w:r>
        <w:rPr>
          <w:rFonts w:ascii="Times New Roman" w:cs="Times New Roman" w:eastAsia="Times New Roman" w:hAnsi="Times New Roman"/>
          <w:sz w:val="14"/>
          <w:szCs w:val="14"/>
          <w:color w:val="auto"/>
        </w:rPr>
        <w:t>The Private Placement Warrants (including the common stock issuable upon exercise of the Private Placement Warrants) are, pursuant to the Investor Rights Agreement, not redeemable by us so long as they 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w:t>
      </w:r>
    </w:p>
    <w:p>
      <w:pPr>
        <w:spacing w:after="0" w:line="91" w:lineRule="exact"/>
        <w:rPr>
          <w:sz w:val="20"/>
          <w:szCs w:val="20"/>
          <w:color w:val="auto"/>
        </w:rPr>
      </w:pPr>
    </w:p>
    <w:p>
      <w:pPr>
        <w:jc w:val="both"/>
        <w:ind w:left="1400" w:right="1439" w:firstLine="271"/>
        <w:spacing w:after="0" w:line="239" w:lineRule="auto"/>
        <w:rPr>
          <w:sz w:val="20"/>
          <w:szCs w:val="20"/>
          <w:color w:val="auto"/>
        </w:rPr>
      </w:pPr>
      <w:r>
        <w:rPr>
          <w:rFonts w:ascii="Times New Roman" w:cs="Times New Roman" w:eastAsia="Times New Roman" w:hAnsi="Times New Roman"/>
          <w:sz w:val="14"/>
          <w:szCs w:val="14"/>
          <w:color w:val="auto"/>
        </w:rPr>
        <w:t>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w:t>
      </w:r>
    </w:p>
    <w:p>
      <w:pPr>
        <w:spacing w:after="0" w:line="2" w:lineRule="exact"/>
        <w:rPr>
          <w:sz w:val="20"/>
          <w:szCs w:val="20"/>
          <w:color w:val="auto"/>
        </w:rPr>
      </w:pPr>
    </w:p>
    <w:p>
      <w:pPr>
        <w:ind w:left="1400" w:right="1419"/>
        <w:spacing w:after="0" w:line="234" w:lineRule="auto"/>
        <w:rPr>
          <w:sz w:val="20"/>
          <w:szCs w:val="20"/>
          <w:color w:val="auto"/>
        </w:rPr>
      </w:pPr>
      <w:r>
        <w:rPr>
          <w:rFonts w:ascii="Times New Roman" w:cs="Times New Roman" w:eastAsia="Times New Roman" w:hAnsi="Times New Roman"/>
          <w:sz w:val="14"/>
          <w:szCs w:val="14"/>
          <w:color w:val="auto"/>
        </w:rPr>
        <w:t>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w:t>
      </w:r>
    </w:p>
    <w:p>
      <w:pPr>
        <w:spacing w:after="0" w:line="91" w:lineRule="exact"/>
        <w:rPr>
          <w:sz w:val="20"/>
          <w:szCs w:val="20"/>
          <w:color w:val="auto"/>
        </w:rPr>
      </w:pPr>
    </w:p>
    <w:p>
      <w:pPr>
        <w:ind w:left="1400" w:right="1619" w:firstLine="271"/>
        <w:spacing w:after="0" w:line="239" w:lineRule="auto"/>
        <w:rPr>
          <w:sz w:val="20"/>
          <w:szCs w:val="20"/>
          <w:color w:val="auto"/>
        </w:rPr>
      </w:pPr>
      <w:r>
        <w:rPr>
          <w:rFonts w:ascii="Times New Roman" w:cs="Times New Roman" w:eastAsia="Times New Roman" w:hAnsi="Times New Roman"/>
          <w:sz w:val="14"/>
          <w:szCs w:val="14"/>
          <w:color w:val="auto"/>
        </w:rPr>
        <w:t>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108" w:lineRule="exact"/>
        <w:rPr>
          <w:sz w:val="20"/>
          <w:szCs w:val="20"/>
          <w:color w:val="auto"/>
        </w:rPr>
      </w:pPr>
    </w:p>
    <w:p>
      <w:pPr>
        <w:ind w:left="1400" w:right="1459" w:firstLine="271"/>
        <w:spacing w:after="0" w:line="234" w:lineRule="auto"/>
        <w:rPr>
          <w:sz w:val="20"/>
          <w:szCs w:val="20"/>
          <w:color w:val="auto"/>
        </w:rPr>
      </w:pPr>
      <w:r>
        <w:rPr>
          <w:rFonts w:ascii="Times New Roman" w:cs="Times New Roman" w:eastAsia="Times New Roman" w:hAnsi="Times New Roman"/>
          <w:sz w:val="14"/>
          <w:szCs w:val="14"/>
          <w:color w:val="auto"/>
        </w:rPr>
        <w:t>If the number of outstanding shares of our common stock is increased by a stock dividend payable in shares of our common stock, or by a split -up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w:t>
      </w:r>
    </w:p>
    <w:p>
      <w:pPr>
        <w:spacing w:after="0" w:line="92" w:lineRule="exact"/>
        <w:rPr>
          <w:sz w:val="20"/>
          <w:szCs w:val="20"/>
          <w:color w:val="auto"/>
        </w:rPr>
      </w:pPr>
    </w:p>
    <w:p>
      <w:pPr>
        <w:ind w:left="1400" w:right="1439" w:firstLine="271"/>
        <w:spacing w:after="0" w:line="236" w:lineRule="auto"/>
        <w:rPr>
          <w:sz w:val="20"/>
          <w:szCs w:val="20"/>
          <w:color w:val="auto"/>
        </w:rPr>
      </w:pPr>
      <w:r>
        <w:rPr>
          <w:rFonts w:ascii="Times New Roman" w:cs="Times New Roman" w:eastAsia="Times New Roman" w:hAnsi="Times New Roman"/>
          <w:sz w:val="14"/>
          <w:szCs w:val="14"/>
          <w:color w:val="auto"/>
        </w:rPr>
        <w:t>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 /or the fair market value of any securities or other assets paid on each share of our common stock in respect of such event.</w:t>
      </w:r>
    </w:p>
    <w:p>
      <w:pPr>
        <w:spacing w:after="0" w:line="94" w:lineRule="exact"/>
        <w:rPr>
          <w:sz w:val="20"/>
          <w:szCs w:val="20"/>
          <w:color w:val="auto"/>
        </w:rPr>
      </w:pPr>
    </w:p>
    <w:p>
      <w:pPr>
        <w:ind w:left="1400" w:right="1439" w:firstLine="271"/>
        <w:spacing w:after="0"/>
        <w:rPr>
          <w:sz w:val="20"/>
          <w:szCs w:val="20"/>
          <w:color w:val="auto"/>
        </w:rPr>
      </w:pPr>
      <w:r>
        <w:rPr>
          <w:rFonts w:ascii="Times New Roman" w:cs="Times New Roman" w:eastAsia="Times New Roman" w:hAnsi="Times New Roman"/>
          <w:sz w:val="14"/>
          <w:szCs w:val="14"/>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w:t>
      </w:r>
    </w:p>
    <w:p>
      <w:pPr>
        <w:spacing w:after="0" w:line="91" w:lineRule="exact"/>
        <w:rPr>
          <w:sz w:val="20"/>
          <w:szCs w:val="20"/>
          <w:color w:val="auto"/>
        </w:rPr>
      </w:pPr>
    </w:p>
    <w:p>
      <w:pPr>
        <w:ind w:left="1400" w:right="1739" w:firstLine="271"/>
        <w:spacing w:after="0" w:line="238" w:lineRule="auto"/>
        <w:rPr>
          <w:sz w:val="20"/>
          <w:szCs w:val="20"/>
          <w:color w:val="auto"/>
        </w:rPr>
      </w:pPr>
      <w:r>
        <w:rPr>
          <w:rFonts w:ascii="Times New Roman" w:cs="Times New Roman" w:eastAsia="Times New Roman" w:hAnsi="Times New Roman"/>
          <w:sz w:val="14"/>
          <w:szCs w:val="14"/>
          <w:color w:val="auto"/>
        </w:rPr>
        <w:t>Whenever the number of shares of our common stock purchasable upon the exercise of the Private Placement Warrants is adjusted, as described above, the warrant exercise price will be adjusted by multiplying</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6" w:name="page47"/>
    <w:bookmarkEnd w:id="46"/>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579"/>
        <w:spacing w:after="0" w:line="239" w:lineRule="auto"/>
        <w:rPr>
          <w:sz w:val="20"/>
          <w:szCs w:val="20"/>
          <w:color w:val="auto"/>
        </w:rPr>
      </w:pPr>
      <w:r>
        <w:rPr>
          <w:rFonts w:ascii="Times New Roman" w:cs="Times New Roman" w:eastAsia="Times New Roman" w:hAnsi="Times New Roman"/>
          <w:sz w:val="14"/>
          <w:szCs w:val="14"/>
          <w:color w:val="auto"/>
        </w:rPr>
        <w:t>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w:t>
      </w:r>
    </w:p>
    <w:p>
      <w:pPr>
        <w:spacing w:after="0" w:line="92" w:lineRule="exact"/>
        <w:rPr>
          <w:sz w:val="20"/>
          <w:szCs w:val="20"/>
          <w:color w:val="auto"/>
        </w:rPr>
      </w:pPr>
    </w:p>
    <w:p>
      <w:pPr>
        <w:ind w:left="1400" w:right="1439" w:firstLine="271"/>
        <w:spacing w:after="0" w:line="238"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 -5(b)(l)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 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w:t>
      </w:r>
    </w:p>
    <w:p>
      <w:pPr>
        <w:spacing w:after="0" w:line="115" w:lineRule="exact"/>
        <w:rPr>
          <w:sz w:val="20"/>
          <w:szCs w:val="20"/>
          <w:color w:val="auto"/>
        </w:rPr>
      </w:pPr>
    </w:p>
    <w:p>
      <w:pPr>
        <w:ind w:left="1400" w:right="1499" w:firstLine="271"/>
        <w:spacing w:after="0" w:line="235" w:lineRule="auto"/>
        <w:rPr>
          <w:sz w:val="20"/>
          <w:szCs w:val="20"/>
          <w:color w:val="auto"/>
        </w:rPr>
      </w:pPr>
      <w:r>
        <w:rPr>
          <w:rFonts w:ascii="Times New Roman" w:cs="Times New Roman" w:eastAsia="Times New Roman" w:hAnsi="Times New Roman"/>
          <w:sz w:val="14"/>
          <w:szCs w:val="14"/>
          <w:color w:val="auto"/>
        </w:rPr>
        <w:t>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7" w:name="page48"/>
    <w:bookmarkEnd w:id="47"/>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00" w:right="1439"/>
        <w:spacing w:after="0" w:line="248" w:lineRule="auto"/>
        <w:rPr>
          <w:sz w:val="20"/>
          <w:szCs w:val="20"/>
          <w:color w:val="auto"/>
        </w:rPr>
      </w:pPr>
      <w:r>
        <w:rPr>
          <w:rFonts w:ascii="Times New Roman" w:cs="Times New Roman" w:eastAsia="Times New Roman" w:hAnsi="Times New Roman"/>
          <w:sz w:val="14"/>
          <w:szCs w:val="14"/>
          <w:color w:val="auto"/>
        </w:rPr>
        <w:t>of shares of our common stock upon exercise of the Private Placement Warrants, each holder will be entitled to one vote for each share held of record on all matters to be voted on by stockholders.</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Annual Stockholder Meetings</w:t>
      </w:r>
    </w:p>
    <w:p>
      <w:pPr>
        <w:spacing w:after="0" w:line="98" w:lineRule="exact"/>
        <w:rPr>
          <w:sz w:val="20"/>
          <w:szCs w:val="20"/>
          <w:color w:val="auto"/>
        </w:rPr>
      </w:pPr>
    </w:p>
    <w:p>
      <w:pPr>
        <w:ind w:left="1400" w:right="1619" w:firstLine="271"/>
        <w:spacing w:after="0" w:line="238" w:lineRule="auto"/>
        <w:rPr>
          <w:sz w:val="20"/>
          <w:szCs w:val="20"/>
          <w:color w:val="auto"/>
        </w:rPr>
      </w:pPr>
      <w:r>
        <w:rPr>
          <w:rFonts w:ascii="Times New Roman" w:cs="Times New Roman" w:eastAsia="Times New Roman" w:hAnsi="Times New Roman"/>
          <w:sz w:val="14"/>
          <w:szCs w:val="14"/>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28" w:lineRule="exact"/>
        <w:rPr>
          <w:sz w:val="20"/>
          <w:szCs w:val="20"/>
          <w:color w:val="auto"/>
        </w:rPr>
      </w:pPr>
    </w:p>
    <w:p>
      <w:pPr>
        <w:ind w:left="1400" w:right="1559"/>
        <w:spacing w:after="0" w:line="254" w:lineRule="auto"/>
        <w:rPr>
          <w:sz w:val="20"/>
          <w:szCs w:val="20"/>
          <w:color w:val="auto"/>
        </w:rPr>
      </w:pPr>
      <w:r>
        <w:rPr>
          <w:rFonts w:ascii="Times New Roman" w:cs="Times New Roman" w:eastAsia="Times New Roman" w:hAnsi="Times New Roman"/>
          <w:sz w:val="14"/>
          <w:szCs w:val="14"/>
          <w:b w:val="1"/>
          <w:bCs w:val="1"/>
          <w:color w:val="auto"/>
        </w:rPr>
        <w:t>Effects of Our Current Certificate of Incorporation, Our Current Bylaws and Certain Provisions of Delaware Law</w:t>
      </w:r>
    </w:p>
    <w:p>
      <w:pPr>
        <w:spacing w:after="0" w:line="71" w:lineRule="exact"/>
        <w:rPr>
          <w:sz w:val="20"/>
          <w:szCs w:val="20"/>
          <w:color w:val="auto"/>
        </w:rPr>
      </w:pPr>
    </w:p>
    <w:p>
      <w:pPr>
        <w:ind w:left="1400" w:right="1519" w:firstLine="271"/>
        <w:spacing w:after="0" w:line="226" w:lineRule="auto"/>
        <w:rPr>
          <w:sz w:val="20"/>
          <w:szCs w:val="20"/>
          <w:color w:val="auto"/>
        </w:rPr>
      </w:pPr>
      <w:r>
        <w:rPr>
          <w:rFonts w:ascii="Times New Roman" w:cs="Times New Roman" w:eastAsia="Times New Roman" w:hAnsi="Times New Roman"/>
          <w:sz w:val="14"/>
          <w:szCs w:val="14"/>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08" w:lineRule="exact"/>
        <w:rPr>
          <w:sz w:val="20"/>
          <w:szCs w:val="20"/>
          <w:color w:val="auto"/>
        </w:rPr>
      </w:pPr>
    </w:p>
    <w:p>
      <w:pPr>
        <w:ind w:left="1400" w:right="1439" w:firstLine="271"/>
        <w:spacing w:after="0" w:line="228"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81" w:lineRule="exact"/>
        <w:rPr>
          <w:sz w:val="20"/>
          <w:szCs w:val="20"/>
          <w:color w:val="auto"/>
        </w:rPr>
      </w:pPr>
    </w:p>
    <w:p>
      <w:pPr>
        <w:ind w:left="1400" w:right="1439" w:firstLine="271"/>
        <w:spacing w:after="0" w:line="231" w:lineRule="auto"/>
        <w:rPr>
          <w:sz w:val="20"/>
          <w:szCs w:val="20"/>
          <w:color w:val="auto"/>
        </w:rPr>
      </w:pPr>
      <w:r>
        <w:rPr>
          <w:rFonts w:ascii="Times New Roman" w:cs="Times New Roman" w:eastAsia="Times New Roman" w:hAnsi="Times New Roman"/>
          <w:sz w:val="14"/>
          <w:szCs w:val="14"/>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81" w:lineRule="exact"/>
        <w:rPr>
          <w:sz w:val="20"/>
          <w:szCs w:val="20"/>
          <w:color w:val="auto"/>
        </w:rPr>
      </w:pPr>
    </w:p>
    <w:p>
      <w:pPr>
        <w:ind w:left="1400" w:right="1419" w:firstLine="271"/>
        <w:spacing w:after="0" w:line="230" w:lineRule="auto"/>
        <w:rPr>
          <w:sz w:val="20"/>
          <w:szCs w:val="20"/>
          <w:color w:val="auto"/>
        </w:rPr>
      </w:pPr>
      <w:r>
        <w:rPr>
          <w:rFonts w:ascii="Times New Roman" w:cs="Times New Roman" w:eastAsia="Times New Roman" w:hAnsi="Times New Roman"/>
          <w:sz w:val="14"/>
          <w:szCs w:val="14"/>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08" w:lineRule="exact"/>
        <w:rPr>
          <w:sz w:val="20"/>
          <w:szCs w:val="20"/>
          <w:color w:val="auto"/>
        </w:rPr>
      </w:pPr>
    </w:p>
    <w:p>
      <w:pPr>
        <w:ind w:left="1400" w:right="1599" w:firstLine="271"/>
        <w:spacing w:after="0" w:line="232" w:lineRule="auto"/>
        <w:rPr>
          <w:sz w:val="20"/>
          <w:szCs w:val="20"/>
          <w:color w:val="auto"/>
        </w:rPr>
      </w:pPr>
      <w:r>
        <w:rPr>
          <w:rFonts w:ascii="Times New Roman" w:cs="Times New Roman" w:eastAsia="Times New Roman" w:hAnsi="Times New Roman"/>
          <w:sz w:val="14"/>
          <w:szCs w:val="14"/>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0" w:lineRule="exact"/>
        <w:rPr>
          <w:sz w:val="20"/>
          <w:szCs w:val="20"/>
          <w:color w:val="auto"/>
        </w:rPr>
      </w:pPr>
    </w:p>
    <w:p>
      <w:pPr>
        <w:ind w:left="1820" w:right="1879" w:hanging="141"/>
        <w:spacing w:after="0" w:line="263" w:lineRule="auto"/>
        <w:tabs>
          <w:tab w:leader="none" w:pos="1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approved either the business combination or the transaction that resulted in the stockholder becoming an interested stockholder;</w:t>
      </w:r>
    </w:p>
    <w:p>
      <w:pPr>
        <w:spacing w:after="0" w:line="44" w:lineRule="exact"/>
        <w:rPr>
          <w:rFonts w:ascii="Times New Roman" w:cs="Times New Roman" w:eastAsia="Times New Roman" w:hAnsi="Times New Roman"/>
          <w:sz w:val="14"/>
          <w:szCs w:val="14"/>
          <w:color w:val="auto"/>
        </w:rPr>
      </w:pPr>
    </w:p>
    <w:p>
      <w:pPr>
        <w:ind w:left="1820" w:right="1419" w:hanging="141"/>
        <w:spacing w:after="0" w:line="253" w:lineRule="auto"/>
        <w:tabs>
          <w:tab w:leader="none" w:pos="1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51" w:lineRule="exact"/>
        <w:rPr>
          <w:rFonts w:ascii="Times New Roman" w:cs="Times New Roman" w:eastAsia="Times New Roman" w:hAnsi="Times New Roman"/>
          <w:sz w:val="14"/>
          <w:szCs w:val="14"/>
          <w:color w:val="auto"/>
        </w:rPr>
      </w:pPr>
    </w:p>
    <w:p>
      <w:pPr>
        <w:ind w:left="1820" w:right="1559" w:hanging="141"/>
        <w:spacing w:after="0" w:line="253" w:lineRule="auto"/>
        <w:tabs>
          <w:tab w:leader="none" w:pos="1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8" w:name="page49"/>
    <w:bookmarkEnd w:id="48"/>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400" w:right="1439" w:firstLine="271"/>
        <w:spacing w:after="0" w:line="239"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spacing w:after="0" w:line="2" w:lineRule="exact"/>
        <w:rPr>
          <w:sz w:val="20"/>
          <w:szCs w:val="20"/>
          <w:color w:val="auto"/>
        </w:rPr>
      </w:pPr>
    </w:p>
    <w:p>
      <w:pPr>
        <w:jc w:val="both"/>
        <w:ind w:left="1400" w:right="1419"/>
        <w:spacing w:after="0" w:line="242" w:lineRule="auto"/>
        <w:rPr>
          <w:sz w:val="20"/>
          <w:szCs w:val="20"/>
          <w:color w:val="auto"/>
        </w:rPr>
      </w:pPr>
      <w:r>
        <w:rPr>
          <w:rFonts w:ascii="Times New Roman" w:cs="Times New Roman" w:eastAsia="Times New Roman" w:hAnsi="Times New Roman"/>
          <w:sz w:val="14"/>
          <w:szCs w:val="14"/>
          <w:color w:val="auto"/>
        </w:rPr>
        <w:t>three years owned, 15% or more of the votes of our outstanding voting stock. For purposes of this provision, “voting stock” means any class or series of stock entitled to vote generally in the election of directors.</w:t>
      </w:r>
    </w:p>
    <w:p>
      <w:pPr>
        <w:spacing w:after="0" w:line="89" w:lineRule="exact"/>
        <w:rPr>
          <w:sz w:val="20"/>
          <w:szCs w:val="20"/>
          <w:color w:val="auto"/>
        </w:rPr>
      </w:pPr>
    </w:p>
    <w:p>
      <w:pPr>
        <w:ind w:left="1400" w:right="1579" w:firstLine="271"/>
        <w:spacing w:after="0" w:line="236" w:lineRule="auto"/>
        <w:rPr>
          <w:sz w:val="20"/>
          <w:szCs w:val="20"/>
          <w:color w:val="auto"/>
        </w:rPr>
      </w:pPr>
      <w:r>
        <w:rPr>
          <w:rFonts w:ascii="Times New Roman" w:cs="Times New Roman" w:eastAsia="Times New Roman" w:hAnsi="Times New Roman"/>
          <w:sz w:val="14"/>
          <w:szCs w:val="14"/>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118" w:lineRule="exact"/>
        <w:rPr>
          <w:sz w:val="20"/>
          <w:szCs w:val="20"/>
          <w:color w:val="auto"/>
        </w:rPr>
      </w:pPr>
    </w:p>
    <w:p>
      <w:pPr>
        <w:ind w:left="1400" w:right="1459" w:firstLine="271"/>
        <w:spacing w:after="0"/>
        <w:rPr>
          <w:sz w:val="20"/>
          <w:szCs w:val="20"/>
          <w:color w:val="auto"/>
        </w:rPr>
      </w:pPr>
      <w:r>
        <w:rPr>
          <w:rFonts w:ascii="Times New Roman" w:cs="Times New Roman" w:eastAsia="Times New Roman" w:hAnsi="Times New Roman"/>
          <w:sz w:val="14"/>
          <w:szCs w:val="14"/>
          <w:color w:val="auto"/>
        </w:rPr>
        <w:t>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2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08" w:lineRule="exact"/>
        <w:rPr>
          <w:sz w:val="20"/>
          <w:szCs w:val="20"/>
          <w:color w:val="auto"/>
        </w:rPr>
      </w:pPr>
    </w:p>
    <w:p>
      <w:pPr>
        <w:ind w:left="1400" w:right="1419" w:firstLine="271"/>
        <w:spacing w:after="0" w:line="239"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08" w:lineRule="exact"/>
        <w:rPr>
          <w:sz w:val="20"/>
          <w:szCs w:val="20"/>
          <w:color w:val="auto"/>
        </w:rPr>
      </w:pPr>
    </w:p>
    <w:p>
      <w:pPr>
        <w:ind w:left="1400" w:right="1439" w:firstLine="271"/>
        <w:spacing w:after="0"/>
        <w:rPr>
          <w:sz w:val="20"/>
          <w:szCs w:val="20"/>
          <w:color w:val="auto"/>
        </w:rPr>
      </w:pPr>
      <w:r>
        <w:rPr>
          <w:rFonts w:ascii="Times New Roman" w:cs="Times New Roman" w:eastAsia="Times New Roman" w:hAnsi="Times New Roman"/>
          <w:sz w:val="14"/>
          <w:szCs w:val="14"/>
          <w:color w:val="auto"/>
        </w:rPr>
        <w:t>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Director Nominations and Stockholder Proposals</w:t>
      </w:r>
    </w:p>
    <w:p>
      <w:pPr>
        <w:spacing w:after="0" w:line="118" w:lineRule="exact"/>
        <w:rPr>
          <w:sz w:val="20"/>
          <w:szCs w:val="20"/>
          <w:color w:val="auto"/>
        </w:rPr>
      </w:pPr>
    </w:p>
    <w:p>
      <w:pPr>
        <w:ind w:left="1400" w:right="1479" w:firstLine="271"/>
        <w:spacing w:after="0" w:line="238" w:lineRule="auto"/>
        <w:rPr>
          <w:sz w:val="20"/>
          <w:szCs w:val="20"/>
          <w:color w:val="auto"/>
        </w:rPr>
      </w:pPr>
      <w:r>
        <w:rPr>
          <w:rFonts w:ascii="Times New Roman" w:cs="Times New Roman" w:eastAsia="Times New Roman" w:hAnsi="Times New Roman"/>
          <w:sz w:val="14"/>
          <w:szCs w:val="14"/>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9" w:name="page50"/>
    <w:bookmarkEnd w:id="49"/>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59"/>
        <w:spacing w:after="0" w:line="235" w:lineRule="auto"/>
        <w:rPr>
          <w:sz w:val="20"/>
          <w:szCs w:val="20"/>
          <w:color w:val="auto"/>
        </w:rPr>
      </w:pPr>
      <w:r>
        <w:rPr>
          <w:rFonts w:ascii="Times New Roman" w:cs="Times New Roman" w:eastAsia="Times New Roman" w:hAnsi="Times New Roman"/>
          <w:sz w:val="14"/>
          <w:szCs w:val="14"/>
          <w:color w:val="auto"/>
        </w:rPr>
        <w:t>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5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08" w:lineRule="exact"/>
        <w:rPr>
          <w:sz w:val="20"/>
          <w:szCs w:val="20"/>
          <w:color w:val="auto"/>
        </w:rPr>
      </w:pPr>
    </w:p>
    <w:p>
      <w:pPr>
        <w:ind w:left="1400" w:right="1439" w:firstLine="271"/>
        <w:spacing w:after="0"/>
        <w:rPr>
          <w:sz w:val="20"/>
          <w:szCs w:val="20"/>
          <w:color w:val="auto"/>
        </w:rPr>
      </w:pPr>
      <w:r>
        <w:rPr>
          <w:rFonts w:ascii="Times New Roman" w:cs="Times New Roman" w:eastAsia="Times New Roman" w:hAnsi="Times New Roman"/>
          <w:sz w:val="14"/>
          <w:szCs w:val="14"/>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27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Dissenters’ Rights of Appraisal and Payment</w:t>
      </w:r>
    </w:p>
    <w:p>
      <w:pPr>
        <w:spacing w:after="0" w:line="108" w:lineRule="exact"/>
        <w:rPr>
          <w:sz w:val="20"/>
          <w:szCs w:val="20"/>
          <w:color w:val="auto"/>
        </w:rPr>
      </w:pPr>
    </w:p>
    <w:p>
      <w:pPr>
        <w:ind w:left="1400" w:right="1599" w:firstLine="271"/>
        <w:spacing w:after="0" w:line="239"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Stockholders’ Derivative Actions</w:t>
      </w:r>
    </w:p>
    <w:p>
      <w:pPr>
        <w:spacing w:after="0" w:line="108" w:lineRule="exact"/>
        <w:rPr>
          <w:sz w:val="20"/>
          <w:szCs w:val="20"/>
          <w:color w:val="auto"/>
        </w:rPr>
      </w:pPr>
    </w:p>
    <w:p>
      <w:pPr>
        <w:ind w:left="1400" w:right="1479" w:firstLine="271"/>
        <w:spacing w:after="0" w:line="239"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118" w:lineRule="exact"/>
        <w:rPr>
          <w:sz w:val="20"/>
          <w:szCs w:val="20"/>
          <w:color w:val="auto"/>
        </w:rPr>
      </w:pPr>
    </w:p>
    <w:p>
      <w:pPr>
        <w:ind w:left="1400" w:right="1439" w:firstLine="271"/>
        <w:spacing w:after="0" w:line="244" w:lineRule="auto"/>
        <w:rPr>
          <w:sz w:val="20"/>
          <w:szCs w:val="20"/>
          <w:color w:val="auto"/>
        </w:rPr>
      </w:pPr>
      <w:r>
        <w:rPr>
          <w:rFonts w:ascii="Times New Roman" w:cs="Times New Roman" w:eastAsia="Times New Roman" w:hAnsi="Times New Roman"/>
          <w:sz w:val="14"/>
          <w:szCs w:val="14"/>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190500</wp:posOffset>
            </wp:positionV>
            <wp:extent cx="516064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0" w:name="page51"/>
    <w:bookmarkEnd w:id="50"/>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939"/>
        <w:spacing w:after="0" w:line="263" w:lineRule="auto"/>
        <w:rPr>
          <w:sz w:val="20"/>
          <w:szCs w:val="20"/>
          <w:color w:val="auto"/>
        </w:rPr>
      </w:pPr>
      <w:r>
        <w:rPr>
          <w:rFonts w:ascii="Times New Roman" w:cs="Times New Roman" w:eastAsia="Times New Roman" w:hAnsi="Times New Roman"/>
          <w:sz w:val="14"/>
          <w:szCs w:val="14"/>
          <w:color w:val="auto"/>
        </w:rPr>
        <w:t>provisions in our current bylaws. However, it is possible that a court could find our forum selection provisions to be inapplicable or unenforceable.</w:t>
      </w:r>
    </w:p>
    <w:p>
      <w:pPr>
        <w:spacing w:after="0" w:line="1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Liability and Indemnification of Directors and Officers</w:t>
      </w:r>
    </w:p>
    <w:p>
      <w:pPr>
        <w:spacing w:after="0" w:line="118" w:lineRule="exact"/>
        <w:rPr>
          <w:sz w:val="20"/>
          <w:szCs w:val="20"/>
          <w:color w:val="auto"/>
        </w:rPr>
      </w:pPr>
    </w:p>
    <w:p>
      <w:pPr>
        <w:ind w:left="1400" w:right="1439" w:firstLine="271"/>
        <w:spacing w:after="0" w:line="236" w:lineRule="auto"/>
        <w:rPr>
          <w:sz w:val="20"/>
          <w:szCs w:val="20"/>
          <w:color w:val="auto"/>
        </w:rPr>
      </w:pPr>
      <w:r>
        <w:rPr>
          <w:rFonts w:ascii="Times New Roman" w:cs="Times New Roman" w:eastAsia="Times New Roman" w:hAnsi="Times New Roman"/>
          <w:sz w:val="14"/>
          <w:szCs w:val="14"/>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94" w:lineRule="exact"/>
        <w:rPr>
          <w:sz w:val="20"/>
          <w:szCs w:val="20"/>
          <w:color w:val="auto"/>
        </w:rPr>
      </w:pPr>
    </w:p>
    <w:p>
      <w:pPr>
        <w:ind w:left="1400" w:right="1479" w:firstLine="271"/>
        <w:spacing w:after="0"/>
        <w:rPr>
          <w:sz w:val="20"/>
          <w:szCs w:val="20"/>
          <w:color w:val="auto"/>
        </w:rPr>
      </w:pPr>
      <w:r>
        <w:rPr>
          <w:rFonts w:ascii="Times New Roman" w:cs="Times New Roman" w:eastAsia="Times New Roman" w:hAnsi="Times New Roman"/>
          <w:sz w:val="14"/>
          <w:szCs w:val="14"/>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62" w:lineRule="exact"/>
        <w:rPr>
          <w:sz w:val="20"/>
          <w:szCs w:val="20"/>
          <w:color w:val="auto"/>
        </w:rPr>
      </w:pPr>
    </w:p>
    <w:p>
      <w:pPr>
        <w:ind w:left="1400" w:right="1619" w:firstLine="271"/>
        <w:spacing w:after="0" w:line="238" w:lineRule="auto"/>
        <w:rPr>
          <w:sz w:val="20"/>
          <w:szCs w:val="20"/>
          <w:color w:val="auto"/>
        </w:rPr>
      </w:pPr>
      <w:r>
        <w:rPr>
          <w:rFonts w:ascii="Times New Roman" w:cs="Times New Roman" w:eastAsia="Times New Roman" w:hAnsi="Times New Roman"/>
          <w:sz w:val="14"/>
          <w:szCs w:val="14"/>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91" w:lineRule="exact"/>
        <w:rPr>
          <w:sz w:val="20"/>
          <w:szCs w:val="20"/>
          <w:color w:val="auto"/>
        </w:rPr>
      </w:pPr>
    </w:p>
    <w:p>
      <w:pPr>
        <w:ind w:left="1400" w:right="1779" w:firstLine="271"/>
        <w:spacing w:after="0" w:line="248" w:lineRule="auto"/>
        <w:rPr>
          <w:sz w:val="20"/>
          <w:szCs w:val="20"/>
          <w:color w:val="auto"/>
        </w:rPr>
      </w:pPr>
      <w:r>
        <w:rPr>
          <w:rFonts w:ascii="Times New Roman" w:cs="Times New Roman" w:eastAsia="Times New Roman" w:hAnsi="Times New Roman"/>
          <w:sz w:val="14"/>
          <w:szCs w:val="14"/>
          <w:color w:val="auto"/>
        </w:rPr>
        <w:t>The Company’s current certificate of incorporation provides that we must indemnify and advance expenses to our directors and officers to the full extent authorized by the DGCL.</w:t>
      </w:r>
    </w:p>
    <w:p>
      <w:pPr>
        <w:spacing w:after="0" w:line="85" w:lineRule="exact"/>
        <w:rPr>
          <w:sz w:val="20"/>
          <w:szCs w:val="20"/>
          <w:color w:val="auto"/>
        </w:rPr>
      </w:pPr>
    </w:p>
    <w:p>
      <w:pPr>
        <w:ind w:left="1400" w:right="1459" w:firstLine="271"/>
        <w:spacing w:after="0" w:line="238"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91" w:lineRule="exact"/>
        <w:rPr>
          <w:sz w:val="20"/>
          <w:szCs w:val="20"/>
          <w:color w:val="auto"/>
        </w:rPr>
      </w:pPr>
    </w:p>
    <w:p>
      <w:pPr>
        <w:ind w:left="1400" w:right="1439" w:firstLine="271"/>
        <w:spacing w:after="0" w:line="236" w:lineRule="auto"/>
        <w:rPr>
          <w:sz w:val="20"/>
          <w:szCs w:val="20"/>
          <w:color w:val="auto"/>
        </w:rPr>
      </w:pPr>
      <w:r>
        <w:rPr>
          <w:rFonts w:ascii="Times New Roman" w:cs="Times New Roman" w:eastAsia="Times New Roman" w:hAnsi="Times New Roman"/>
          <w:sz w:val="14"/>
          <w:szCs w:val="14"/>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1" w:name="page52"/>
    <w:bookmarkEnd w:id="51"/>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39" w:firstLine="271"/>
        <w:spacing w:after="0" w:line="247" w:lineRule="auto"/>
        <w:rPr>
          <w:sz w:val="20"/>
          <w:szCs w:val="20"/>
          <w:color w:val="auto"/>
        </w:rPr>
      </w:pPr>
      <w:r>
        <w:rPr>
          <w:rFonts w:ascii="Times New Roman" w:cs="Times New Roman" w:eastAsia="Times New Roman" w:hAnsi="Times New Roman"/>
          <w:sz w:val="14"/>
          <w:szCs w:val="14"/>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Company maintains and expect to maintain standard policies of insurance that provide coverage</w:t>
      </w:r>
    </w:p>
    <w:p>
      <w:pPr>
        <w:spacing w:after="0" w:line="14" w:lineRule="exact"/>
        <w:rPr>
          <w:sz w:val="20"/>
          <w:szCs w:val="20"/>
          <w:color w:val="auto"/>
        </w:rPr>
      </w:pPr>
    </w:p>
    <w:p>
      <w:pPr>
        <w:ind w:left="1400" w:right="1439" w:firstLine="8"/>
        <w:spacing w:after="0" w:line="244" w:lineRule="auto"/>
        <w:tabs>
          <w:tab w:leader="none" w:pos="160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98" w:lineRule="exact"/>
        <w:rPr>
          <w:sz w:val="20"/>
          <w:szCs w:val="20"/>
          <w:color w:val="auto"/>
        </w:rPr>
      </w:pPr>
    </w:p>
    <w:p>
      <w:pPr>
        <w:ind w:left="1400" w:right="1459" w:firstLine="271"/>
        <w:spacing w:after="0" w:line="247"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86" w:lineRule="exact"/>
        <w:rPr>
          <w:sz w:val="20"/>
          <w:szCs w:val="20"/>
          <w:color w:val="auto"/>
        </w:rPr>
      </w:pPr>
    </w:p>
    <w:p>
      <w:pPr>
        <w:ind w:left="1400" w:right="1459" w:firstLine="271"/>
        <w:spacing w:after="0" w:line="263" w:lineRule="auto"/>
        <w:rPr>
          <w:sz w:val="20"/>
          <w:szCs w:val="20"/>
          <w:color w:val="auto"/>
        </w:rPr>
      </w:pPr>
      <w:r>
        <w:rPr>
          <w:rFonts w:ascii="Times New Roman" w:cs="Times New Roman" w:eastAsia="Times New Roman" w:hAnsi="Times New Roman"/>
          <w:sz w:val="14"/>
          <w:szCs w:val="14"/>
          <w:color w:val="auto"/>
        </w:rPr>
        <w:t>The Company believes that these provisions, the insurance and the indemnity agreements are necessary to attract and retain talented and experienced officers and directors.</w:t>
      </w:r>
    </w:p>
    <w:p>
      <w:pPr>
        <w:spacing w:after="0" w:line="1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Our common stock is listed on The Nasdaq Stock Market LLC under the symbol “LCID.”</w:t>
      </w:r>
    </w:p>
    <w:p>
      <w:pPr>
        <w:spacing w:after="0" w:line="16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w:t>
      </w:r>
    </w:p>
    <w:p>
      <w:pPr>
        <w:spacing w:after="0" w:line="104" w:lineRule="exact"/>
        <w:rPr>
          <w:sz w:val="20"/>
          <w:szCs w:val="20"/>
          <w:color w:val="auto"/>
        </w:rPr>
      </w:pPr>
    </w:p>
    <w:p>
      <w:pPr>
        <w:ind w:left="1400" w:right="1519" w:firstLine="271"/>
        <w:spacing w:after="0" w:line="248" w:lineRule="auto"/>
        <w:rPr>
          <w:sz w:val="20"/>
          <w:szCs w:val="20"/>
          <w:color w:val="auto"/>
        </w:rPr>
      </w:pPr>
      <w:r>
        <w:rPr>
          <w:rFonts w:ascii="Times New Roman" w:cs="Times New Roman" w:eastAsia="Times New Roman" w:hAnsi="Times New Roman"/>
          <w:sz w:val="14"/>
          <w:szCs w:val="14"/>
          <w:color w:val="auto"/>
        </w:rPr>
        <w:t>We have agreed to indemnify Equiniti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2" w:name="page53"/>
    <w:bookmarkEnd w:id="52"/>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18" w:lineRule="exact"/>
        <w:rPr>
          <w:sz w:val="20"/>
          <w:szCs w:val="20"/>
          <w:color w:val="auto"/>
        </w:rPr>
      </w:pPr>
    </w:p>
    <w:p>
      <w:pPr>
        <w:jc w:val="both"/>
        <w:ind w:left="1400" w:right="1499" w:firstLine="271"/>
        <w:spacing w:after="0" w:line="237" w:lineRule="auto"/>
        <w:rPr>
          <w:sz w:val="20"/>
          <w:szCs w:val="20"/>
          <w:color w:val="auto"/>
        </w:rPr>
      </w:pPr>
      <w:r>
        <w:rPr>
          <w:rFonts w:ascii="Times New Roman" w:cs="Times New Roman" w:eastAsia="Times New Roman" w:hAnsi="Times New Roman"/>
          <w:sz w:val="14"/>
          <w:szCs w:val="14"/>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91" w:lineRule="exact"/>
        <w:rPr>
          <w:sz w:val="20"/>
          <w:szCs w:val="20"/>
          <w:color w:val="auto"/>
        </w:rPr>
      </w:pPr>
    </w:p>
    <w:p>
      <w:pPr>
        <w:ind w:left="1400" w:right="1519" w:firstLine="271"/>
        <w:spacing w:after="0" w:line="238"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18" w:lineRule="exact"/>
        <w:rPr>
          <w:sz w:val="20"/>
          <w:szCs w:val="20"/>
          <w:color w:val="auto"/>
        </w:rPr>
      </w:pPr>
    </w:p>
    <w:p>
      <w:pPr>
        <w:ind w:left="1400" w:right="1439" w:firstLine="271"/>
        <w:spacing w:after="0" w:line="238" w:lineRule="auto"/>
        <w:rPr>
          <w:sz w:val="20"/>
          <w:szCs w:val="20"/>
          <w:color w:val="auto"/>
        </w:rPr>
      </w:pPr>
      <w:r>
        <w:rPr>
          <w:rFonts w:ascii="Times New Roman" w:cs="Times New Roman" w:eastAsia="Times New Roman" w:hAnsi="Times New Roman"/>
          <w:sz w:val="14"/>
          <w:szCs w:val="14"/>
          <w:color w:val="auto"/>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118" w:lineRule="exact"/>
        <w:rPr>
          <w:sz w:val="20"/>
          <w:szCs w:val="20"/>
          <w:color w:val="auto"/>
        </w:rPr>
      </w:pPr>
    </w:p>
    <w:p>
      <w:pPr>
        <w:ind w:left="1400" w:right="1519" w:firstLine="271"/>
        <w:spacing w:after="0" w:line="237" w:lineRule="auto"/>
        <w:rPr>
          <w:sz w:val="20"/>
          <w:szCs w:val="20"/>
          <w:color w:val="auto"/>
        </w:rPr>
      </w:pPr>
      <w:r>
        <w:rPr>
          <w:rFonts w:ascii="Times New Roman" w:cs="Times New Roman" w:eastAsia="Times New Roman" w:hAnsi="Times New Roman"/>
          <w:sz w:val="14"/>
          <w:szCs w:val="14"/>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Voting the Preferred Stock</w:t>
      </w:r>
    </w:p>
    <w:p>
      <w:pPr>
        <w:spacing w:after="0" w:line="118" w:lineRule="exact"/>
        <w:rPr>
          <w:sz w:val="20"/>
          <w:szCs w:val="20"/>
          <w:color w:val="auto"/>
        </w:rPr>
      </w:pPr>
    </w:p>
    <w:p>
      <w:pPr>
        <w:ind w:left="1400" w:right="1519" w:firstLine="271"/>
        <w:spacing w:after="0" w:line="235" w:lineRule="auto"/>
        <w:rPr>
          <w:sz w:val="20"/>
          <w:szCs w:val="20"/>
          <w:color w:val="auto"/>
        </w:rPr>
      </w:pPr>
      <w:r>
        <w:rPr>
          <w:rFonts w:ascii="Times New Roman" w:cs="Times New Roman" w:eastAsia="Times New Roman" w:hAnsi="Times New Roman"/>
          <w:sz w:val="14"/>
          <w:szCs w:val="14"/>
          <w:color w:val="auto"/>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Amendment and Termination of the Depositary Agreement</w:t>
      </w:r>
    </w:p>
    <w:p>
      <w:pPr>
        <w:spacing w:after="0" w:line="118" w:lineRule="exact"/>
        <w:rPr>
          <w:sz w:val="20"/>
          <w:szCs w:val="20"/>
          <w:color w:val="auto"/>
        </w:rPr>
      </w:pPr>
    </w:p>
    <w:p>
      <w:pPr>
        <w:ind w:left="1400" w:right="1479" w:firstLine="271"/>
        <w:spacing w:after="0" w:line="235"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Withdrawal of Preferred Stock</w:t>
      </w:r>
    </w:p>
    <w:p>
      <w:pPr>
        <w:spacing w:after="0" w:line="118" w:lineRule="exact"/>
        <w:rPr>
          <w:sz w:val="20"/>
          <w:szCs w:val="20"/>
          <w:color w:val="auto"/>
        </w:rPr>
      </w:pPr>
    </w:p>
    <w:p>
      <w:pPr>
        <w:ind w:left="1400" w:right="1619" w:firstLine="271"/>
        <w:spacing w:after="0" w:line="248" w:lineRule="auto"/>
        <w:rPr>
          <w:sz w:val="20"/>
          <w:szCs w:val="20"/>
          <w:color w:val="auto"/>
        </w:rPr>
      </w:pPr>
      <w:r>
        <w:rPr>
          <w:rFonts w:ascii="Times New Roman" w:cs="Times New Roman" w:eastAsia="Times New Roman" w:hAnsi="Times New Roman"/>
          <w:sz w:val="14"/>
          <w:szCs w:val="14"/>
          <w:color w:val="auto"/>
        </w:rPr>
        <w:t>Except as may be provided otherwise in an accompanying prospectus supplement, upon surrender of depositary receipts at the principal office of the Bank Depositary, subject to the terms of the depositary</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3" w:name="page54"/>
    <w:bookmarkEnd w:id="53"/>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right="1419"/>
        <w:spacing w:after="0" w:line="245" w:lineRule="auto"/>
        <w:rPr>
          <w:sz w:val="20"/>
          <w:szCs w:val="20"/>
          <w:color w:val="auto"/>
        </w:rPr>
      </w:pPr>
      <w:r>
        <w:rPr>
          <w:rFonts w:ascii="Times New Roman" w:cs="Times New Roman" w:eastAsia="Times New Roman" w:hAnsi="Times New Roman"/>
          <w:sz w:val="14"/>
          <w:szCs w:val="14"/>
          <w:color w:val="auto"/>
        </w:rPr>
        <w:t>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4" w:name="page55"/>
    <w:bookmarkEnd w:id="54"/>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18" w:lineRule="exact"/>
        <w:rPr>
          <w:sz w:val="20"/>
          <w:szCs w:val="20"/>
          <w:color w:val="auto"/>
        </w:rPr>
      </w:pPr>
    </w:p>
    <w:p>
      <w:pPr>
        <w:ind w:left="1400" w:right="1439" w:firstLine="271"/>
        <w:spacing w:after="0" w:line="248" w:lineRule="auto"/>
        <w:rPr>
          <w:sz w:val="20"/>
          <w:szCs w:val="20"/>
          <w:color w:val="auto"/>
        </w:rPr>
      </w:pPr>
      <w:r>
        <w:rPr>
          <w:rFonts w:ascii="Times New Roman" w:cs="Times New Roman" w:eastAsia="Times New Roman" w:hAnsi="Times New Roman"/>
          <w:sz w:val="14"/>
          <w:szCs w:val="14"/>
          <w:color w:val="auto"/>
        </w:rPr>
        <w:t>We may offer debt securities in one or more series, which may be senior debt securities or subordinated debt securities and which may be convertible into another security.</w:t>
      </w:r>
    </w:p>
    <w:p>
      <w:pPr>
        <w:spacing w:after="0" w:line="85" w:lineRule="exact"/>
        <w:rPr>
          <w:sz w:val="20"/>
          <w:szCs w:val="20"/>
          <w:color w:val="auto"/>
        </w:rPr>
      </w:pPr>
    </w:p>
    <w:p>
      <w:pPr>
        <w:ind w:left="1400" w:right="1519" w:firstLine="271"/>
        <w:spacing w:after="0" w:line="236" w:lineRule="auto"/>
        <w:rPr>
          <w:sz w:val="20"/>
          <w:szCs w:val="20"/>
          <w:color w:val="auto"/>
        </w:rPr>
      </w:pPr>
      <w:r>
        <w:rPr>
          <w:rFonts w:ascii="Times New Roman" w:cs="Times New Roman" w:eastAsia="Times New Roman" w:hAnsi="Times New Roman"/>
          <w:sz w:val="14"/>
          <w:szCs w:val="14"/>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92" w:lineRule="exact"/>
        <w:rPr>
          <w:sz w:val="20"/>
          <w:szCs w:val="20"/>
          <w:color w:val="auto"/>
        </w:rPr>
      </w:pPr>
    </w:p>
    <w:p>
      <w:pPr>
        <w:ind w:left="1400" w:right="1539" w:firstLine="271"/>
        <w:spacing w:after="0" w:line="238"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61" w:lineRule="exact"/>
        <w:rPr>
          <w:sz w:val="20"/>
          <w:szCs w:val="20"/>
          <w:color w:val="auto"/>
        </w:rPr>
      </w:pPr>
    </w:p>
    <w:p>
      <w:pPr>
        <w:ind w:left="1820" w:right="1939" w:hanging="141"/>
        <w:spacing w:after="0" w:line="263"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aggregate principal amount of the debt securities and any limit on the aggregate principal amount of such series;</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subordination provisions for any subordinated debt securities;</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date(s) or method for determining same;</w:t>
      </w:r>
    </w:p>
    <w:p>
      <w:pPr>
        <w:spacing w:after="0" w:line="7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same;</w:t>
      </w:r>
    </w:p>
    <w:p>
      <w:pPr>
        <w:spacing w:after="0" w:line="83" w:lineRule="exact"/>
        <w:rPr>
          <w:rFonts w:ascii="Times New Roman" w:cs="Times New Roman" w:eastAsia="Times New Roman" w:hAnsi="Times New Roman"/>
          <w:sz w:val="14"/>
          <w:szCs w:val="14"/>
          <w:color w:val="auto"/>
        </w:rPr>
      </w:pPr>
    </w:p>
    <w:p>
      <w:pPr>
        <w:ind w:left="1820" w:right="1659" w:hanging="141"/>
        <w:spacing w:after="0" w:line="253"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61" w:lineRule="exact"/>
        <w:rPr>
          <w:rFonts w:ascii="Times New Roman" w:cs="Times New Roman" w:eastAsia="Times New Roman" w:hAnsi="Times New Roman"/>
          <w:sz w:val="14"/>
          <w:szCs w:val="14"/>
          <w:color w:val="auto"/>
        </w:rPr>
      </w:pPr>
    </w:p>
    <w:p>
      <w:pPr>
        <w:ind w:left="1820" w:right="1759" w:hanging="141"/>
        <w:spacing w:after="0" w:line="263"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 and any related terms and conditions;</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w:t>
      </w:r>
    </w:p>
    <w:p>
      <w:pPr>
        <w:spacing w:after="0" w:line="7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principal amount of debt securities payable upon acceleration;</w:t>
      </w:r>
    </w:p>
    <w:p>
      <w:pPr>
        <w:spacing w:after="0" w:line="83" w:lineRule="exact"/>
        <w:rPr>
          <w:rFonts w:ascii="Times New Roman" w:cs="Times New Roman" w:eastAsia="Times New Roman" w:hAnsi="Times New Roman"/>
          <w:sz w:val="14"/>
          <w:szCs w:val="14"/>
          <w:color w:val="auto"/>
        </w:rPr>
      </w:pPr>
    </w:p>
    <w:p>
      <w:pPr>
        <w:ind w:left="1820" w:right="1939" w:hanging="141"/>
        <w:spacing w:after="0" w:line="263"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where payment of principal and interest may be made, where debt securities may be presented and where notices or demands upon the company may be made;</w:t>
      </w:r>
    </w:p>
    <w:p>
      <w:pPr>
        <w:spacing w:after="0" w:line="54" w:lineRule="exact"/>
        <w:rPr>
          <w:rFonts w:ascii="Times New Roman" w:cs="Times New Roman" w:eastAsia="Times New Roman" w:hAnsi="Times New Roman"/>
          <w:sz w:val="14"/>
          <w:szCs w:val="14"/>
          <w:color w:val="auto"/>
        </w:rPr>
      </w:pPr>
    </w:p>
    <w:p>
      <w:pPr>
        <w:ind w:left="1820" w:right="1619" w:hanging="141"/>
        <w:spacing w:after="0" w:line="263"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debt securities of the series including such legends as may be required by applicable law;</w:t>
      </w:r>
    </w:p>
    <w:p>
      <w:pPr>
        <w:spacing w:after="0" w:line="54" w:lineRule="exact"/>
        <w:rPr>
          <w:rFonts w:ascii="Times New Roman" w:cs="Times New Roman" w:eastAsia="Times New Roman" w:hAnsi="Times New Roman"/>
          <w:sz w:val="14"/>
          <w:szCs w:val="14"/>
          <w:color w:val="auto"/>
        </w:rPr>
      </w:pPr>
    </w:p>
    <w:p>
      <w:pPr>
        <w:ind w:left="1820" w:right="1499" w:hanging="141"/>
        <w:spacing w:after="0" w:line="263"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 and the date as of which the securities are dated if other than the date of original issuance;</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such security;</w:t>
      </w:r>
    </w:p>
    <w:p>
      <w:pPr>
        <w:spacing w:after="0" w:line="7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discount or premium, if any, with which the debt securities will be issued;</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83" w:lineRule="exact"/>
        <w:rPr>
          <w:rFonts w:ascii="Times New Roman" w:cs="Times New Roman" w:eastAsia="Times New Roman" w:hAnsi="Times New Roman"/>
          <w:sz w:val="14"/>
          <w:szCs w:val="14"/>
          <w:color w:val="auto"/>
        </w:rPr>
      </w:pPr>
    </w:p>
    <w:p>
      <w:pPr>
        <w:ind w:left="1820" w:right="1879" w:hanging="141"/>
        <w:spacing w:after="0" w:line="263"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 the defaults and events of default applicable to the particular debt securities being issued;</w:t>
      </w:r>
    </w:p>
    <w:p>
      <w:pPr>
        <w:spacing w:after="0" w:line="54" w:lineRule="exact"/>
        <w:rPr>
          <w:rFonts w:ascii="Times New Roman" w:cs="Times New Roman" w:eastAsia="Times New Roman" w:hAnsi="Times New Roman"/>
          <w:sz w:val="14"/>
          <w:szCs w:val="14"/>
          <w:color w:val="auto"/>
        </w:rPr>
      </w:pPr>
    </w:p>
    <w:p>
      <w:pPr>
        <w:ind w:left="1820" w:right="1439" w:hanging="141"/>
        <w:spacing w:after="0" w:line="263"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of each series, if any, and the extent of the guarantees (including provisions relating to seniority, subordination and release of the guarantees), if any;</w:t>
      </w:r>
    </w:p>
    <w:p>
      <w:pPr>
        <w:spacing w:after="0" w:line="54" w:lineRule="exact"/>
        <w:rPr>
          <w:rFonts w:ascii="Times New Roman" w:cs="Times New Roman" w:eastAsia="Times New Roman" w:hAnsi="Times New Roman"/>
          <w:sz w:val="14"/>
          <w:szCs w:val="14"/>
          <w:color w:val="auto"/>
        </w:rPr>
      </w:pPr>
    </w:p>
    <w:p>
      <w:pPr>
        <w:ind w:left="1820" w:right="1619" w:hanging="141"/>
        <w:spacing w:after="0" w:line="263"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purchase price for, the principal of and any premium and any interest on, the debt securities will be payable;</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5" w:name="page56"/>
    <w:bookmarkEnd w:id="55"/>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20" w:right="1599" w:hanging="141"/>
        <w:spacing w:after="0" w:line="263" w:lineRule="auto"/>
        <w:tabs>
          <w:tab w:leader="none" w:pos="1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period within which, the manner in which and the terms and conditions upon which we or the holders of the debt securities can select the payment currency;</w:t>
      </w:r>
    </w:p>
    <w:p>
      <w:pPr>
        <w:spacing w:after="0" w:line="54" w:lineRule="exact"/>
        <w:rPr>
          <w:rFonts w:ascii="Times New Roman" w:cs="Times New Roman" w:eastAsia="Times New Roman" w:hAnsi="Times New Roman"/>
          <w:sz w:val="14"/>
          <w:szCs w:val="14"/>
          <w:color w:val="auto"/>
        </w:rPr>
      </w:pPr>
    </w:p>
    <w:p>
      <w:pPr>
        <w:ind w:left="1820" w:right="2159" w:hanging="141"/>
        <w:spacing w:after="0" w:line="263" w:lineRule="auto"/>
        <w:tabs>
          <w:tab w:leader="none" w:pos="1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debt securities under a sinking fund, amortization or analogous provision;</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conditions on the transferability of the debt securities;</w:t>
      </w:r>
    </w:p>
    <w:p>
      <w:pPr>
        <w:spacing w:after="0" w:line="73" w:lineRule="exact"/>
        <w:rPr>
          <w:rFonts w:ascii="Times New Roman" w:cs="Times New Roman" w:eastAsia="Times New Roman" w:hAnsi="Times New Roman"/>
          <w:sz w:val="14"/>
          <w:szCs w:val="14"/>
          <w:color w:val="auto"/>
        </w:rPr>
      </w:pPr>
    </w:p>
    <w:p>
      <w:pPr>
        <w:ind w:left="1820" w:right="1799" w:hanging="141"/>
        <w:spacing w:after="0" w:line="263" w:lineRule="auto"/>
        <w:tabs>
          <w:tab w:leader="none" w:pos="1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granting special rights to holders of the debt securities upon occurrence of specified events;</w:t>
      </w:r>
    </w:p>
    <w:p>
      <w:pPr>
        <w:spacing w:after="0" w:line="54" w:lineRule="exact"/>
        <w:rPr>
          <w:rFonts w:ascii="Times New Roman" w:cs="Times New Roman" w:eastAsia="Times New Roman" w:hAnsi="Times New Roman"/>
          <w:sz w:val="14"/>
          <w:szCs w:val="14"/>
          <w:color w:val="auto"/>
        </w:rPr>
      </w:pPr>
    </w:p>
    <w:p>
      <w:pPr>
        <w:ind w:left="1820" w:right="1599" w:hanging="141"/>
        <w:spacing w:after="0" w:line="263" w:lineRule="auto"/>
        <w:tabs>
          <w:tab w:leader="none" w:pos="1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relating to compensation or reimbursement of the trustee of the series of debt securities;</w:t>
      </w:r>
    </w:p>
    <w:p>
      <w:pPr>
        <w:spacing w:after="0" w:line="44" w:lineRule="exact"/>
        <w:rPr>
          <w:rFonts w:ascii="Times New Roman" w:cs="Times New Roman" w:eastAsia="Times New Roman" w:hAnsi="Times New Roman"/>
          <w:sz w:val="14"/>
          <w:szCs w:val="14"/>
          <w:color w:val="auto"/>
        </w:rPr>
      </w:pPr>
    </w:p>
    <w:p>
      <w:pPr>
        <w:ind w:left="1820" w:right="1499" w:hanging="141"/>
        <w:spacing w:after="0" w:line="253" w:lineRule="auto"/>
        <w:tabs>
          <w:tab w:leader="none" w:pos="1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 and the execution of supplemental indentures for such series; and</w:t>
      </w:r>
    </w:p>
    <w:p>
      <w:pPr>
        <w:spacing w:after="0" w:line="61" w:lineRule="exact"/>
        <w:rPr>
          <w:rFonts w:ascii="Times New Roman" w:cs="Times New Roman" w:eastAsia="Times New Roman" w:hAnsi="Times New Roman"/>
          <w:sz w:val="14"/>
          <w:szCs w:val="14"/>
          <w:color w:val="auto"/>
        </w:rPr>
      </w:pPr>
    </w:p>
    <w:p>
      <w:pPr>
        <w:ind w:left="1820" w:right="1459" w:hanging="141"/>
        <w:spacing w:after="0" w:line="253" w:lineRule="auto"/>
        <w:tabs>
          <w:tab w:leader="none" w:pos="1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8" w:lineRule="exact"/>
        <w:rPr>
          <w:sz w:val="20"/>
          <w:szCs w:val="20"/>
          <w:color w:val="auto"/>
        </w:rPr>
      </w:pPr>
    </w:p>
    <w:p>
      <w:pPr>
        <w:ind w:left="1400" w:right="1519" w:firstLine="271"/>
        <w:spacing w:after="0" w:line="235" w:lineRule="auto"/>
        <w:rPr>
          <w:sz w:val="20"/>
          <w:szCs w:val="20"/>
          <w:color w:val="auto"/>
        </w:rPr>
      </w:pPr>
      <w:r>
        <w:rPr>
          <w:rFonts w:ascii="Times New Roman" w:cs="Times New Roman" w:eastAsia="Times New Roman" w:hAnsi="Times New Roman"/>
          <w:sz w:val="14"/>
          <w:szCs w:val="14"/>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93" w:lineRule="exact"/>
        <w:rPr>
          <w:sz w:val="20"/>
          <w:szCs w:val="20"/>
          <w:color w:val="auto"/>
        </w:rPr>
      </w:pPr>
    </w:p>
    <w:p>
      <w:pPr>
        <w:ind w:left="1400" w:right="1519" w:firstLine="271"/>
        <w:spacing w:after="0" w:line="235" w:lineRule="auto"/>
        <w:rPr>
          <w:sz w:val="20"/>
          <w:szCs w:val="20"/>
          <w:color w:val="auto"/>
        </w:rPr>
      </w:pPr>
      <w:r>
        <w:rPr>
          <w:rFonts w:ascii="Times New Roman" w:cs="Times New Roman" w:eastAsia="Times New Roman" w:hAnsi="Times New Roman"/>
          <w:sz w:val="14"/>
          <w:szCs w:val="14"/>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94" w:lineRule="exact"/>
        <w:rPr>
          <w:sz w:val="20"/>
          <w:szCs w:val="20"/>
          <w:color w:val="auto"/>
        </w:rPr>
      </w:pPr>
    </w:p>
    <w:p>
      <w:pPr>
        <w:ind w:left="1400" w:right="1699" w:firstLine="271"/>
        <w:spacing w:after="0" w:line="248" w:lineRule="auto"/>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an accompanying prospectus supplement.</w:t>
      </w:r>
    </w:p>
    <w:p>
      <w:pPr>
        <w:spacing w:after="0" w:line="85" w:lineRule="exact"/>
        <w:rPr>
          <w:sz w:val="20"/>
          <w:szCs w:val="20"/>
          <w:color w:val="auto"/>
        </w:rPr>
      </w:pPr>
    </w:p>
    <w:p>
      <w:pPr>
        <w:ind w:left="1400" w:right="1519" w:firstLine="271"/>
        <w:spacing w:after="0" w:line="238"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18" w:lineRule="exact"/>
        <w:rPr>
          <w:sz w:val="20"/>
          <w:szCs w:val="20"/>
          <w:color w:val="auto"/>
        </w:rPr>
      </w:pPr>
    </w:p>
    <w:p>
      <w:pPr>
        <w:ind w:left="1400" w:right="1479" w:firstLine="271"/>
        <w:spacing w:after="0" w:line="236" w:lineRule="auto"/>
        <w:rPr>
          <w:sz w:val="20"/>
          <w:szCs w:val="20"/>
          <w:color w:val="auto"/>
        </w:rPr>
      </w:pPr>
      <w:r>
        <w:rPr>
          <w:rFonts w:ascii="Times New Roman" w:cs="Times New Roman" w:eastAsia="Times New Roman" w:hAnsi="Times New Roman"/>
          <w:sz w:val="14"/>
          <w:szCs w:val="14"/>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6" w:name="page57"/>
    <w:bookmarkEnd w:id="56"/>
    <w:p>
      <w:pPr>
        <w:ind w:left="4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18" w:lineRule="exact"/>
        <w:rPr>
          <w:sz w:val="20"/>
          <w:szCs w:val="20"/>
          <w:color w:val="auto"/>
        </w:rPr>
      </w:pPr>
    </w:p>
    <w:p>
      <w:pPr>
        <w:ind w:left="1400" w:right="1579" w:firstLine="271"/>
        <w:spacing w:after="0" w:line="263" w:lineRule="auto"/>
        <w:rPr>
          <w:sz w:val="20"/>
          <w:szCs w:val="20"/>
          <w:color w:val="auto"/>
        </w:rPr>
      </w:pPr>
      <w:r>
        <w:rPr>
          <w:rFonts w:ascii="Times New Roman" w:cs="Times New Roman" w:eastAsia="Times New Roman" w:hAnsi="Times New Roman"/>
          <w:sz w:val="14"/>
          <w:szCs w:val="14"/>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7" w:name="page58"/>
    <w:bookmarkEnd w:id="57"/>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For a description of our outstanding warrants, see “Description of Capital Stock — Warrants.”</w:t>
      </w:r>
    </w:p>
    <w:p>
      <w:pPr>
        <w:spacing w:after="0" w:line="114" w:lineRule="exact"/>
        <w:rPr>
          <w:sz w:val="20"/>
          <w:szCs w:val="20"/>
          <w:color w:val="auto"/>
        </w:rPr>
      </w:pPr>
    </w:p>
    <w:p>
      <w:pPr>
        <w:ind w:left="1400" w:right="1419" w:firstLine="271"/>
        <w:spacing w:after="0" w:line="247" w:lineRule="auto"/>
        <w:rPr>
          <w:sz w:val="20"/>
          <w:szCs w:val="20"/>
          <w:color w:val="auto"/>
        </w:rPr>
      </w:pPr>
      <w:r>
        <w:rPr>
          <w:rFonts w:ascii="Times New Roman" w:cs="Times New Roman" w:eastAsia="Times New Roman" w:hAnsi="Times New Roman"/>
          <w:sz w:val="14"/>
          <w:szCs w:val="14"/>
          <w:color w:val="auto"/>
        </w:rPr>
        <w:t>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86" w:lineRule="exact"/>
        <w:rPr>
          <w:sz w:val="20"/>
          <w:szCs w:val="20"/>
          <w:color w:val="auto"/>
        </w:rPr>
      </w:pPr>
    </w:p>
    <w:p>
      <w:pPr>
        <w:ind w:left="1400" w:right="1659" w:firstLine="271"/>
        <w:spacing w:after="0" w:line="263" w:lineRule="auto"/>
        <w:rPr>
          <w:sz w:val="20"/>
          <w:szCs w:val="20"/>
          <w:color w:val="auto"/>
        </w:rPr>
      </w:pPr>
      <w:r>
        <w:rPr>
          <w:rFonts w:ascii="Times New Roman" w:cs="Times New Roman" w:eastAsia="Times New Roman" w:hAnsi="Times New Roman"/>
          <w:sz w:val="14"/>
          <w:szCs w:val="14"/>
          <w:color w:val="auto"/>
        </w:rPr>
        <w:t>The prospectus supplement relating to a particular issue of warrants will describe the terms of those warrants, including, when applicable:</w:t>
      </w:r>
    </w:p>
    <w:p>
      <w:pPr>
        <w:spacing w:after="0" w:line="55" w:lineRule="exact"/>
        <w:rPr>
          <w:sz w:val="20"/>
          <w:szCs w:val="20"/>
          <w:color w:val="auto"/>
        </w:rPr>
      </w:pPr>
    </w:p>
    <w:p>
      <w:pPr>
        <w:ind w:left="1820" w:hanging="141"/>
        <w:spacing w:after="0"/>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83" w:lineRule="exact"/>
        <w:rPr>
          <w:rFonts w:ascii="Times New Roman" w:cs="Times New Roman" w:eastAsia="Times New Roman" w:hAnsi="Times New Roman"/>
          <w:sz w:val="14"/>
          <w:szCs w:val="14"/>
          <w:color w:val="auto"/>
        </w:rPr>
      </w:pPr>
    </w:p>
    <w:p>
      <w:pPr>
        <w:ind w:left="1820" w:right="1839" w:hanging="141"/>
        <w:spacing w:after="0" w:line="263" w:lineRule="auto"/>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the purchase price and/or exercise price of the warrants may be payable;</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warrants offered;</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and the amount of securities you will receive upon exercise;</w:t>
      </w:r>
    </w:p>
    <w:p>
      <w:pPr>
        <w:spacing w:after="0" w:line="83" w:lineRule="exact"/>
        <w:rPr>
          <w:rFonts w:ascii="Times New Roman" w:cs="Times New Roman" w:eastAsia="Times New Roman" w:hAnsi="Times New Roman"/>
          <w:sz w:val="14"/>
          <w:szCs w:val="14"/>
          <w:color w:val="auto"/>
        </w:rPr>
      </w:pPr>
    </w:p>
    <w:p>
      <w:pPr>
        <w:ind w:left="1820" w:right="1519" w:hanging="141"/>
        <w:spacing w:after="0" w:line="263" w:lineRule="auto"/>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 for exercise of the warrants and the circumstances, if any, that will cause the warrants to be automatically exercised;</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if any, we have to redeem the warrants;</w:t>
      </w:r>
    </w:p>
    <w:p>
      <w:pPr>
        <w:spacing w:after="0" w:line="83" w:lineRule="exact"/>
        <w:rPr>
          <w:rFonts w:ascii="Times New Roman" w:cs="Times New Roman" w:eastAsia="Times New Roman" w:hAnsi="Times New Roman"/>
          <w:sz w:val="14"/>
          <w:szCs w:val="14"/>
          <w:color w:val="auto"/>
        </w:rPr>
      </w:pPr>
    </w:p>
    <w:p>
      <w:pPr>
        <w:ind w:left="1820" w:right="1899" w:hanging="141"/>
        <w:spacing w:after="0" w:line="263" w:lineRule="auto"/>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warrants will expire;</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warrant agent; and</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warrants.</w:t>
      </w:r>
    </w:p>
    <w:p>
      <w:pPr>
        <w:spacing w:after="0" w:line="114" w:lineRule="exact"/>
        <w:rPr>
          <w:sz w:val="20"/>
          <w:szCs w:val="20"/>
          <w:color w:val="auto"/>
        </w:rPr>
      </w:pPr>
    </w:p>
    <w:p>
      <w:pPr>
        <w:ind w:left="1400" w:right="2039" w:firstLine="271"/>
        <w:spacing w:after="0" w:line="263" w:lineRule="auto"/>
        <w:rPr>
          <w:sz w:val="20"/>
          <w:szCs w:val="20"/>
          <w:color w:val="auto"/>
        </w:rPr>
      </w:pPr>
      <w:r>
        <w:rPr>
          <w:rFonts w:ascii="Times New Roman" w:cs="Times New Roman" w:eastAsia="Times New Roman" w:hAnsi="Times New Roman"/>
          <w:sz w:val="14"/>
          <w:szCs w:val="14"/>
          <w:color w:val="auto"/>
        </w:rPr>
        <w:t>After warrants expire they will become void. The prospectus supplement may provide for the adjustment of the exercise price of the warrants.</w:t>
      </w:r>
    </w:p>
    <w:p>
      <w:pPr>
        <w:spacing w:after="0" w:line="85" w:lineRule="exact"/>
        <w:rPr>
          <w:sz w:val="20"/>
          <w:szCs w:val="20"/>
          <w:color w:val="auto"/>
        </w:rPr>
      </w:pPr>
    </w:p>
    <w:p>
      <w:pPr>
        <w:ind w:left="1400" w:right="1439" w:firstLine="271"/>
        <w:spacing w:after="0" w:line="249" w:lineRule="auto"/>
        <w:rPr>
          <w:sz w:val="20"/>
          <w:szCs w:val="20"/>
          <w:color w:val="auto"/>
        </w:rPr>
      </w:pPr>
      <w:r>
        <w:rPr>
          <w:rFonts w:ascii="Times New Roman" w:cs="Times New Roman" w:eastAsia="Times New Roman" w:hAnsi="Times New Roman"/>
          <w:sz w:val="14"/>
          <w:szCs w:val="14"/>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86" w:lineRule="exact"/>
        <w:rPr>
          <w:sz w:val="20"/>
          <w:szCs w:val="20"/>
          <w:color w:val="auto"/>
        </w:rPr>
      </w:pPr>
    </w:p>
    <w:p>
      <w:pPr>
        <w:ind w:left="1400" w:right="1499" w:firstLine="271"/>
        <w:spacing w:after="0" w:line="247"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8" w:name="page59"/>
    <w:bookmarkEnd w:id="58"/>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SUBSCRIPTION RIGHTS</w:t>
      </w:r>
    </w:p>
    <w:p>
      <w:pPr>
        <w:spacing w:after="0" w:line="118" w:lineRule="exact"/>
        <w:rPr>
          <w:sz w:val="20"/>
          <w:szCs w:val="20"/>
          <w:color w:val="auto"/>
        </w:rPr>
      </w:pPr>
    </w:p>
    <w:p>
      <w:pPr>
        <w:ind w:left="1400" w:right="1439" w:firstLine="271"/>
        <w:spacing w:after="0" w:line="247" w:lineRule="auto"/>
        <w:rPr>
          <w:sz w:val="20"/>
          <w:szCs w:val="20"/>
          <w:color w:val="auto"/>
        </w:rPr>
      </w:pPr>
      <w:r>
        <w:rPr>
          <w:rFonts w:ascii="Times New Roman" w:cs="Times New Roman" w:eastAsia="Times New Roman" w:hAnsi="Times New Roman"/>
          <w:sz w:val="14"/>
          <w:szCs w:val="14"/>
          <w:color w:val="auto"/>
        </w:rPr>
        <w:t>We may issue subscription rights to purchase shares of our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96" w:lineRule="exact"/>
        <w:rPr>
          <w:sz w:val="20"/>
          <w:szCs w:val="20"/>
          <w:color w:val="auto"/>
        </w:rPr>
      </w:pPr>
    </w:p>
    <w:p>
      <w:pPr>
        <w:ind w:left="1400" w:right="1639" w:firstLine="271"/>
        <w:spacing w:after="0" w:line="263" w:lineRule="auto"/>
        <w:rPr>
          <w:sz w:val="20"/>
          <w:szCs w:val="20"/>
          <w:color w:val="auto"/>
        </w:rPr>
      </w:pPr>
      <w:r>
        <w:rPr>
          <w:rFonts w:ascii="Times New Roman" w:cs="Times New Roman" w:eastAsia="Times New Roman" w:hAnsi="Times New Roman"/>
          <w:sz w:val="14"/>
          <w:szCs w:val="14"/>
          <w:color w:val="auto"/>
        </w:rPr>
        <w:t>The prospectus supplement relating to any subscription rights we may offer will contain the specific terms of the subscription rights. These terms may include the following:</w:t>
      </w:r>
    </w:p>
    <w:p>
      <w:pPr>
        <w:spacing w:after="0" w:line="55" w:lineRule="exact"/>
        <w:rPr>
          <w:sz w:val="20"/>
          <w:szCs w:val="20"/>
          <w:color w:val="auto"/>
        </w:rPr>
      </w:pPr>
    </w:p>
    <w:p>
      <w:pPr>
        <w:ind w:left="1820" w:hanging="141"/>
        <w:spacing w:after="0"/>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subscription rights;</w:t>
      </w:r>
    </w:p>
    <w:p>
      <w:pPr>
        <w:spacing w:after="0" w:line="83" w:lineRule="exact"/>
        <w:rPr>
          <w:rFonts w:ascii="Times New Roman" w:cs="Times New Roman" w:eastAsia="Times New Roman" w:hAnsi="Times New Roman"/>
          <w:sz w:val="14"/>
          <w:szCs w:val="14"/>
          <w:color w:val="auto"/>
        </w:rPr>
      </w:pPr>
    </w:p>
    <w:p>
      <w:pPr>
        <w:ind w:left="1820" w:right="1439" w:hanging="141"/>
        <w:spacing w:after="0" w:line="263"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each share of common stock or preferred stock or debt securities which may be purchased per each subscription right;</w:t>
      </w:r>
    </w:p>
    <w:p>
      <w:pPr>
        <w:spacing w:after="0" w:line="54" w:lineRule="exact"/>
        <w:rPr>
          <w:rFonts w:ascii="Times New Roman" w:cs="Times New Roman" w:eastAsia="Times New Roman" w:hAnsi="Times New Roman"/>
          <w:sz w:val="14"/>
          <w:szCs w:val="14"/>
          <w:color w:val="auto"/>
        </w:rPr>
      </w:pPr>
    </w:p>
    <w:p>
      <w:pPr>
        <w:ind w:left="1820" w:right="1499" w:hanging="141"/>
        <w:spacing w:after="0" w:line="263"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each share of common stock or preferred stock or debt securities upon the exercise of the subscription rights;</w:t>
      </w:r>
    </w:p>
    <w:p>
      <w:pPr>
        <w:spacing w:after="0" w:line="54"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are transferable;</w:t>
      </w:r>
    </w:p>
    <w:p>
      <w:pPr>
        <w:spacing w:after="0" w:line="83" w:lineRule="exact"/>
        <w:rPr>
          <w:rFonts w:ascii="Times New Roman" w:cs="Times New Roman" w:eastAsia="Times New Roman" w:hAnsi="Times New Roman"/>
          <w:sz w:val="14"/>
          <w:szCs w:val="14"/>
          <w:color w:val="auto"/>
        </w:rPr>
      </w:pPr>
    </w:p>
    <w:p>
      <w:pPr>
        <w:ind w:left="1820" w:right="1519" w:hanging="141"/>
        <w:spacing w:after="0" w:line="263"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adjustment of the number or amount of securities receivable upon exercise of the subscription rights or the exercise price of the subscription rights;</w:t>
      </w:r>
    </w:p>
    <w:p>
      <w:pPr>
        <w:spacing w:after="0" w:line="54" w:lineRule="exact"/>
        <w:rPr>
          <w:rFonts w:ascii="Times New Roman" w:cs="Times New Roman" w:eastAsia="Times New Roman" w:hAnsi="Times New Roman"/>
          <w:sz w:val="14"/>
          <w:szCs w:val="14"/>
          <w:color w:val="auto"/>
        </w:rPr>
      </w:pPr>
    </w:p>
    <w:p>
      <w:pPr>
        <w:ind w:left="1820" w:right="1479" w:hanging="141"/>
        <w:spacing w:after="0" w:line="263"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the terms, procedures and limitations relating to the exchange and exercise of the subscription rights;</w:t>
      </w:r>
    </w:p>
    <w:p>
      <w:pPr>
        <w:spacing w:after="0" w:line="54" w:lineRule="exact"/>
        <w:rPr>
          <w:rFonts w:ascii="Times New Roman" w:cs="Times New Roman" w:eastAsia="Times New Roman" w:hAnsi="Times New Roman"/>
          <w:sz w:val="14"/>
          <w:szCs w:val="14"/>
          <w:color w:val="auto"/>
        </w:rPr>
      </w:pPr>
    </w:p>
    <w:p>
      <w:pPr>
        <w:ind w:left="1820" w:right="1459" w:hanging="141"/>
        <w:spacing w:after="0" w:line="263"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subscription rights shall commence, and the date on which the subscription rights shall expire;</w:t>
      </w:r>
    </w:p>
    <w:p>
      <w:pPr>
        <w:spacing w:after="0" w:line="54" w:lineRule="exact"/>
        <w:rPr>
          <w:rFonts w:ascii="Times New Roman" w:cs="Times New Roman" w:eastAsia="Times New Roman" w:hAnsi="Times New Roman"/>
          <w:sz w:val="14"/>
          <w:szCs w:val="14"/>
          <w:color w:val="auto"/>
        </w:rPr>
      </w:pPr>
    </w:p>
    <w:p>
      <w:pPr>
        <w:ind w:left="1820" w:right="1459" w:hanging="141"/>
        <w:spacing w:after="0" w:line="263"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may include an over-subscription privilege with respect to unsubscribed securities; and</w:t>
      </w:r>
    </w:p>
    <w:p>
      <w:pPr>
        <w:spacing w:after="0" w:line="54" w:lineRule="exact"/>
        <w:rPr>
          <w:rFonts w:ascii="Times New Roman" w:cs="Times New Roman" w:eastAsia="Times New Roman" w:hAnsi="Times New Roman"/>
          <w:sz w:val="14"/>
          <w:szCs w:val="14"/>
          <w:color w:val="auto"/>
        </w:rPr>
      </w:pPr>
    </w:p>
    <w:p>
      <w:pPr>
        <w:ind w:left="1820" w:right="1599" w:hanging="141"/>
        <w:spacing w:after="0" w:line="263"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entered into by us in connection with the offering of subscription rights.</w:t>
      </w:r>
    </w:p>
    <w:p>
      <w:pPr>
        <w:spacing w:after="0" w:line="75" w:lineRule="exact"/>
        <w:rPr>
          <w:sz w:val="20"/>
          <w:szCs w:val="20"/>
          <w:color w:val="auto"/>
        </w:rPr>
      </w:pPr>
    </w:p>
    <w:p>
      <w:pPr>
        <w:ind w:left="1400" w:right="1439" w:firstLine="271"/>
        <w:spacing w:after="0" w:line="246"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9" w:name="page60"/>
    <w:bookmarkEnd w:id="59"/>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PURCHASE CONTRACTS AND PURCHASE UNITS</w:t>
      </w:r>
    </w:p>
    <w:p>
      <w:pPr>
        <w:spacing w:after="0" w:line="118" w:lineRule="exact"/>
        <w:rPr>
          <w:sz w:val="20"/>
          <w:szCs w:val="20"/>
          <w:color w:val="auto"/>
        </w:rPr>
      </w:pPr>
    </w:p>
    <w:p>
      <w:pPr>
        <w:ind w:left="1400" w:right="1419" w:firstLine="271"/>
        <w:spacing w:after="0" w:line="244" w:lineRule="auto"/>
        <w:rPr>
          <w:sz w:val="20"/>
          <w:szCs w:val="20"/>
          <w:color w:val="auto"/>
        </w:rPr>
      </w:pPr>
      <w:r>
        <w:rPr>
          <w:rFonts w:ascii="Times New Roman" w:cs="Times New Roman" w:eastAsia="Times New Roman" w:hAnsi="Times New Roman"/>
          <w:sz w:val="14"/>
          <w:szCs w:val="14"/>
          <w:color w:val="auto"/>
        </w:rPr>
        <w:t>We may issue purchase contracts, including contracts obligating holders to purchase from us, and obligating us to sell to the holders, a specified number of shares of our common stock, shares of our preferred stock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debt securities or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spacing w:after="0" w:line="103" w:lineRule="exact"/>
        <w:rPr>
          <w:sz w:val="20"/>
          <w:szCs w:val="20"/>
          <w:color w:val="auto"/>
        </w:rPr>
      </w:pPr>
    </w:p>
    <w:p>
      <w:pPr>
        <w:ind w:left="1400" w:right="1539" w:firstLine="271"/>
        <w:spacing w:after="0" w:line="246"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60" w:name="page61"/>
    <w:bookmarkEnd w:id="60"/>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18" w:lineRule="exact"/>
        <w:rPr>
          <w:sz w:val="20"/>
          <w:szCs w:val="20"/>
          <w:color w:val="auto"/>
        </w:rPr>
      </w:pPr>
    </w:p>
    <w:p>
      <w:pPr>
        <w:ind w:left="1400" w:right="1719" w:firstLine="271"/>
        <w:spacing w:after="0" w:line="253" w:lineRule="auto"/>
        <w:rPr>
          <w:sz w:val="20"/>
          <w:szCs w:val="20"/>
          <w:color w:val="auto"/>
        </w:rPr>
      </w:pPr>
      <w:r>
        <w:rPr>
          <w:rFonts w:ascii="Times New Roman" w:cs="Times New Roman" w:eastAsia="Times New Roman" w:hAnsi="Times New Roman"/>
          <w:sz w:val="14"/>
          <w:szCs w:val="14"/>
          <w:color w:val="auto"/>
        </w:rPr>
        <w:t>Information about selling securityholders, where applicable, will be set forth in a prospectus supplement, in a post-effective amendment or in filings we make with the SEC under the Exchange Act which are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61" w:name="page62"/>
    <w:bookmarkEnd w:id="61"/>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18" w:lineRule="exact"/>
        <w:rPr>
          <w:sz w:val="20"/>
          <w:szCs w:val="20"/>
          <w:color w:val="auto"/>
        </w:rPr>
      </w:pPr>
    </w:p>
    <w:p>
      <w:pPr>
        <w:ind w:left="1400" w:right="1719" w:firstLine="271"/>
        <w:spacing w:after="0" w:line="263" w:lineRule="auto"/>
        <w:rPr>
          <w:sz w:val="20"/>
          <w:szCs w:val="20"/>
          <w:color w:val="auto"/>
        </w:rPr>
      </w:pPr>
      <w:r>
        <w:rPr>
          <w:rFonts w:ascii="Times New Roman" w:cs="Times New Roman" w:eastAsia="Times New Roman" w:hAnsi="Times New Roman"/>
          <w:sz w:val="14"/>
          <w:szCs w:val="14"/>
          <w:color w:val="auto"/>
        </w:rPr>
        <w:t>We or the selling securityholders may sell the securities being offered hereby in one or more of the following ways from time to time:</w:t>
      </w:r>
    </w:p>
    <w:p>
      <w:pPr>
        <w:spacing w:after="0" w:line="55" w:lineRule="exact"/>
        <w:rPr>
          <w:sz w:val="20"/>
          <w:szCs w:val="20"/>
          <w:color w:val="auto"/>
        </w:rPr>
      </w:pPr>
    </w:p>
    <w:p>
      <w:pPr>
        <w:ind w:left="1820" w:hanging="141"/>
        <w:spacing w:after="0"/>
        <w:tabs>
          <w:tab w:leader="none" w:pos="1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for resale to purchasers;</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 dealers to purchasers; or</w:t>
      </w:r>
    </w:p>
    <w:p>
      <w:pPr>
        <w:spacing w:after="0" w:line="83" w:lineRule="exact"/>
        <w:rPr>
          <w:rFonts w:ascii="Times New Roman" w:cs="Times New Roman" w:eastAsia="Times New Roman" w:hAnsi="Times New Roman"/>
          <w:sz w:val="14"/>
          <w:szCs w:val="14"/>
          <w:color w:val="auto"/>
        </w:rPr>
      </w:pPr>
    </w:p>
    <w:p>
      <w:pPr>
        <w:ind w:left="1820" w:hanging="141"/>
        <w:spacing w:after="0"/>
        <w:tabs>
          <w:tab w:leader="none" w:pos="1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14" w:lineRule="exact"/>
        <w:rPr>
          <w:sz w:val="20"/>
          <w:szCs w:val="20"/>
          <w:color w:val="auto"/>
        </w:rPr>
      </w:pPr>
    </w:p>
    <w:p>
      <w:pPr>
        <w:ind w:left="1400" w:right="1439" w:firstLine="271"/>
        <w:spacing w:after="0" w:line="245" w:lineRule="auto"/>
        <w:rPr>
          <w:sz w:val="20"/>
          <w:szCs w:val="20"/>
          <w:color w:val="auto"/>
        </w:rPr>
      </w:pPr>
      <w:r>
        <w:rPr>
          <w:rFonts w:ascii="Times New Roman" w:cs="Times New Roman" w:eastAsia="Times New Roman" w:hAnsi="Times New Roman"/>
          <w:sz w:val="14"/>
          <w:szCs w:val="14"/>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91" w:lineRule="exact"/>
        <w:rPr>
          <w:sz w:val="20"/>
          <w:szCs w:val="20"/>
          <w:color w:val="auto"/>
        </w:rPr>
      </w:pPr>
    </w:p>
    <w:p>
      <w:pPr>
        <w:ind w:left="1400" w:right="1559" w:firstLine="271"/>
        <w:spacing w:after="0" w:line="263"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62" w:name="page63"/>
    <w:bookmarkEnd w:id="62"/>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18" w:lineRule="exact"/>
        <w:rPr>
          <w:sz w:val="20"/>
          <w:szCs w:val="20"/>
          <w:color w:val="auto"/>
        </w:rPr>
      </w:pPr>
    </w:p>
    <w:p>
      <w:pPr>
        <w:ind w:left="1400" w:right="1439" w:firstLine="271"/>
        <w:spacing w:after="0" w:line="248" w:lineRule="auto"/>
        <w:rPr>
          <w:sz w:val="20"/>
          <w:szCs w:val="20"/>
          <w:color w:val="auto"/>
        </w:rPr>
      </w:pPr>
      <w:r>
        <w:rPr>
          <w:rFonts w:ascii="Times New Roman" w:cs="Times New Roman" w:eastAsia="Times New Roman" w:hAnsi="Times New Roman"/>
          <w:sz w:val="14"/>
          <w:szCs w:val="14"/>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63" w:name="page64"/>
    <w:bookmarkEnd w:id="63"/>
    <w:p>
      <w:pPr>
        <w:ind w:left="4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18" w:lineRule="exact"/>
        <w:rPr>
          <w:sz w:val="20"/>
          <w:szCs w:val="20"/>
          <w:color w:val="auto"/>
        </w:rPr>
      </w:pPr>
    </w:p>
    <w:p>
      <w:pPr>
        <w:ind w:left="1400" w:right="1499" w:firstLine="271"/>
        <w:spacing w:after="0" w:line="248" w:lineRule="auto"/>
        <w:rPr>
          <w:sz w:val="20"/>
          <w:szCs w:val="20"/>
          <w:color w:val="auto"/>
        </w:rPr>
      </w:pPr>
      <w:r>
        <w:rPr>
          <w:rFonts w:ascii="Times New Roman" w:cs="Times New Roman" w:eastAsia="Times New Roman" w:hAnsi="Times New Roman"/>
          <w:sz w:val="14"/>
          <w:szCs w:val="14"/>
          <w:color w:val="auto"/>
        </w:rPr>
        <w:t>The consolidated financial statements of Lucid Group, Inc. as of and for the period ended December 31, 2023, and management’s assessment of the effectiveness of internal control over financial reporting as of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95" w:lineRule="exact"/>
        <w:rPr>
          <w:sz w:val="20"/>
          <w:szCs w:val="20"/>
          <w:color w:val="auto"/>
        </w:rPr>
      </w:pPr>
    </w:p>
    <w:p>
      <w:pPr>
        <w:ind w:left="1400" w:right="1499" w:firstLine="271"/>
        <w:spacing w:after="0" w:line="249" w:lineRule="auto"/>
        <w:rPr>
          <w:sz w:val="20"/>
          <w:szCs w:val="20"/>
          <w:color w:val="auto"/>
        </w:rPr>
      </w:pPr>
      <w:r>
        <w:rPr>
          <w:rFonts w:ascii="Times New Roman" w:cs="Times New Roman" w:eastAsia="Times New Roman" w:hAnsi="Times New Roman"/>
          <w:sz w:val="14"/>
          <w:szCs w:val="14"/>
          <w:color w:val="auto"/>
        </w:rPr>
        <w:t>The audited financial statements of Lucid Group, Inc. as of and for the two years in the period ended December 31, 2022 incorporated by reference in this prospectus and elsewhere in the registration statement have been so incorporated by reference in reliance upon the report of Grant Thornton LLP, an independent registered public accounting firm,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184150</wp:posOffset>
            </wp:positionV>
            <wp:extent cx="516064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64" w:name="page65"/>
    <w:bookmarkEnd w:id="64"/>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Lucid Group, Inc.</w:t>
      </w:r>
    </w:p>
    <w:p>
      <w:pPr>
        <w:spacing w:after="0" w:line="12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Table 1: Newly Registered and Carry Forward Securities</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40" w:type="dxa"/>
            <w:vAlign w:val="bottom"/>
            <w:tcBorders>
              <w:left w:val="single" w:sz="8" w:color="auto"/>
            </w:tcBorders>
          </w:tcPr>
          <w:p>
            <w:pPr>
              <w:spacing w:after="0"/>
              <w:rPr>
                <w:sz w:val="13"/>
                <w:szCs w:val="13"/>
                <w:color w:val="auto"/>
              </w:rPr>
            </w:pPr>
          </w:p>
        </w:tc>
        <w:tc>
          <w:tcPr>
            <w:tcW w:w="7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right w:val="single" w:sz="8" w:color="auto"/>
            </w:tcBorders>
            <w:shd w:val="clear" w:color="auto" w:fill="9ADAF6"/>
          </w:tcPr>
          <w:p>
            <w:pPr>
              <w:jc w:val="center"/>
              <w:spacing w:after="0" w:line="155" w:lineRule="exact"/>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7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Calculation</w:t>
            </w:r>
          </w:p>
        </w:tc>
        <w:tc>
          <w:tcPr>
            <w:tcW w:w="20" w:type="dxa"/>
            <w:vAlign w:val="bottom"/>
          </w:tcPr>
          <w:p>
            <w:pPr>
              <w:spacing w:after="0"/>
              <w:rPr>
                <w:sz w:val="7"/>
                <w:szCs w:val="7"/>
                <w:color w:val="auto"/>
              </w:rPr>
            </w:pPr>
          </w:p>
        </w:tc>
        <w:tc>
          <w:tcPr>
            <w:tcW w:w="9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7"/>
                <w:szCs w:val="7"/>
                <w:color w:val="auto"/>
              </w:rPr>
            </w:pPr>
          </w:p>
        </w:tc>
        <w:tc>
          <w:tcPr>
            <w:tcW w:w="940" w:type="dxa"/>
            <w:vAlign w:val="bottom"/>
            <w:tcBorders>
              <w:right w:val="single" w:sz="8" w:color="auto"/>
            </w:tcBorders>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20"/>
              <w:spacing w:after="0" w:line="164"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840" w:type="dxa"/>
            <w:vAlign w:val="bottom"/>
            <w:shd w:val="clear" w:color="auto" w:fill="9ADAF6"/>
          </w:tcPr>
          <w:p>
            <w:pPr>
              <w:ind w:left="100"/>
              <w:spacing w:after="0" w:line="164"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right"/>
              <w:ind w:right="79"/>
              <w:spacing w:after="0" w:line="164"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 Carry</w:t>
            </w:r>
          </w:p>
        </w:tc>
        <w:tc>
          <w:tcPr>
            <w:tcW w:w="20" w:type="dxa"/>
            <w:vAlign w:val="bottom"/>
          </w:tcPr>
          <w:p>
            <w:pPr>
              <w:spacing w:after="0"/>
              <w:rPr>
                <w:sz w:val="15"/>
                <w:szCs w:val="15"/>
                <w:color w:val="auto"/>
              </w:rPr>
            </w:pPr>
          </w:p>
        </w:tc>
        <w:tc>
          <w:tcPr>
            <w:tcW w:w="94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ind w:left="200"/>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line="178" w:lineRule="exact"/>
              <w:rPr>
                <w:sz w:val="20"/>
                <w:szCs w:val="20"/>
                <w:color w:val="auto"/>
              </w:rPr>
            </w:pPr>
            <w:r>
              <w:rPr>
                <w:rFonts w:ascii="Arial" w:cs="Arial" w:eastAsia="Arial" w:hAnsi="Arial"/>
                <w:sz w:val="16"/>
                <w:szCs w:val="16"/>
                <w:color w:val="auto"/>
              </w:rPr>
              <w:t>Series A</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Convertible</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$ 849,554,889.89</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0.0001531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$ 130,066.85</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Series B</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Convertible</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75,000</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$ 505,629,476.12</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0.0001531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$ 77,411.87</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297,567,387</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0.0001531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177,103,144</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0.0001531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396,188,386</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w w:val="97"/>
              </w:rPr>
              <w:t>$ 2.855</w:t>
            </w:r>
          </w:p>
        </w:tc>
        <w:tc>
          <w:tcPr>
            <w:tcW w:w="20" w:type="dxa"/>
            <w:vAlign w:val="bottom"/>
          </w:tcPr>
          <w:p>
            <w:pPr>
              <w:spacing w:after="0"/>
              <w:rPr>
                <w:sz w:val="15"/>
                <w:szCs w:val="15"/>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0.0001531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$ 173,174.14</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5"/>
                <w:szCs w:val="15"/>
                <w:color w:val="auto"/>
              </w:rPr>
            </w:pPr>
          </w:p>
        </w:tc>
        <w:tc>
          <w:tcPr>
            <w:tcW w:w="1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5"/>
                <w:szCs w:val="15"/>
                <w:color w:val="auto"/>
              </w:rPr>
            </w:pPr>
          </w:p>
        </w:tc>
        <w:tc>
          <w:tcPr>
            <w:tcW w:w="9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1,131,117,842.03</w:t>
            </w:r>
          </w:p>
        </w:tc>
        <w:tc>
          <w:tcPr>
            <w:tcW w:w="20" w:type="dxa"/>
            <w:vAlign w:val="bottom"/>
          </w:tcPr>
          <w:p>
            <w:pPr>
              <w:spacing w:after="0"/>
              <w:rPr>
                <w:sz w:val="15"/>
                <w:szCs w:val="15"/>
                <w:color w:val="auto"/>
              </w:rPr>
            </w:pPr>
          </w:p>
        </w:tc>
        <w:tc>
          <w:tcPr>
            <w:tcW w:w="8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ind w:left="320"/>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$ 380,652.86</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2,486,302,208.04</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$ 380,652.86</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1.a. All securities offered hereby are for the account of the selling stockholder named in the prospectus supplement to the Registration Statement No.</w:t>
      </w:r>
    </w:p>
    <w:p>
      <w:pPr>
        <w:spacing w:after="0" w:line="15" w:lineRule="exact"/>
        <w:rPr>
          <w:sz w:val="20"/>
          <w:szCs w:val="20"/>
          <w:color w:val="auto"/>
        </w:rPr>
      </w:pPr>
    </w:p>
    <w:p>
      <w:pPr>
        <w:ind w:left="200" w:right="140"/>
        <w:spacing w:after="0" w:line="249" w:lineRule="auto"/>
        <w:rPr>
          <w:sz w:val="20"/>
          <w:szCs w:val="20"/>
          <w:color w:val="auto"/>
        </w:rPr>
      </w:pPr>
      <w:r>
        <w:rPr>
          <w:rFonts w:ascii="Arial" w:cs="Arial" w:eastAsia="Arial" w:hAnsi="Arial"/>
          <w:sz w:val="16"/>
          <w:szCs w:val="16"/>
          <w:color w:val="auto"/>
        </w:rPr>
        <w:t>333-282677 on Form S-3. In accordance with Rule 416 under the Securities Act of 1933, as amended (the "Securities Act"), this Registration Statement shall be deemed to cover any additional shares to be offered or issued from stock splits, stock dividends or similar transactions with respect to the shares being registered.</w:t>
      </w:r>
    </w:p>
    <w:p>
      <w:pPr>
        <w:spacing w:after="0" w:line="145" w:lineRule="exact"/>
        <w:rPr>
          <w:sz w:val="20"/>
          <w:szCs w:val="20"/>
          <w:color w:val="auto"/>
        </w:rPr>
      </w:pPr>
    </w:p>
    <w:p>
      <w:pPr>
        <w:ind w:left="200" w:right="120"/>
        <w:spacing w:after="0" w:line="259" w:lineRule="auto"/>
        <w:rPr>
          <w:sz w:val="20"/>
          <w:szCs w:val="20"/>
          <w:color w:val="auto"/>
        </w:rPr>
      </w:pPr>
      <w:r>
        <w:rPr>
          <w:rFonts w:ascii="Arial" w:cs="Arial" w:eastAsia="Arial" w:hAnsi="Arial"/>
          <w:sz w:val="16"/>
          <w:szCs w:val="16"/>
          <w:color w:val="auto"/>
        </w:rPr>
        <w:t>1.b. Calculated solely for the purpose of calculating the registration fee pursuant to Rule 457(c) under the Securities Act, the Proposed Maximum Offering Price Per Share is based on the average of the high and low prices of the common stock, as reported on The Nasdaq Stock Market LLC as of February 24, 2025.</w:t>
      </w:r>
    </w:p>
    <w:p>
      <w:pPr>
        <w:spacing w:after="0" w:line="138" w:lineRule="exact"/>
        <w:rPr>
          <w:sz w:val="20"/>
          <w:szCs w:val="20"/>
          <w:color w:val="auto"/>
        </w:rPr>
      </w:pPr>
    </w:p>
    <w:p>
      <w:pPr>
        <w:ind w:left="200" w:right="100"/>
        <w:spacing w:after="0" w:line="280" w:lineRule="auto"/>
        <w:rPr>
          <w:sz w:val="20"/>
          <w:szCs w:val="20"/>
          <w:color w:val="auto"/>
        </w:rPr>
      </w:pPr>
      <w:r>
        <w:rPr>
          <w:rFonts w:ascii="Arial" w:cs="Arial" w:eastAsia="Arial" w:hAnsi="Arial"/>
          <w:sz w:val="16"/>
          <w:szCs w:val="16"/>
          <w:color w:val="auto"/>
        </w:rPr>
        <w:t>1.c. The Maximum Aggregate Offering Price is calculated as the product of (i) 297,567,387 (the amount of common stock issuable upon conversion of the Series A Convertible Preferred Stock that is being registered on this Form S-3), multiplied by (ii) the Proposed Maximum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154940</wp:posOffset>
            </wp:positionV>
            <wp:extent cx="705548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055485" cy="38100"/>
                    </a:xfrm>
                    <a:prstGeom prst="rect">
                      <a:avLst/>
                    </a:prstGeom>
                    <a:noFill/>
                  </pic:spPr>
                </pic:pic>
              </a:graphicData>
            </a:graphic>
          </wp:anchor>
        </w:drawing>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2.a. All securities offered hereby are for the account of the selling stockholder named in the prospectus supplement to the Registration Statement No.</w:t>
      </w:r>
    </w:p>
    <w:p>
      <w:pPr>
        <w:spacing w:after="0" w:line="15" w:lineRule="exact"/>
        <w:rPr>
          <w:sz w:val="20"/>
          <w:szCs w:val="20"/>
          <w:color w:val="auto"/>
        </w:rPr>
      </w:pPr>
    </w:p>
    <w:p>
      <w:pPr>
        <w:ind w:left="200" w:right="140"/>
        <w:spacing w:after="0" w:line="249" w:lineRule="auto"/>
        <w:rPr>
          <w:sz w:val="20"/>
          <w:szCs w:val="20"/>
          <w:color w:val="auto"/>
        </w:rPr>
      </w:pPr>
      <w:r>
        <w:rPr>
          <w:rFonts w:ascii="Arial" w:cs="Arial" w:eastAsia="Arial" w:hAnsi="Arial"/>
          <w:sz w:val="16"/>
          <w:szCs w:val="16"/>
          <w:color w:val="auto"/>
        </w:rPr>
        <w:t>333-282677 on Form S-3. In accordance with Rule 416 under the Securities Act of 1933, as amended (the "Securities Act"), this Registration Statement shall be deemed to cover any additional shares to be offered or issued from stock splits, stock dividends or similar transactions with respect to the shares being registered.</w:t>
      </w:r>
    </w:p>
    <w:p>
      <w:pPr>
        <w:spacing w:after="0" w:line="145" w:lineRule="exact"/>
        <w:rPr>
          <w:sz w:val="20"/>
          <w:szCs w:val="20"/>
          <w:color w:val="auto"/>
        </w:rPr>
      </w:pPr>
    </w:p>
    <w:p>
      <w:pPr>
        <w:ind w:left="200" w:right="120"/>
        <w:spacing w:after="0" w:line="259" w:lineRule="auto"/>
        <w:rPr>
          <w:sz w:val="20"/>
          <w:szCs w:val="20"/>
          <w:color w:val="auto"/>
        </w:rPr>
      </w:pPr>
      <w:r>
        <w:rPr>
          <w:rFonts w:ascii="Arial" w:cs="Arial" w:eastAsia="Arial" w:hAnsi="Arial"/>
          <w:sz w:val="16"/>
          <w:szCs w:val="16"/>
          <w:color w:val="auto"/>
        </w:rPr>
        <w:t>2.b. Calculated solely for the purpose of calculating the registration fee pursuant to Rule 457(c) under the Securities Act, the Proposed Maximum Offering Price Per Share is based on the average of the high and low prices of the common stock, as reported on The Nasdaq Stock Market LLC as of February 24, 2025.</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2.c. The Maximum Aggregate Offering Price is calculated as the product of (i) 177,103,144 (the amount of common stock issuable upon conversion of the</w:t>
      </w:r>
    </w:p>
    <w:p>
      <w:pPr>
        <w:sectPr>
          <w:pgSz w:w="11900" w:h="16838" w:orient="portrait"/>
          <w:cols w:equalWidth="0" w:num="1">
            <w:col w:w="11360"/>
          </w:cols>
          <w:pgMar w:left="300" w:top="141" w:right="239" w:bottom="0" w:gutter="0" w:footer="0" w:header="0"/>
        </w:sectPr>
      </w:pPr>
    </w:p>
    <w:bookmarkStart w:id="65" w:name="page66"/>
    <w:bookmarkEnd w:id="65"/>
    <w:p>
      <w:pPr>
        <w:ind w:left="160"/>
        <w:spacing w:after="0"/>
        <w:rPr>
          <w:sz w:val="20"/>
          <w:szCs w:val="20"/>
          <w:color w:val="auto"/>
        </w:rPr>
      </w:pPr>
      <w:r>
        <w:rPr>
          <w:rFonts w:ascii="Arial" w:cs="Arial" w:eastAsia="Arial" w:hAnsi="Arial"/>
          <w:sz w:val="16"/>
          <w:szCs w:val="16"/>
          <w:color w:val="auto"/>
        </w:rPr>
        <w:t>Series B Convertible Preferred Stock that is being registered on this Form S-3), multiplied by (ii) the Proposed Maximum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193675</wp:posOffset>
            </wp:positionV>
            <wp:extent cx="705548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055485" cy="3810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3.a. All securities offered hereby are for the account of the selling stockholder named in the prospectus supplement to the Registration Statement No.</w:t>
      </w:r>
    </w:p>
    <w:p>
      <w:pPr>
        <w:spacing w:after="0" w:line="15"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333-282677 on Form S-3. In accordance with Rule 416 under the Securities Act of 1933, as amended (the "Securities Act"), this Registration Statement shall be deemed to cover any additional shares to be offered or issued from stock splits, stock dividends or similar transactions with respect to the shares being registered.</w:t>
      </w:r>
    </w:p>
    <w:p>
      <w:pPr>
        <w:spacing w:after="0" w:line="145" w:lineRule="exact"/>
        <w:rPr>
          <w:sz w:val="20"/>
          <w:szCs w:val="20"/>
          <w:color w:val="auto"/>
        </w:rPr>
      </w:pPr>
    </w:p>
    <w:p>
      <w:pPr>
        <w:ind w:left="160" w:right="100"/>
        <w:spacing w:after="0" w:line="259" w:lineRule="auto"/>
        <w:rPr>
          <w:sz w:val="20"/>
          <w:szCs w:val="20"/>
          <w:color w:val="auto"/>
        </w:rPr>
      </w:pPr>
      <w:r>
        <w:rPr>
          <w:rFonts w:ascii="Arial" w:cs="Arial" w:eastAsia="Arial" w:hAnsi="Arial"/>
          <w:sz w:val="16"/>
          <w:szCs w:val="16"/>
          <w:color w:val="auto"/>
        </w:rPr>
        <w:t>3.b. Represents 297,567,387 shares of common stock issuable upon conversion of the Series A Convertible Preferred Stock being registered under this Registration Statement. The shares of our common stock issuable upon conversion of the Series A and Series B Convertible Preferred Stock will be issued for no additional consideration and therefore, no additional registration fee is required pursuant to Rule 457(i)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165735</wp:posOffset>
            </wp:positionV>
            <wp:extent cx="705548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055485" cy="3810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4.a. All securities offered hereby are for the account of the selling stockholder named in the prospectus supplement to the Registration Statement No.</w:t>
      </w:r>
    </w:p>
    <w:p>
      <w:pPr>
        <w:spacing w:after="0" w:line="15"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333-282677 on Form S-3. In accordance with Rule 416 under the Securities Act of 1933, as amended (the "Securities Act"), this Registration Statement shall be deemed to cover any additional shares to be offered or issued from stock splits, stock dividends or similar transactions with respect to the shares being registered.</w:t>
      </w:r>
    </w:p>
    <w:p>
      <w:pPr>
        <w:spacing w:after="0" w:line="145" w:lineRule="exact"/>
        <w:rPr>
          <w:sz w:val="20"/>
          <w:szCs w:val="20"/>
          <w:color w:val="auto"/>
        </w:rPr>
      </w:pPr>
    </w:p>
    <w:p>
      <w:pPr>
        <w:ind w:left="160" w:right="100"/>
        <w:spacing w:after="0" w:line="259" w:lineRule="auto"/>
        <w:rPr>
          <w:sz w:val="20"/>
          <w:szCs w:val="20"/>
          <w:color w:val="auto"/>
        </w:rPr>
      </w:pPr>
      <w:r>
        <w:rPr>
          <w:rFonts w:ascii="Arial" w:cs="Arial" w:eastAsia="Arial" w:hAnsi="Arial"/>
          <w:sz w:val="16"/>
          <w:szCs w:val="16"/>
          <w:color w:val="auto"/>
        </w:rPr>
        <w:t>4.b. Represents 177,103,144 shares of common stock issuable upon conversion of the Series B Convertible Preferred Stock being registered under this Registration Statement. The shares of our common stock issuable upon conversion of the Series A and Series B Convertible Preferred Stock will be issued for no additional consideration and therefore, no additional registration fee is required pursuant to Rule 457(i)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48895</wp:posOffset>
            </wp:positionV>
            <wp:extent cx="705548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055485" cy="3810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5.a. All securities offered hereby are for the account of the selling stockholder named in the prospectus supplement to the Registration Statement No.</w:t>
      </w:r>
    </w:p>
    <w:p>
      <w:pPr>
        <w:spacing w:after="0" w:line="15"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333-282677 on Form S-3. In accordance with Rule 416 under the Securities Act of 1933, as amended (the "Securities Act"), this Registration Statement shall be deemed to cover any additional shares to be offered or issued from stock splits, stock dividends or similar transactions with respect to the shares being registered.</w:t>
      </w:r>
    </w:p>
    <w:p>
      <w:pPr>
        <w:spacing w:after="0" w:line="145" w:lineRule="exact"/>
        <w:rPr>
          <w:sz w:val="20"/>
          <w:szCs w:val="20"/>
          <w:color w:val="auto"/>
        </w:rPr>
      </w:pPr>
    </w:p>
    <w:p>
      <w:pPr>
        <w:ind w:left="160"/>
        <w:spacing w:after="0" w:line="259" w:lineRule="auto"/>
        <w:rPr>
          <w:sz w:val="20"/>
          <w:szCs w:val="20"/>
          <w:color w:val="auto"/>
        </w:rPr>
      </w:pPr>
      <w:r>
        <w:rPr>
          <w:rFonts w:ascii="Arial" w:cs="Arial" w:eastAsia="Arial" w:hAnsi="Arial"/>
          <w:sz w:val="16"/>
          <w:szCs w:val="16"/>
          <w:color w:val="auto"/>
        </w:rPr>
        <w:t>5.b. Calculated solely for the purpose of calculating the registration fee pursuant to Rule 457(c) under the Securities Act, the Proposed Maximum Offering Price Per Share is based on the average of the high and low prices of the common stock, as reported on The Nasdaq Stock Market LLC as of February 24, 2025.</w:t>
      </w:r>
    </w:p>
    <w:p>
      <w:pPr>
        <w:spacing w:after="0" w:line="138" w:lineRule="exact"/>
        <w:rPr>
          <w:sz w:val="20"/>
          <w:szCs w:val="20"/>
          <w:color w:val="auto"/>
        </w:rPr>
      </w:pPr>
    </w:p>
    <w:p>
      <w:pPr>
        <w:ind w:left="160" w:right="160"/>
        <w:spacing w:after="0" w:line="259" w:lineRule="auto"/>
        <w:rPr>
          <w:sz w:val="20"/>
          <w:szCs w:val="20"/>
          <w:color w:val="auto"/>
        </w:rPr>
      </w:pPr>
      <w:r>
        <w:rPr>
          <w:rFonts w:ascii="Arial" w:cs="Arial" w:eastAsia="Arial" w:hAnsi="Arial"/>
          <w:sz w:val="16"/>
          <w:szCs w:val="16"/>
          <w:color w:val="auto"/>
        </w:rPr>
        <w:t>5.c. The Maximum Aggregate Offering Price is calculated as the product of (i) 396,188,386 (the amount of common stock being registered on this Form S-3, other than common stock issuable upon conversion of the Series A and Series B Convertible Preferred Stock being registered on this Form S-3), multiplied by (ii) the Proposed Maximum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165735</wp:posOffset>
            </wp:positionV>
            <wp:extent cx="705548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055485" cy="38100"/>
                    </a:xfrm>
                    <a:prstGeom prst="rect">
                      <a:avLst/>
                    </a:prstGeom>
                    <a:noFill/>
                  </pic:spPr>
                </pic:pic>
              </a:graphicData>
            </a:graphic>
          </wp:anchor>
        </w:drawing>
      </w:r>
    </w:p>
    <w:sectPr>
      <w:pgSz w:w="11900" w:h="16838" w:orient="portrait"/>
      <w:cols w:equalWidth="0" w:num="1">
        <w:col w:w="11200"/>
      </w:cols>
      <w:pgMar w:left="340" w:top="1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Roman"/>
      <w:start w:val="5"/>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4"/>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lowerRoman"/>
      <w:start w:val="2"/>
    </w:lvl>
  </w:abstractNum>
  <w:abstractNum w:abstractNumId="18">
    <w:nsid w:val="2443A858"/>
    <w:multiLevelType w:val="hybridMultilevel"/>
    <w:lvl w:ilvl="0">
      <w:lvlJc w:val="left"/>
      <w:lvlText w:val="(%1)"/>
      <w:numFmt w:val="decimal"/>
      <w:start w:val="30"/>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jpe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91"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42" Type="http://schemas.openxmlformats.org/officeDocument/2006/relationships/hyperlink" Target="https://www.sec.gov/Archives/edgar/data/1811210/000162828024037638/form8-kxex31.htm" TargetMode="External"/><Relationship Id="rId57" Type="http://schemas.openxmlformats.org/officeDocument/2006/relationships/hyperlink" Target="https://www.sec.gov/ix?doc=/Archives/edgar/data/1811210/000162828025007725/lcid-20241231.htm" TargetMode="External"/><Relationship Id="rId58" Type="http://schemas.openxmlformats.org/officeDocument/2006/relationships/hyperlink" Target="https://www.sec.gov/ix?doc=/Archives/edgar/data/1811210/000162828025002774/lcid-20250128.htm" TargetMode="External"/><Relationship Id="rId59" Type="http://schemas.openxmlformats.org/officeDocument/2006/relationships/hyperlink" Target="https://www.sec.gov/ix?doc=/Archives/edgar/data/0001811210/000162828025007722/lcid-20250221.htm" TargetMode="External"/><Relationship Id="rId60" Type="http://schemas.openxmlformats.org/officeDocument/2006/relationships/hyperlink" Target="https://www.sec.gov/ix?doc=/Archives/edgar/data/1811210/000162828024007209/lcid-20231231.htm" TargetMode="External"/><Relationship Id="rId61" Type="http://schemas.openxmlformats.org/officeDocument/2006/relationships/hyperlink" Target="https://www.sec.gov/ix?doc=/Archives/edgar/data/1811210/000110465924051463/tm2333393d2_def14a.htm" TargetMode="External"/><Relationship Id="rId62" Type="http://schemas.openxmlformats.org/officeDocument/2006/relationships/hyperlink" Target="https://www.sec.gov/Archives/edgar/data/1811210/000110465921095277/tm2120294d8_8a12b.htm" TargetMode="External"/><Relationship Id="rId63" Type="http://schemas.openxmlformats.org/officeDocument/2006/relationships/hyperlink" Target="https://www.sec.gov/Archives/edgar/data/1811210/000162828022004253/exhibit46descriptionofsecu.htm" TargetMode="External"/><Relationship Id="rId81" Type="http://schemas.openxmlformats.org/officeDocument/2006/relationships/hyperlink" Target="http://www.sec.gov/ix?doc=/Archives/edgar/data/1811210/000162828024007209/lcid-20231231.htm" TargetMode="External"/><Relationship Id="rId82" Type="http://schemas.openxmlformats.org/officeDocument/2006/relationships/hyperlink" Target="http://www.sec.gov/ix?doc=/Archives/edgar/data/1811210/000110465924051463/tm2333393d2_def14a.htm" TargetMode="External"/><Relationship Id="rId83" Type="http://schemas.openxmlformats.org/officeDocument/2006/relationships/hyperlink" Target="http://www.sec.gov/ix?doc=/Archives/edgar/data/1811210/000162828024020633/lcid-20240331.htm" TargetMode="External"/><Relationship Id="rId84" Type="http://schemas.openxmlformats.org/officeDocument/2006/relationships/hyperlink" Target="http://www.sec.gov/ix?doc=/Archives/edgar/data/1811210/000162828024034730/lcid-20240630.htm" TargetMode="External"/><Relationship Id="rId85" Type="http://schemas.openxmlformats.org/officeDocument/2006/relationships/hyperlink" Target="http://www.sec.gov/ix?doc=/Archives/edgar/data/1811210/000110465924007267/tm244182d1_8k.htm" TargetMode="External"/><Relationship Id="rId86" Type="http://schemas.openxmlformats.org/officeDocument/2006/relationships/hyperlink" Target="http://www.sec.gov/ix?doc=/Archives/edgar/data/1811210/000110465924024581/tm246312d1_8k.htm" TargetMode="External"/><Relationship Id="rId87" Type="http://schemas.openxmlformats.org/officeDocument/2006/relationships/hyperlink" Target="http://www.sec.gov/ix?doc=/Archives/edgar/data/1811210/000110465924064914/tm2415482d1_8k.htm" TargetMode="External"/><Relationship Id="rId88" Type="http://schemas.openxmlformats.org/officeDocument/2006/relationships/hyperlink" Target="http://www.sec.gov/ix?doc=/Archives/edgar/data/1811210/000110465924069080/tm2416547d1_8k.htm" TargetMode="External"/><Relationship Id="rId89" Type="http://schemas.openxmlformats.org/officeDocument/2006/relationships/hyperlink" Target="https://www.sec.gov/ix?doc=/Archives/edgar/data/1811210/000162828024034724/lcid-20240804.htm" TargetMode="External"/><Relationship Id="rId90" Type="http://schemas.openxmlformats.org/officeDocument/2006/relationships/hyperlink" Target="https://www.sec.gov/ix?doc=/Archives/edgar/data/1811210/000162828024037638/lcid-20240816.htm" TargetMode="External"/><Relationship Id="rId92" Type="http://schemas.openxmlformats.org/officeDocument/2006/relationships/hyperlink" Target="http://www.sec.gov/Archives/edgar/data/1811210/000162828022004253/exhibit46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2025-02-25T17:00:42Z</dcterms:created>
  <dcterms:modified xsi:type="dcterms:W3CDTF">2025-02-25T17:00:42Z</dcterms:modified>
</cp:coreProperties>
</file>