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19050</wp:posOffset>
            </wp:positionV>
            <wp:extent cx="7047230" cy="5216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21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Dhingra Gagan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LUCID GROUP, INC.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7373 GATEWAY BOULEVARD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94560</w:t>
            </w:r>
          </w:p>
        </w:tc>
      </w:tr>
      <w:tr>
        <w:trPr>
          <w:trHeight w:val="461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of Acctng &amp; Internal Ctrl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113,517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190,574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185,667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113,517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8.26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113,517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09/10/2030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113,517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2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("RSUs") vest over four years, with 1/8th vesting on the grant date and the remainder of the RSUs to vest 1/16th on each March 5, June 5, September 5, and December 5 annually thereafter.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that have been withheld by the Issuer to satisfy tax withholding and remittance obligations in connection with the vesting of RSUs reported on this Form 4.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will vest over four years, with 5/48th to vest on the first monthly anniversary of the grant date and the remainder to vest 1/48th on each monthly anniversary thereafter.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Benjamin Uy, as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Gagan Dhingra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9779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2023-09-12T20:31:24Z</dcterms:created>
  <dcterms:modified xsi:type="dcterms:W3CDTF">2023-09-12T20:31:24Z</dcterms:modified>
</cp:coreProperties>
</file>