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March 2, 2023</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Lucid Group,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400" w:type="dxa"/>
        <w:tblCellMar>
          <w:top w:w="0" w:type="dxa"/>
          <w:left w:w="0" w:type="dxa"/>
          <w:bottom w:w="0" w:type="dxa"/>
          <w:right w:w="0" w:type="dxa"/>
        </w:tblCellMar>
      </w:tblPr>
      <w:tr>
        <w:trPr>
          <w:trHeight w:val="220"/>
        </w:trPr>
        <w:tc>
          <w:tcPr>
            <w:tcW w:w="3740" w:type="dxa"/>
            <w:vAlign w:val="bottom"/>
          </w:tcPr>
          <w:p>
            <w:pPr>
              <w:jc w:val="center"/>
              <w:ind w:right="730"/>
              <w:spacing w:after="0"/>
              <w:rPr>
                <w:sz w:val="20"/>
                <w:szCs w:val="20"/>
                <w:color w:val="auto"/>
              </w:rPr>
            </w:pPr>
            <w:r>
              <w:rPr>
                <w:rFonts w:ascii="Arial" w:cs="Arial" w:eastAsia="Arial" w:hAnsi="Arial"/>
                <w:sz w:val="18"/>
                <w:szCs w:val="18"/>
                <w:b w:val="1"/>
                <w:bCs w:val="1"/>
                <w:color w:val="auto"/>
                <w:w w:val="91"/>
              </w:rPr>
              <w:t>Delaware</w:t>
            </w:r>
          </w:p>
        </w:tc>
        <w:tc>
          <w:tcPr>
            <w:tcW w:w="3020" w:type="dxa"/>
            <w:vAlign w:val="bottom"/>
          </w:tcPr>
          <w:p>
            <w:pPr>
              <w:jc w:val="center"/>
              <w:spacing w:after="0"/>
              <w:rPr>
                <w:sz w:val="20"/>
                <w:szCs w:val="20"/>
                <w:color w:val="auto"/>
              </w:rPr>
            </w:pPr>
            <w:r>
              <w:rPr>
                <w:rFonts w:ascii="Arial" w:cs="Arial" w:eastAsia="Arial" w:hAnsi="Arial"/>
                <w:sz w:val="18"/>
                <w:szCs w:val="18"/>
                <w:b w:val="1"/>
                <w:bCs w:val="1"/>
                <w:color w:val="auto"/>
                <w:w w:val="90"/>
              </w:rPr>
              <w:t>001-39408</w:t>
            </w:r>
          </w:p>
        </w:tc>
        <w:tc>
          <w:tcPr>
            <w:tcW w:w="3540" w:type="dxa"/>
            <w:vAlign w:val="bottom"/>
          </w:tcPr>
          <w:p>
            <w:pPr>
              <w:jc w:val="right"/>
              <w:ind w:right="790"/>
              <w:spacing w:after="0"/>
              <w:rPr>
                <w:sz w:val="20"/>
                <w:szCs w:val="20"/>
                <w:color w:val="auto"/>
              </w:rPr>
            </w:pPr>
            <w:r>
              <w:rPr>
                <w:rFonts w:ascii="Arial" w:cs="Arial" w:eastAsia="Arial" w:hAnsi="Arial"/>
                <w:sz w:val="18"/>
                <w:szCs w:val="18"/>
                <w:b w:val="1"/>
                <w:bCs w:val="1"/>
                <w:color w:val="auto"/>
              </w:rPr>
              <w:t>85-0891392</w:t>
            </w:r>
          </w:p>
        </w:tc>
      </w:tr>
      <w:tr>
        <w:trPr>
          <w:trHeight w:val="216"/>
        </w:trPr>
        <w:tc>
          <w:tcPr>
            <w:tcW w:w="3740" w:type="dxa"/>
            <w:vAlign w:val="bottom"/>
          </w:tcPr>
          <w:p>
            <w:pPr>
              <w:jc w:val="center"/>
              <w:ind w:right="770"/>
              <w:spacing w:after="0"/>
              <w:rPr>
                <w:sz w:val="20"/>
                <w:szCs w:val="20"/>
                <w:color w:val="auto"/>
              </w:rPr>
            </w:pPr>
            <w:r>
              <w:rPr>
                <w:rFonts w:ascii="Arial" w:cs="Arial" w:eastAsia="Arial" w:hAnsi="Arial"/>
                <w:sz w:val="18"/>
                <w:szCs w:val="18"/>
                <w:color w:val="auto"/>
                <w:w w:val="92"/>
              </w:rPr>
              <w:t>(State or other jurisdiction of</w:t>
            </w:r>
          </w:p>
        </w:tc>
        <w:tc>
          <w:tcPr>
            <w:tcW w:w="3020" w:type="dxa"/>
            <w:vAlign w:val="bottom"/>
          </w:tcPr>
          <w:p>
            <w:pPr>
              <w:jc w:val="center"/>
              <w:spacing w:after="0"/>
              <w:rPr>
                <w:sz w:val="20"/>
                <w:szCs w:val="20"/>
                <w:color w:val="auto"/>
              </w:rPr>
            </w:pPr>
            <w:r>
              <w:rPr>
                <w:rFonts w:ascii="Arial" w:cs="Arial" w:eastAsia="Arial" w:hAnsi="Arial"/>
                <w:sz w:val="18"/>
                <w:szCs w:val="18"/>
                <w:color w:val="auto"/>
                <w:w w:val="93"/>
              </w:rPr>
              <w:t>(Commission File</w:t>
            </w:r>
          </w:p>
        </w:tc>
        <w:tc>
          <w:tcPr>
            <w:tcW w:w="3540" w:type="dxa"/>
            <w:vAlign w:val="bottom"/>
          </w:tcPr>
          <w:p>
            <w:pPr>
              <w:jc w:val="center"/>
              <w:ind w:left="83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740" w:type="dxa"/>
            <w:vAlign w:val="bottom"/>
          </w:tcPr>
          <w:p>
            <w:pPr>
              <w:jc w:val="center"/>
              <w:ind w:right="730"/>
              <w:spacing w:after="0"/>
              <w:rPr>
                <w:sz w:val="20"/>
                <w:szCs w:val="20"/>
                <w:color w:val="auto"/>
              </w:rPr>
            </w:pPr>
            <w:r>
              <w:rPr>
                <w:rFonts w:ascii="Arial" w:cs="Arial" w:eastAsia="Arial" w:hAnsi="Arial"/>
                <w:sz w:val="18"/>
                <w:szCs w:val="18"/>
                <w:color w:val="auto"/>
                <w:w w:val="92"/>
              </w:rPr>
              <w:t>incorporation or organization)</w:t>
            </w:r>
          </w:p>
        </w:tc>
        <w:tc>
          <w:tcPr>
            <w:tcW w:w="3020" w:type="dxa"/>
            <w:vAlign w:val="bottom"/>
          </w:tcPr>
          <w:p>
            <w:pPr>
              <w:jc w:val="center"/>
              <w:spacing w:after="0"/>
              <w:rPr>
                <w:sz w:val="20"/>
                <w:szCs w:val="20"/>
                <w:color w:val="auto"/>
              </w:rPr>
            </w:pPr>
            <w:r>
              <w:rPr>
                <w:rFonts w:ascii="Arial" w:cs="Arial" w:eastAsia="Arial" w:hAnsi="Arial"/>
                <w:sz w:val="18"/>
                <w:szCs w:val="18"/>
                <w:color w:val="auto"/>
                <w:w w:val="94"/>
              </w:rPr>
              <w:t>Number)</w:t>
            </w:r>
          </w:p>
        </w:tc>
        <w:tc>
          <w:tcPr>
            <w:tcW w:w="3540" w:type="dxa"/>
            <w:vAlign w:val="bottom"/>
          </w:tcPr>
          <w:p>
            <w:pPr>
              <w:spacing w:after="0"/>
              <w:rPr>
                <w:sz w:val="20"/>
                <w:szCs w:val="20"/>
                <w:color w:val="auto"/>
              </w:rPr>
            </w:pPr>
          </w:p>
        </w:tc>
      </w:tr>
      <w:tr>
        <w:trPr>
          <w:trHeight w:val="414"/>
        </w:trPr>
        <w:tc>
          <w:tcPr>
            <w:tcW w:w="3740" w:type="dxa"/>
            <w:vAlign w:val="bottom"/>
          </w:tcPr>
          <w:p>
            <w:pPr>
              <w:jc w:val="center"/>
              <w:ind w:right="730"/>
              <w:spacing w:after="0"/>
              <w:rPr>
                <w:sz w:val="20"/>
                <w:szCs w:val="20"/>
                <w:color w:val="auto"/>
              </w:rPr>
            </w:pPr>
            <w:r>
              <w:rPr>
                <w:rFonts w:ascii="Arial" w:cs="Arial" w:eastAsia="Arial" w:hAnsi="Arial"/>
                <w:sz w:val="18"/>
                <w:szCs w:val="18"/>
                <w:b w:val="1"/>
                <w:bCs w:val="1"/>
                <w:color w:val="auto"/>
                <w:w w:val="90"/>
              </w:rPr>
              <w:t>7373 Gateway Boulevard</w:t>
            </w:r>
          </w:p>
        </w:tc>
        <w:tc>
          <w:tcPr>
            <w:tcW w:w="302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20"/>
        </w:trPr>
        <w:tc>
          <w:tcPr>
            <w:tcW w:w="3740" w:type="dxa"/>
            <w:vAlign w:val="bottom"/>
          </w:tcPr>
          <w:p>
            <w:pPr>
              <w:jc w:val="center"/>
              <w:ind w:right="730"/>
              <w:spacing w:after="0"/>
              <w:rPr>
                <w:sz w:val="20"/>
                <w:szCs w:val="20"/>
                <w:color w:val="auto"/>
              </w:rPr>
            </w:pPr>
            <w:r>
              <w:rPr>
                <w:rFonts w:ascii="Arial" w:cs="Arial" w:eastAsia="Arial" w:hAnsi="Arial"/>
                <w:sz w:val="18"/>
                <w:szCs w:val="18"/>
                <w:b w:val="1"/>
                <w:bCs w:val="1"/>
                <w:color w:val="auto"/>
                <w:w w:val="95"/>
              </w:rPr>
              <w:t>Newark, CA</w:t>
            </w:r>
          </w:p>
        </w:tc>
        <w:tc>
          <w:tcPr>
            <w:tcW w:w="3020" w:type="dxa"/>
            <w:vAlign w:val="bottom"/>
          </w:tcPr>
          <w:p>
            <w:pPr>
              <w:spacing w:after="0"/>
              <w:rPr>
                <w:sz w:val="19"/>
                <w:szCs w:val="19"/>
                <w:color w:val="auto"/>
              </w:rPr>
            </w:pPr>
          </w:p>
        </w:tc>
        <w:tc>
          <w:tcPr>
            <w:tcW w:w="3540" w:type="dxa"/>
            <w:vAlign w:val="bottom"/>
          </w:tcPr>
          <w:p>
            <w:pPr>
              <w:jc w:val="right"/>
              <w:ind w:right="990"/>
              <w:spacing w:after="0"/>
              <w:rPr>
                <w:sz w:val="20"/>
                <w:szCs w:val="20"/>
                <w:color w:val="auto"/>
              </w:rPr>
            </w:pPr>
            <w:r>
              <w:rPr>
                <w:rFonts w:ascii="Arial" w:cs="Arial" w:eastAsia="Arial" w:hAnsi="Arial"/>
                <w:sz w:val="18"/>
                <w:szCs w:val="18"/>
                <w:b w:val="1"/>
                <w:bCs w:val="1"/>
                <w:color w:val="auto"/>
              </w:rPr>
              <w:t>94560</w:t>
            </w:r>
          </w:p>
        </w:tc>
      </w:tr>
      <w:tr>
        <w:trPr>
          <w:trHeight w:val="230"/>
        </w:trPr>
        <w:tc>
          <w:tcPr>
            <w:tcW w:w="3740" w:type="dxa"/>
            <w:vAlign w:val="bottom"/>
          </w:tcPr>
          <w:p>
            <w:pPr>
              <w:jc w:val="center"/>
              <w:ind w:right="710"/>
              <w:spacing w:after="0"/>
              <w:rPr>
                <w:sz w:val="20"/>
                <w:szCs w:val="20"/>
                <w:color w:val="auto"/>
              </w:rPr>
            </w:pPr>
            <w:r>
              <w:rPr>
                <w:rFonts w:ascii="Arial" w:cs="Arial" w:eastAsia="Arial" w:hAnsi="Arial"/>
                <w:sz w:val="18"/>
                <w:szCs w:val="18"/>
                <w:color w:val="auto"/>
                <w:w w:val="92"/>
              </w:rPr>
              <w:t>(Address of Principal Executive Offices)</w:t>
            </w:r>
          </w:p>
        </w:tc>
        <w:tc>
          <w:tcPr>
            <w:tcW w:w="3020" w:type="dxa"/>
            <w:vAlign w:val="bottom"/>
          </w:tcPr>
          <w:p>
            <w:pPr>
              <w:spacing w:after="0"/>
              <w:rPr>
                <w:sz w:val="20"/>
                <w:szCs w:val="20"/>
                <w:color w:val="auto"/>
              </w:rPr>
            </w:pPr>
          </w:p>
        </w:tc>
        <w:tc>
          <w:tcPr>
            <w:tcW w:w="3540" w:type="dxa"/>
            <w:vAlign w:val="bottom"/>
          </w:tcPr>
          <w:p>
            <w:pPr>
              <w:jc w:val="center"/>
              <w:ind w:left="830"/>
              <w:spacing w:after="0"/>
              <w:rPr>
                <w:sz w:val="20"/>
                <w:szCs w:val="20"/>
                <w:color w:val="auto"/>
              </w:rPr>
            </w:pPr>
            <w:r>
              <w:rPr>
                <w:rFonts w:ascii="Arial" w:cs="Arial" w:eastAsia="Arial" w:hAnsi="Arial"/>
                <w:sz w:val="18"/>
                <w:szCs w:val="18"/>
                <w:color w:val="auto"/>
                <w:w w:val="91"/>
              </w:rPr>
              <w:t>(Zip Code)</w:t>
            </w:r>
          </w:p>
        </w:tc>
      </w:tr>
    </w:tbl>
    <w:p>
      <w:pPr>
        <w:spacing w:after="0" w:line="225"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Registrant’s telephone number, including area code: (</w:t>
      </w:r>
      <w:r>
        <w:rPr>
          <w:rFonts w:ascii="Arial" w:cs="Arial" w:eastAsia="Arial" w:hAnsi="Arial"/>
          <w:sz w:val="18"/>
          <w:szCs w:val="18"/>
          <w:b w:val="1"/>
          <w:bCs w:val="1"/>
          <w:color w:val="auto"/>
        </w:rPr>
        <w:t>510) 648-3553</w:t>
      </w:r>
    </w:p>
    <w:p>
      <w:pPr>
        <w:spacing w:after="0" w:line="27"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2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414"/>
        </w:trPr>
        <w:tc>
          <w:tcPr>
            <w:tcW w:w="3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720" w:type="dxa"/>
            <w:vAlign w:val="bottom"/>
            <w:gridSpan w:val="2"/>
          </w:tcPr>
          <w:p>
            <w:pPr>
              <w:jc w:val="center"/>
              <w:ind w:right="860"/>
              <w:spacing w:after="0"/>
              <w:rPr>
                <w:sz w:val="20"/>
                <w:szCs w:val="20"/>
                <w:color w:val="auto"/>
              </w:rPr>
            </w:pPr>
            <w:r>
              <w:rPr>
                <w:rFonts w:ascii="Arial" w:cs="Arial" w:eastAsia="Arial" w:hAnsi="Arial"/>
                <w:sz w:val="18"/>
                <w:szCs w:val="18"/>
                <w:b w:val="1"/>
                <w:bCs w:val="1"/>
                <w:color w:val="auto"/>
                <w:w w:val="93"/>
              </w:rPr>
              <w:t>Trading</w:t>
            </w:r>
          </w:p>
        </w:tc>
        <w:tc>
          <w:tcPr>
            <w:tcW w:w="3800" w:type="dxa"/>
            <w:vAlign w:val="bottom"/>
          </w:tcPr>
          <w:p>
            <w:pPr>
              <w:spacing w:after="0"/>
              <w:rPr>
                <w:sz w:val="24"/>
                <w:szCs w:val="24"/>
                <w:color w:val="auto"/>
              </w:rPr>
            </w:pPr>
          </w:p>
        </w:tc>
      </w:tr>
      <w:tr>
        <w:trPr>
          <w:trHeight w:val="234"/>
        </w:trPr>
        <w:tc>
          <w:tcPr>
            <w:tcW w:w="4720" w:type="dxa"/>
            <w:vAlign w:val="bottom"/>
            <w:gridSpan w:val="3"/>
          </w:tcPr>
          <w:p>
            <w:pPr>
              <w:jc w:val="center"/>
              <w:ind w:right="840"/>
              <w:spacing w:after="0"/>
              <w:rPr>
                <w:sz w:val="20"/>
                <w:szCs w:val="20"/>
                <w:color w:val="auto"/>
              </w:rPr>
            </w:pPr>
            <w:r>
              <w:rPr>
                <w:rFonts w:ascii="Arial" w:cs="Arial" w:eastAsia="Arial" w:hAnsi="Arial"/>
                <w:sz w:val="18"/>
                <w:szCs w:val="18"/>
                <w:b w:val="1"/>
                <w:bCs w:val="1"/>
                <w:color w:val="auto"/>
                <w:w w:val="87"/>
              </w:rPr>
              <w:t>Title of each class</w:t>
            </w:r>
          </w:p>
        </w:tc>
        <w:tc>
          <w:tcPr>
            <w:tcW w:w="2720" w:type="dxa"/>
            <w:vAlign w:val="bottom"/>
            <w:gridSpan w:val="2"/>
          </w:tcPr>
          <w:p>
            <w:pPr>
              <w:jc w:val="center"/>
              <w:ind w:right="840"/>
              <w:spacing w:after="0"/>
              <w:rPr>
                <w:sz w:val="20"/>
                <w:szCs w:val="20"/>
                <w:color w:val="auto"/>
              </w:rPr>
            </w:pPr>
            <w:r>
              <w:rPr>
                <w:rFonts w:ascii="Arial" w:cs="Arial" w:eastAsia="Arial" w:hAnsi="Arial"/>
                <w:sz w:val="18"/>
                <w:szCs w:val="18"/>
                <w:b w:val="1"/>
                <w:bCs w:val="1"/>
                <w:color w:val="auto"/>
                <w:w w:val="87"/>
              </w:rPr>
              <w:t>Symbol(s)</w:t>
            </w:r>
          </w:p>
        </w:tc>
        <w:tc>
          <w:tcPr>
            <w:tcW w:w="38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95"/>
        </w:trPr>
        <w:tc>
          <w:tcPr>
            <w:tcW w:w="38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Class A Common Stock, $0.0001 par value per</w:t>
            </w:r>
          </w:p>
        </w:tc>
        <w:tc>
          <w:tcPr>
            <w:tcW w:w="24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480" w:type="dxa"/>
            <w:vAlign w:val="bottom"/>
            <w:tcBorders>
              <w:top w:val="single" w:sz="8" w:color="auto"/>
            </w:tcBorders>
          </w:tcPr>
          <w:p>
            <w:pPr>
              <w:jc w:val="center"/>
              <w:ind w:right="530"/>
              <w:spacing w:after="0" w:line="195" w:lineRule="exact"/>
              <w:rPr>
                <w:sz w:val="20"/>
                <w:szCs w:val="20"/>
                <w:color w:val="auto"/>
              </w:rPr>
            </w:pPr>
            <w:r>
              <w:rPr>
                <w:rFonts w:ascii="Arial" w:cs="Arial" w:eastAsia="Arial" w:hAnsi="Arial"/>
                <w:sz w:val="18"/>
                <w:szCs w:val="18"/>
                <w:color w:val="auto"/>
              </w:rPr>
              <w:t>LCID</w:t>
            </w:r>
          </w:p>
        </w:tc>
        <w:tc>
          <w:tcPr>
            <w:tcW w:w="240" w:type="dxa"/>
            <w:vAlign w:val="bottom"/>
          </w:tcPr>
          <w:p>
            <w:pPr>
              <w:spacing w:after="0"/>
              <w:rPr>
                <w:sz w:val="16"/>
                <w:szCs w:val="16"/>
                <w:color w:val="auto"/>
              </w:rPr>
            </w:pPr>
          </w:p>
        </w:tc>
        <w:tc>
          <w:tcPr>
            <w:tcW w:w="38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The Nasdaq Stock Market LLC</w:t>
            </w:r>
          </w:p>
        </w:tc>
      </w:tr>
      <w:tr>
        <w:trPr>
          <w:trHeight w:val="230"/>
        </w:trPr>
        <w:tc>
          <w:tcPr>
            <w:tcW w:w="4720" w:type="dxa"/>
            <w:vAlign w:val="bottom"/>
            <w:gridSpan w:val="3"/>
          </w:tcPr>
          <w:p>
            <w:pPr>
              <w:jc w:val="center"/>
              <w:ind w:right="820"/>
              <w:spacing w:after="0"/>
              <w:rPr>
                <w:sz w:val="20"/>
                <w:szCs w:val="20"/>
                <w:color w:val="auto"/>
              </w:rPr>
            </w:pPr>
            <w:r>
              <w:rPr>
                <w:rFonts w:ascii="Arial" w:cs="Arial" w:eastAsia="Arial" w:hAnsi="Arial"/>
                <w:sz w:val="18"/>
                <w:szCs w:val="18"/>
                <w:color w:val="auto"/>
                <w:w w:val="84"/>
              </w:rPr>
              <w:t>share</w:t>
            </w:r>
          </w:p>
        </w:tc>
        <w:tc>
          <w:tcPr>
            <w:tcW w:w="2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0" w:type="dxa"/>
            <w:vAlign w:val="bottom"/>
          </w:tcPr>
          <w:p>
            <w:pPr>
              <w:spacing w:after="0"/>
              <w:rPr>
                <w:sz w:val="20"/>
                <w:szCs w:val="20"/>
                <w:color w:val="auto"/>
              </w:rPr>
            </w:pP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i w:val="1"/>
          <w:iCs w:val="1"/>
          <w:color w:val="auto"/>
        </w:rPr>
        <w:t>Item 5.03 – Amendments to Articles of Incorporation or Bylaws; Change in Fiscal Year.</w:t>
      </w:r>
    </w:p>
    <w:p>
      <w:pPr>
        <w:spacing w:after="0" w:line="2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On March 2, 2023, the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of Lucid Group,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approved and adopted amended and restated by-laws (the “</w:t>
      </w:r>
      <w:r>
        <w:rPr>
          <w:rFonts w:ascii="Arial" w:cs="Arial" w:eastAsia="Arial" w:hAnsi="Arial"/>
          <w:sz w:val="18"/>
          <w:szCs w:val="18"/>
          <w:b w:val="1"/>
          <w:bCs w:val="1"/>
          <w:i w:val="1"/>
          <w:iCs w:val="1"/>
          <w:color w:val="auto"/>
        </w:rPr>
        <w:t>Second Amended and Restated Bylaws</w:t>
      </w:r>
      <w:r>
        <w:rPr>
          <w:rFonts w:ascii="Arial" w:cs="Arial" w:eastAsia="Arial" w:hAnsi="Arial"/>
          <w:sz w:val="18"/>
          <w:szCs w:val="18"/>
          <w:color w:val="auto"/>
        </w:rPr>
        <w:t>”) of the Company to: (i) reflect recent amendments to, and align certain provisions with, the Delaware General Corporation Law; (ii) implement procedural and disclosure requirements for director nominees and stockholders proposing director nominees and other business for consideration at the Company’s annual or special meetings of stockholders, including to address the U.S. Securities and Exchange Commission’s recently adopted “universal proxy card” rules; and (iii) make technical and conforming revisions and clarifications. Among other updates, the Second Amended and Restated Bylaws:</w:t>
      </w:r>
    </w:p>
    <w:p>
      <w:pPr>
        <w:spacing w:after="0" w:line="192" w:lineRule="exact"/>
        <w:rPr>
          <w:sz w:val="20"/>
          <w:szCs w:val="20"/>
          <w:color w:val="auto"/>
        </w:rPr>
      </w:pPr>
    </w:p>
    <w:p>
      <w:pPr>
        <w:ind w:left="660" w:right="120" w:hanging="328"/>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Add a requirement that any stockholder submitting a director nomination notice make a representation as to whether such stockholder intends to comply with Rule 14a-19(b) under the Securities Exchange Act of 1934, as amended (the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and a requirement that a stockholder submitting a director nomination notice deliver reasonable evidence that it has complied with the requirements of Rule 14a-19 of the Exchange Act;</w:t>
      </w:r>
    </w:p>
    <w:p>
      <w:pPr>
        <w:spacing w:after="0" w:line="186"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Add a requirement that the Board or an executive officer of the Company determine whether a stockholder submitting a director nomination has complied with the applicable notice requirements of the Second Amended and Restated Bylaws;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Require that a stockholder directly or indirectly soliciting proxies from other stockholder use a proxy card color other than white;</w:t>
      </w:r>
    </w:p>
    <w:p>
      <w:pPr>
        <w:spacing w:after="0" w:line="225" w:lineRule="exact"/>
        <w:rPr>
          <w:rFonts w:ascii="Arial" w:cs="Arial" w:eastAsia="Arial" w:hAnsi="Arial"/>
          <w:sz w:val="18"/>
          <w:szCs w:val="18"/>
          <w:color w:val="auto"/>
        </w:rPr>
      </w:pPr>
    </w:p>
    <w:p>
      <w:pPr>
        <w:ind w:left="660" w:righ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Incorporate changes to conform to the Company’s proposed amended and restated certificate of incorporation, included as Annex B to the Company’s preliminary proxy statement on Schedule 14A filed on March 3, 2023;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Remove certain outdated and inapplicable restrictions on transfer of the Company’s securities.</w:t>
      </w:r>
    </w:p>
    <w:p>
      <w:pPr>
        <w:spacing w:after="0" w:line="22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Notwithstanding the foregoing and consistent with the Company’s prior bylaws, as long as the Investor Rights Agreement, dated as of February 22, 2021 and as amended on November 8, 2022, by and among the Company, Churchill Sponsor IV LLC, Ayar Third Investment Company (“</w:t>
      </w:r>
      <w:r>
        <w:rPr>
          <w:rFonts w:ascii="Arial" w:cs="Arial" w:eastAsia="Arial" w:hAnsi="Arial"/>
          <w:sz w:val="18"/>
          <w:szCs w:val="18"/>
          <w:b w:val="1"/>
          <w:bCs w:val="1"/>
          <w:i w:val="1"/>
          <w:iCs w:val="1"/>
          <w:color w:val="auto"/>
        </w:rPr>
        <w:t>Ayar</w:t>
      </w:r>
      <w:r>
        <w:rPr>
          <w:rFonts w:ascii="Arial" w:cs="Arial" w:eastAsia="Arial" w:hAnsi="Arial"/>
          <w:sz w:val="18"/>
          <w:szCs w:val="18"/>
          <w:color w:val="auto"/>
        </w:rPr>
        <w:t>”) and certain other parties thereto (the “</w:t>
      </w:r>
      <w:r>
        <w:rPr>
          <w:rFonts w:ascii="Arial" w:cs="Arial" w:eastAsia="Arial" w:hAnsi="Arial"/>
          <w:sz w:val="18"/>
          <w:szCs w:val="18"/>
          <w:b w:val="1"/>
          <w:bCs w:val="1"/>
          <w:i w:val="1"/>
          <w:iCs w:val="1"/>
          <w:color w:val="auto"/>
        </w:rPr>
        <w:t>Investor Rights Agreement</w:t>
      </w:r>
      <w:r>
        <w:rPr>
          <w:rFonts w:ascii="Arial" w:cs="Arial" w:eastAsia="Arial" w:hAnsi="Arial"/>
          <w:sz w:val="18"/>
          <w:szCs w:val="18"/>
          <w:color w:val="auto"/>
        </w:rPr>
        <w:t>”), remains in effect with respect to Ayar, Ayar shall not be subject to the notice procedures set forth in Section 2.09 of the Second Amended and Restated Bylaws with respect to any annual or special meeting of stockholders in respect of any matters that are contemplated by the Investor Rights Agreement.</w:t>
      </w:r>
    </w:p>
    <w:p>
      <w:pPr>
        <w:spacing w:after="0" w:line="18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foregoing summary of the amendments does not purport to be complete and is qualified in its entirety by reference to the full text of the Second Amended and Restated Bylaws, a copy of which is filed as Exhibit 3.2 hereto.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9.01 -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8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6180" w:type="dxa"/>
            <w:vAlign w:val="bottom"/>
          </w:tcPr>
          <w:p>
            <w:pPr>
              <w:spacing w:after="0"/>
              <w:rPr>
                <w:sz w:val="20"/>
                <w:szCs w:val="20"/>
                <w:color w:val="auto"/>
              </w:rPr>
            </w:pPr>
          </w:p>
        </w:tc>
      </w:tr>
      <w:tr>
        <w:trPr>
          <w:trHeight w:val="414"/>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6180" w:type="dxa"/>
            <w:vAlign w:val="bottom"/>
          </w:tcPr>
          <w:p>
            <w:pPr>
              <w:spacing w:after="0"/>
              <w:rPr>
                <w:sz w:val="24"/>
                <w:szCs w:val="24"/>
                <w:color w:val="auto"/>
              </w:rPr>
            </w:pPr>
          </w:p>
        </w:tc>
      </w:tr>
      <w:tr>
        <w:trPr>
          <w:trHeight w:val="220"/>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0300" w:type="dxa"/>
            <w:vAlign w:val="bottom"/>
            <w:gridSpan w:val="3"/>
          </w:tcPr>
          <w:p>
            <w:pPr>
              <w:ind w:left="80"/>
              <w:spacing w:after="0"/>
              <w:rPr>
                <w:sz w:val="20"/>
                <w:szCs w:val="20"/>
                <w:color w:val="auto"/>
              </w:rPr>
            </w:pPr>
            <w:r>
              <w:rPr>
                <w:rFonts w:ascii="Arial" w:cs="Arial" w:eastAsia="Arial" w:hAnsi="Arial"/>
                <w:sz w:val="18"/>
                <w:szCs w:val="18"/>
                <w:b w:val="1"/>
                <w:bCs w:val="1"/>
                <w:color w:val="auto"/>
              </w:rPr>
              <w:t>Description</w:t>
            </w:r>
          </w:p>
        </w:tc>
      </w:tr>
      <w:tr>
        <w:trPr>
          <w:trHeight w:val="190"/>
        </w:trPr>
        <w:tc>
          <w:tcPr>
            <w:tcW w:w="240" w:type="dxa"/>
            <w:vAlign w:val="bottom"/>
            <w:tcBorders>
              <w:bottom w:val="single" w:sz="8" w:color="0000EE"/>
            </w:tcBorders>
          </w:tcPr>
          <w:p>
            <w:pPr>
              <w:spacing w:after="0" w:line="190" w:lineRule="exact"/>
              <w:rPr>
                <w:sz w:val="20"/>
                <w:szCs w:val="20"/>
                <w:color w:val="auto"/>
              </w:rPr>
            </w:pPr>
            <w:r>
              <w:rPr>
                <w:rFonts w:ascii="Arial" w:cs="Arial" w:eastAsia="Arial" w:hAnsi="Arial"/>
                <w:sz w:val="18"/>
                <w:szCs w:val="18"/>
                <w:color w:val="0000EE"/>
                <w:w w:val="87"/>
              </w:rPr>
              <w:t>3.</w:t>
            </w:r>
            <w:r>
              <w:rPr>
                <w:rFonts w:ascii="Arial" w:cs="Arial" w:eastAsia="Arial" w:hAnsi="Arial"/>
                <w:sz w:val="18"/>
                <w:szCs w:val="18"/>
                <w:u w:val="single" w:color="auto"/>
                <w:color w:val="0000EE"/>
                <w:w w:val="87"/>
              </w:rPr>
              <w:t>2</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40" w:type="dxa"/>
            <w:vAlign w:val="bottom"/>
            <w:tcBorders>
              <w:bottom w:val="single" w:sz="8" w:color="0000EE"/>
            </w:tcBorders>
          </w:tcPr>
          <w:p>
            <w:pPr>
              <w:spacing w:after="0" w:line="190" w:lineRule="exact"/>
              <w:rPr>
                <w:sz w:val="20"/>
                <w:szCs w:val="20"/>
                <w:color w:val="auto"/>
              </w:rPr>
            </w:pPr>
            <w:r>
              <w:rPr>
                <w:rFonts w:ascii="Arial" w:cs="Arial" w:eastAsia="Arial" w:hAnsi="Arial"/>
                <w:sz w:val="18"/>
                <w:szCs w:val="18"/>
                <w:color w:val="0000EE"/>
                <w:w w:val="89"/>
              </w:rPr>
              <w:t>Second Amended and Restated Bylaws of the Company</w:t>
            </w:r>
          </w:p>
        </w:tc>
        <w:tc>
          <w:tcPr>
            <w:tcW w:w="6180" w:type="dxa"/>
            <w:vAlign w:val="bottom"/>
          </w:tcPr>
          <w:p>
            <w:pPr>
              <w:spacing w:after="0"/>
              <w:rPr>
                <w:sz w:val="16"/>
                <w:szCs w:val="16"/>
                <w:color w:val="auto"/>
              </w:rPr>
            </w:pPr>
          </w:p>
        </w:tc>
      </w:tr>
      <w:tr>
        <w:trPr>
          <w:trHeight w:val="237"/>
        </w:trPr>
        <w:tc>
          <w:tcPr>
            <w:tcW w:w="940" w:type="dxa"/>
            <w:vAlign w:val="bottom"/>
            <w:gridSpan w:val="2"/>
          </w:tcPr>
          <w:p>
            <w:pPr>
              <w:spacing w:after="0"/>
              <w:rPr>
                <w:sz w:val="20"/>
                <w:szCs w:val="20"/>
                <w:color w:val="auto"/>
              </w:rPr>
            </w:pPr>
            <w:r>
              <w:rPr>
                <w:rFonts w:ascii="Arial" w:cs="Arial" w:eastAsia="Arial" w:hAnsi="Arial"/>
                <w:sz w:val="18"/>
                <w:szCs w:val="18"/>
                <w:color w:val="auto"/>
              </w:rPr>
              <w:t>104</w:t>
            </w:r>
          </w:p>
        </w:tc>
        <w:tc>
          <w:tcPr>
            <w:tcW w:w="10300" w:type="dxa"/>
            <w:vAlign w:val="bottom"/>
            <w:gridSpan w:val="3"/>
          </w:tcPr>
          <w:p>
            <w:pPr>
              <w:ind w:left="8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432"/>
        </w:trPr>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March 3, 2023</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LUCID GROUP, INC.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Sherry 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Sherry House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 BYLAWS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LUCID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 * * *</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w:t>
      </w:r>
      <w:r>
        <w:rPr>
          <w:rFonts w:ascii="Arial" w:cs="Arial" w:eastAsia="Arial" w:hAnsi="Arial"/>
          <w:sz w:val="12"/>
          <w:szCs w:val="12"/>
          <w:color w:val="auto"/>
        </w:rPr>
        <w:t>ffices</w:t>
      </w:r>
    </w:p>
    <w:p>
      <w:pPr>
        <w:spacing w:after="0" w:line="207" w:lineRule="exact"/>
        <w:rPr>
          <w:sz w:val="20"/>
          <w:szCs w:val="20"/>
          <w:color w:val="auto"/>
        </w:rPr>
      </w:pPr>
    </w:p>
    <w:p>
      <w:pPr>
        <w:ind w:right="320" w:firstLine="648"/>
        <w:spacing w:after="0" w:line="282" w:lineRule="auto"/>
        <w:rPr>
          <w:sz w:val="20"/>
          <w:szCs w:val="20"/>
          <w:color w:val="auto"/>
        </w:rPr>
      </w:pPr>
      <w:r>
        <w:rPr>
          <w:rFonts w:ascii="Arial" w:cs="Arial" w:eastAsia="Arial" w:hAnsi="Arial"/>
          <w:sz w:val="18"/>
          <w:szCs w:val="18"/>
          <w:color w:val="auto"/>
        </w:rPr>
        <w:t>Section 1.01.    </w:t>
      </w:r>
      <w:r>
        <w:rPr>
          <w:rFonts w:ascii="Arial" w:cs="Arial" w:eastAsia="Arial" w:hAnsi="Arial"/>
          <w:sz w:val="18"/>
          <w:szCs w:val="18"/>
          <w:i w:val="1"/>
          <w:iCs w:val="1"/>
          <w:color w:val="auto"/>
        </w:rPr>
        <w:t>Registered Office.</w:t>
      </w:r>
      <w:r>
        <w:rPr>
          <w:rFonts w:ascii="Arial" w:cs="Arial" w:eastAsia="Arial" w:hAnsi="Arial"/>
          <w:sz w:val="18"/>
          <w:szCs w:val="18"/>
          <w:color w:val="auto"/>
        </w:rPr>
        <w:t xml:space="preserve"> The registered office of Lucid Group, Inc. (the “</w:t>
      </w:r>
      <w:r>
        <w:rPr>
          <w:rFonts w:ascii="Arial" w:cs="Arial" w:eastAsia="Arial" w:hAnsi="Arial"/>
          <w:sz w:val="18"/>
          <w:szCs w:val="18"/>
          <w:b w:val="1"/>
          <w:bCs w:val="1"/>
          <w:color w:val="auto"/>
        </w:rPr>
        <w:t>Corporation</w:t>
      </w:r>
      <w:r>
        <w:rPr>
          <w:rFonts w:ascii="Arial" w:cs="Arial" w:eastAsia="Arial" w:hAnsi="Arial"/>
          <w:sz w:val="18"/>
          <w:szCs w:val="18"/>
          <w:color w:val="auto"/>
        </w:rPr>
        <w:t>”) shall be in the City of Wilmington, County of New Castle, State of Delaware.</w:t>
      </w:r>
    </w:p>
    <w:p>
      <w:pPr>
        <w:spacing w:after="0" w:line="166"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i w:val="1"/>
          <w:iCs w:val="1"/>
          <w:color w:val="auto"/>
        </w:rPr>
        <w:t>Other Offices.</w:t>
      </w:r>
      <w:r>
        <w:rPr>
          <w:rFonts w:ascii="Arial" w:cs="Arial" w:eastAsia="Arial" w:hAnsi="Arial"/>
          <w:sz w:val="18"/>
          <w:szCs w:val="18"/>
          <w:color w:val="auto"/>
        </w:rPr>
        <w:t xml:space="preserve"> The Corporation may also have offices at such other places both within and without the State of Delaware as the Board of Directors may from time to time determine or the business of the Corporation may require.</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Section 1.03.    </w:t>
      </w:r>
      <w:r>
        <w:rPr>
          <w:rFonts w:ascii="Arial" w:cs="Arial" w:eastAsia="Arial" w:hAnsi="Arial"/>
          <w:sz w:val="18"/>
          <w:szCs w:val="18"/>
          <w:i w:val="1"/>
          <w:iCs w:val="1"/>
          <w:color w:val="auto"/>
        </w:rPr>
        <w:t>Books.</w:t>
      </w:r>
      <w:r>
        <w:rPr>
          <w:rFonts w:ascii="Arial" w:cs="Arial" w:eastAsia="Arial" w:hAnsi="Arial"/>
          <w:sz w:val="18"/>
          <w:szCs w:val="18"/>
          <w:color w:val="auto"/>
        </w:rPr>
        <w:t xml:space="preserve"> The books of the Corporation may be kept within or without the State of Delaware as the Board of Directors may from time to time determine or the business of the Corporation may require.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w:t>
      </w:r>
      <w:r>
        <w:rPr>
          <w:rFonts w:ascii="Arial" w:cs="Arial" w:eastAsia="Arial" w:hAnsi="Arial"/>
          <w:sz w:val="12"/>
          <w:szCs w:val="12"/>
          <w:color w:val="auto"/>
        </w:rPr>
        <w:t>eetings of</w:t>
      </w:r>
      <w:r>
        <w:rPr>
          <w:rFonts w:ascii="Arial" w:cs="Arial" w:eastAsia="Arial" w:hAnsi="Arial"/>
          <w:sz w:val="18"/>
          <w:szCs w:val="18"/>
          <w:color w:val="auto"/>
        </w:rPr>
        <w:t xml:space="preserve"> S</w:t>
      </w:r>
      <w:r>
        <w:rPr>
          <w:rFonts w:ascii="Arial" w:cs="Arial" w:eastAsia="Arial" w:hAnsi="Arial"/>
          <w:sz w:val="12"/>
          <w:szCs w:val="12"/>
          <w:color w:val="auto"/>
        </w:rPr>
        <w:t>tockholders</w:t>
      </w:r>
    </w:p>
    <w:p>
      <w:pPr>
        <w:spacing w:after="0" w:line="211"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Section 2.01.    </w:t>
      </w:r>
      <w:r>
        <w:rPr>
          <w:rFonts w:ascii="Arial" w:cs="Arial" w:eastAsia="Arial" w:hAnsi="Arial"/>
          <w:sz w:val="17"/>
          <w:szCs w:val="17"/>
          <w:i w:val="1"/>
          <w:iCs w:val="1"/>
          <w:color w:val="auto"/>
        </w:rPr>
        <w:t>Time and Place of Meetings.</w:t>
      </w:r>
      <w:r>
        <w:rPr>
          <w:rFonts w:ascii="Arial" w:cs="Arial" w:eastAsia="Arial" w:hAnsi="Arial"/>
          <w:sz w:val="17"/>
          <w:szCs w:val="17"/>
          <w:color w:val="auto"/>
        </w:rPr>
        <w:t xml:space="preserve"> All meetings of stockholders shall be held at such place, if any, either within or without the State of Delaware, on such date and at such time as may be determined from time to time by the Board of Directors (or the Chairperson of the Board of Directors in the absence of a designation by the Board of Directors). The Board of Directors may, in its sole discretion, determine that a meeting of stockholders shall not be held at any place, but may instead be held solely by means of remote communication as authorized by Section 211(a)(2) of the General Corporation Law of the State of Delaware as the same exists or may hereafter be amended (“</w:t>
      </w:r>
      <w:r>
        <w:rPr>
          <w:rFonts w:ascii="Arial" w:cs="Arial" w:eastAsia="Arial" w:hAnsi="Arial"/>
          <w:sz w:val="17"/>
          <w:szCs w:val="17"/>
          <w:b w:val="1"/>
          <w:bCs w:val="1"/>
          <w:color w:val="auto"/>
        </w:rPr>
        <w:t>Delaware Law</w:t>
      </w:r>
      <w:r>
        <w:rPr>
          <w:rFonts w:ascii="Arial" w:cs="Arial" w:eastAsia="Arial" w:hAnsi="Arial"/>
          <w:sz w:val="17"/>
          <w:szCs w:val="17"/>
          <w:color w:val="auto"/>
        </w:rPr>
        <w:t>”).</w:t>
      </w:r>
    </w:p>
    <w:p>
      <w:pPr>
        <w:spacing w:after="0" w:line="17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Section 2.02.    </w:t>
      </w:r>
      <w:r>
        <w:rPr>
          <w:rFonts w:ascii="Arial" w:cs="Arial" w:eastAsia="Arial" w:hAnsi="Arial"/>
          <w:sz w:val="18"/>
          <w:szCs w:val="18"/>
          <w:i w:val="1"/>
          <w:iCs w:val="1"/>
          <w:color w:val="auto"/>
        </w:rPr>
        <w:t>Annual Meetings.</w:t>
      </w:r>
      <w:r>
        <w:rPr>
          <w:rFonts w:ascii="Arial" w:cs="Arial" w:eastAsia="Arial" w:hAnsi="Arial"/>
          <w:sz w:val="18"/>
          <w:szCs w:val="18"/>
          <w:color w:val="auto"/>
        </w:rPr>
        <w:t xml:space="preserve"> An annual meeting of stockholders shall be held for the election of directors and to transact such other business as may properly be brought before the meeting.</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Section 2.03.    </w:t>
      </w:r>
      <w:r>
        <w:rPr>
          <w:rFonts w:ascii="Arial" w:cs="Arial" w:eastAsia="Arial" w:hAnsi="Arial"/>
          <w:sz w:val="18"/>
          <w:szCs w:val="18"/>
          <w:i w:val="1"/>
          <w:iCs w:val="1"/>
          <w:color w:val="auto"/>
        </w:rPr>
        <w:t>Special Meetings.</w:t>
      </w:r>
      <w:r>
        <w:rPr>
          <w:rFonts w:ascii="Arial" w:cs="Arial" w:eastAsia="Arial" w:hAnsi="Arial"/>
          <w:sz w:val="18"/>
          <w:szCs w:val="18"/>
          <w:color w:val="auto"/>
        </w:rPr>
        <w:t xml:space="preserve"> Special meetings of the stockholders may be called only by the Board of Directors acting pursuant to a resolution adopted by a majority of the Board of Directors.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Section 2.04.    </w:t>
      </w:r>
      <w:r>
        <w:rPr>
          <w:rFonts w:ascii="Arial" w:cs="Arial" w:eastAsia="Arial" w:hAnsi="Arial"/>
          <w:sz w:val="17"/>
          <w:szCs w:val="17"/>
          <w:i w:val="1"/>
          <w:iCs w:val="1"/>
          <w:color w:val="auto"/>
        </w:rPr>
        <w:t>Notice of Meetings and Adjourned Meetings; Waivers of Notice.</w:t>
      </w:r>
      <w:r>
        <w:rPr>
          <w:rFonts w:ascii="Arial" w:cs="Arial" w:eastAsia="Arial" w:hAnsi="Arial"/>
          <w:sz w:val="17"/>
          <w:szCs w:val="17"/>
          <w:color w:val="auto"/>
        </w:rPr>
        <w:t xml:space="preserve"> (a) Whenever stockholders are required or permitted to take any action at a meeting, a written notice of the meeting shall be given which shall state the place, if any, date and hour of the meeting, the means of remote communications, if any, by which stockholders and proxy holders may be deemed to be present in person and vote at such meeting, and, in the case of a special meeting, the purpose or purposes for which the meeting is called. Unless otherwise provided by Delaware Law, such notice shall be given not less than 10 nor more than 60 days before the date of the meeting to each stockholder of record entitled to vote at such meeting. The Board of Directors or the Chairperson of the meeting may adjourn the meeting to another time or place (whether or not a quorum is present), and notice need not be given of the adjourned meeting if the time, place, if any, and the means of remote communications, if any, by which stockholders and proxy holders may be deemed to be present in person and vote at such meeting, are announced at the meeting at which such adjournment is made or provided in any other manner permitted by Delaware Law. At the adjourned meeting, the Corporation may transact any business which might have been transacted at the original meeting. If the adjournment is for more than 30 days, or after the adjournment a new record date is fixed for the adjourned meeting, a notice of the adjourned meeting shall be given to each stockholder of record entitled to vote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ind w:firstLine="648"/>
        <w:spacing w:after="0" w:line="257" w:lineRule="auto"/>
        <w:rPr>
          <w:sz w:val="20"/>
          <w:szCs w:val="20"/>
          <w:color w:val="auto"/>
        </w:rPr>
      </w:pPr>
      <w:r>
        <w:rPr>
          <w:rFonts w:ascii="Arial" w:cs="Arial" w:eastAsia="Arial" w:hAnsi="Arial"/>
          <w:sz w:val="18"/>
          <w:szCs w:val="18"/>
          <w:color w:val="auto"/>
        </w:rPr>
        <w:t>(b)            A written waiver of any such notice signed by the person entitled thereto, or a waiver by electronic transmission by the person entitled to notice, whether before or after the time stated therein, shall be deemed equivalent to notice. Attendance of a person at a meeting shall constitute a waiver of notice of such meeting, except when the person attends the meeting for the express purpose of objecting, at the beginning of the meeting, to the transaction of any business because the meeting is not lawfully called or convened. Business transacted at any special meeting of stockholders shall be limited to the purposes stated in the notice.</w:t>
      </w:r>
    </w:p>
    <w:p>
      <w:pPr>
        <w:spacing w:after="0" w:line="188"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Section 2.05.    </w:t>
      </w:r>
      <w:r>
        <w:rPr>
          <w:rFonts w:ascii="Arial" w:cs="Arial" w:eastAsia="Arial" w:hAnsi="Arial"/>
          <w:sz w:val="18"/>
          <w:szCs w:val="18"/>
          <w:i w:val="1"/>
          <w:iCs w:val="1"/>
          <w:color w:val="auto"/>
        </w:rPr>
        <w:t>Quorum.</w:t>
      </w:r>
      <w:r>
        <w:rPr>
          <w:rFonts w:ascii="Arial" w:cs="Arial" w:eastAsia="Arial" w:hAnsi="Arial"/>
          <w:sz w:val="18"/>
          <w:szCs w:val="18"/>
          <w:color w:val="auto"/>
        </w:rPr>
        <w:t xml:space="preserve"> Unless otherwise provided under the Certificate of Incorporation or these Bylaws and subject to Delaware Law, the presence, in person or by proxy, of the holders of a majority of the total voting power of all outstanding securities of the Corporation generally entitled to vote at a meeting of stockholders shall constitute a quorum for the transaction of business. If, however, such quorum shall not be present or represented at any meeting of the stockholders, the Chairperson of the meeting or a majority in voting interest of the stockholders present in person or represented by proxy may adjourn the meeting, without notice other than announcement at the meeting, until a quorum shall be present or represented. At such adjourned meeting at which a quorum shall be present or represented any business may be transacted that might have been transacted at the meeting as originally notified.</w:t>
      </w:r>
    </w:p>
    <w:p>
      <w:pPr>
        <w:spacing w:after="0" w:line="19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Section 2.06.    </w:t>
      </w:r>
      <w:r>
        <w:rPr>
          <w:rFonts w:ascii="Arial" w:cs="Arial" w:eastAsia="Arial" w:hAnsi="Arial"/>
          <w:sz w:val="17"/>
          <w:szCs w:val="17"/>
          <w:i w:val="1"/>
          <w:iCs w:val="1"/>
          <w:color w:val="auto"/>
        </w:rPr>
        <w:t>Voting.</w:t>
      </w:r>
      <w:r>
        <w:rPr>
          <w:rFonts w:ascii="Arial" w:cs="Arial" w:eastAsia="Arial" w:hAnsi="Arial"/>
          <w:sz w:val="17"/>
          <w:szCs w:val="17"/>
          <w:color w:val="auto"/>
        </w:rPr>
        <w:t xml:space="preserve"> (a) Unless otherwise provided in the Certificate of Incorporation and subject to Delaware Law, each stockholder shall be entitled to one vote for each outstanding share of capital stock of the Corporation held by such stockholder. Any share of capital stock of the Corporation held by the Corporation shall have no voting rights. Except as otherwise required by law, the Certificate of Incorporation or these Bylaws, in all matters other than the election of directors, the affirmative vote of the holders of a majority of the votes cast at the meeting on the subject matter shall be the act of the stockholders. Abstentions and broker non-votes shall not be counted as votes cast. Subject to the rights of the holders of any class or series of preferred stock to elect additional directors under specific circumstances, as may be set forth in the certificate of designations for such class or series of preferred stock, directors shall be elected by a plurality of the votes of the shares of capital stock of the Corporation present in person or represented by proxy at the meeting and entitled to vote on the election of directors.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5" w:name="page6"/>
    <w:bookmarkEnd w:id="5"/>
    <w:p>
      <w:pPr>
        <w:ind w:right="220" w:firstLine="648"/>
        <w:spacing w:after="0" w:line="257" w:lineRule="auto"/>
        <w:rPr>
          <w:sz w:val="20"/>
          <w:szCs w:val="20"/>
          <w:color w:val="auto"/>
        </w:rPr>
      </w:pPr>
      <w:r>
        <w:rPr>
          <w:rFonts w:ascii="Arial" w:cs="Arial" w:eastAsia="Arial" w:hAnsi="Arial"/>
          <w:sz w:val="18"/>
          <w:szCs w:val="18"/>
          <w:color w:val="auto"/>
        </w:rPr>
        <w:t>(b)            Each stockholder entitled to vote at a meeting of stockholders or to express consent or dissent to a corporate action in writing without a meeting may authorize another person or persons to act for such stockholder by proxy, appointed by an instrument in writing, subscribed by such stockholder or by his attorney thereunto authorized, or by proxy sent by cable, telegram or by any means of electronic communication permitted by law, which results in a writing from such stockholder or by his attorney, and delivered to the secretary of the meeting. No proxy shall be voted after three (3) years from its date, unless said proxy provides for a longer period.</w:t>
      </w:r>
    </w:p>
    <w:p>
      <w:pPr>
        <w:spacing w:after="0" w:line="188"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Section 2.07.    </w:t>
      </w:r>
      <w:r>
        <w:rPr>
          <w:rFonts w:ascii="Arial" w:cs="Arial" w:eastAsia="Arial" w:hAnsi="Arial"/>
          <w:sz w:val="17"/>
          <w:szCs w:val="17"/>
          <w:i w:val="1"/>
          <w:iCs w:val="1"/>
          <w:color w:val="auto"/>
        </w:rPr>
        <w:t>Organization.</w:t>
      </w:r>
      <w:r>
        <w:rPr>
          <w:rFonts w:ascii="Arial" w:cs="Arial" w:eastAsia="Arial" w:hAnsi="Arial"/>
          <w:sz w:val="17"/>
          <w:szCs w:val="17"/>
          <w:color w:val="auto"/>
        </w:rPr>
        <w:t xml:space="preserve"> At each meeting of stockholders, the Chairperson of the Board of Directors, if one shall have been elected, or in the Chairperson’s absence or if one shall not have been elected, the director designated by the vote of the majority of the directors present at such meeting, shall act as Chairperson of the meeting. The Secretary (or in the Secretary’s absence or inability to act, the person whom the Chairperson of the meeting shall appoint secretary of the meeting) shall act as secretary of the meeting and keep the minutes thereof.</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Section 2.08.    </w:t>
      </w:r>
      <w:r>
        <w:rPr>
          <w:rFonts w:ascii="Arial" w:cs="Arial" w:eastAsia="Arial" w:hAnsi="Arial"/>
          <w:sz w:val="16"/>
          <w:szCs w:val="16"/>
          <w:i w:val="1"/>
          <w:iCs w:val="1"/>
          <w:color w:val="auto"/>
        </w:rPr>
        <w:t>Order of Business.</w:t>
      </w:r>
      <w:r>
        <w:rPr>
          <w:rFonts w:ascii="Arial" w:cs="Arial" w:eastAsia="Arial" w:hAnsi="Arial"/>
          <w:sz w:val="16"/>
          <w:szCs w:val="16"/>
          <w:color w:val="auto"/>
        </w:rPr>
        <w:t xml:space="preserve"> The order of business at all meetings of stockholders shall be as determined by the Chairperson of the meeting.</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2.09.    Nomination of Directors and Proposal of Other Business.</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(a)            </w:t>
      </w:r>
      <w:r>
        <w:rPr>
          <w:rFonts w:ascii="Arial" w:cs="Arial" w:eastAsia="Arial" w:hAnsi="Arial"/>
          <w:sz w:val="16"/>
          <w:szCs w:val="16"/>
          <w:i w:val="1"/>
          <w:iCs w:val="1"/>
          <w:color w:val="auto"/>
        </w:rPr>
        <w:t>Annual Meetings of Stockholders</w:t>
      </w:r>
      <w:r>
        <w:rPr>
          <w:rFonts w:ascii="Arial" w:cs="Arial" w:eastAsia="Arial" w:hAnsi="Arial"/>
          <w:sz w:val="16"/>
          <w:szCs w:val="16"/>
          <w:color w:val="auto"/>
        </w:rPr>
        <w:t>. (i) Nominations of persons for election to the Board of Directors or the proposal of other business to be transacted by the stockholders at an annual meeting of stockholders may be made only (A) pursuant to the Corporation’s notice of meeting (or any supplement thereto), (B) by or at the direction of the Board of Directors or any committee thereof, (C) as may be provided in the certificate of designations for any class or series of preferred stock, (D) by any stockholder of the Corporation who is a stockholder of record at the time of giving of notice provided</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for in paragraph (ii)</w:t>
      </w:r>
      <w:r>
        <w:rPr>
          <w:rFonts w:ascii="Arial" w:cs="Arial" w:eastAsia="Arial" w:hAnsi="Arial"/>
          <w:sz w:val="18"/>
          <w:szCs w:val="18"/>
          <w:b w:val="1"/>
          <w:bCs w:val="1"/>
          <w:color w:val="auto"/>
        </w:rPr>
        <w:t>‎</w:t>
      </w:r>
      <w:r>
        <w:rPr>
          <w:rFonts w:ascii="Arial" w:cs="Arial" w:eastAsia="Arial" w:hAnsi="Arial"/>
          <w:sz w:val="18"/>
          <w:szCs w:val="18"/>
          <w:color w:val="auto"/>
        </w:rPr>
        <w:t xml:space="preserve"> of this Section</w:t>
      </w:r>
      <w:r>
        <w:rPr>
          <w:rFonts w:ascii="Arial" w:cs="Arial" w:eastAsia="Arial" w:hAnsi="Arial"/>
          <w:sz w:val="18"/>
          <w:szCs w:val="18"/>
          <w:b w:val="1"/>
          <w:bCs w:val="1"/>
          <w:color w:val="auto"/>
        </w:rPr>
        <w:t>‎</w:t>
      </w:r>
      <w:r>
        <w:rPr>
          <w:rFonts w:ascii="Arial" w:cs="Arial" w:eastAsia="Arial" w:hAnsi="Arial"/>
          <w:sz w:val="18"/>
          <w:szCs w:val="18"/>
          <w:color w:val="auto"/>
        </w:rPr>
        <w:t xml:space="preserve"> 2.09(a) and at the time of the annual meeting, who shall be entitled to vote at the meeting and who complies with the procedures set forth in this </w:t>
      </w:r>
      <w:r>
        <w:rPr>
          <w:rFonts w:ascii="Arial" w:cs="Arial" w:eastAsia="Arial" w:hAnsi="Arial"/>
          <w:sz w:val="18"/>
          <w:szCs w:val="18"/>
          <w:b w:val="1"/>
          <w:bCs w:val="1"/>
          <w:color w:val="auto"/>
        </w:rPr>
        <w:t>‎</w:t>
      </w:r>
      <w:r>
        <w:rPr>
          <w:rFonts w:ascii="Arial" w:cs="Arial" w:eastAsia="Arial" w:hAnsi="Arial"/>
          <w:sz w:val="18"/>
          <w:szCs w:val="18"/>
          <w:color w:val="auto"/>
        </w:rPr>
        <w:t>Section 2.09(a) or (E) as provided in the Investor Rights Agreement (as defined in the Certificate of Incorporation), and, except as otherwise required by law, any failure to comply with these procedures shall result in the nullification of such nomination or proposal. For the avoidance of doubt and subject to Section 2.09(c)(vi), the foregoing clause (D) shall be the exclusive means for a stockholder to make nominations or propose other business at an annual meeting of stockholders (other than a proposal included in the Corporation’s proxy statement pursuant to and in compliance with Rule 14a-8 under the Exchange Act).</w:t>
      </w: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6" w:name="page7"/>
    <w:bookmarkEnd w:id="6"/>
    <w:p>
      <w:pPr>
        <w:ind w:left="960"/>
        <w:spacing w:after="0"/>
        <w:rPr>
          <w:sz w:val="20"/>
          <w:szCs w:val="20"/>
          <w:color w:val="auto"/>
        </w:rPr>
      </w:pPr>
      <w:r>
        <w:rPr>
          <w:rFonts w:ascii="Arial" w:cs="Arial" w:eastAsia="Arial" w:hAnsi="Arial"/>
          <w:sz w:val="16"/>
          <w:szCs w:val="16"/>
          <w:color w:val="auto"/>
        </w:rPr>
        <w:t>(ii)            For nominations or other business to be properly brought before an annual meeting of stockholders by a stockholder pursuant</w:t>
      </w:r>
    </w:p>
    <w:p>
      <w:pPr>
        <w:spacing w:after="0" w:line="46"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to clause (D)</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of paragraph (i)</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of this Section</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2.09(a), (1) the stockholder must have given timely notice thereof in writing to the Secretary of the Corporation and any such proposed business (other than the nominations of persons for election to the Board of Directors) must constitute a proper matter for stockholder action, (2) the stockholder must have complied in all respects with the requirements of Regulation 14A under the Securities Exchange Act of 1934, as amended, including, without limitation, the requirements of Rule 14a-19 (as such rule and regulations may be amended from time to time by the Securities and Exchange Commission (“SEC”) including any SEC Staff interpretations relating thereto), and (3) the Board of Directors or an executive officer designated thereby shall determine that the stockholder has satisfied the requirements of this clause (ii), including without limitation the satisfaction of any undertaking delivered under paragraph (iii) below. To be timely, a stockholder’s notice shall be delivered to, or mailed and received by, the Secretary of the Corporation at the principal executive offices of the Corporation not less than 90 days nor more than 120 days prior to the first anniversary of the preceding year’s annual meeting of stockholders;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the event that the date of the annual meeting is advanced more than 30 days prior to such anniversary date or delayed more than 70 days after such anniversary date then to be timely such notice must be received by the Corporation no earlier than 120 days prior to such annual meeting and no</w:t>
      </w:r>
    </w:p>
    <w:p>
      <w:pPr>
        <w:spacing w:after="0" w:line="6" w:lineRule="exact"/>
        <w:rPr>
          <w:sz w:val="20"/>
          <w:szCs w:val="20"/>
          <w:color w:val="auto"/>
        </w:rPr>
      </w:pPr>
    </w:p>
    <w:p>
      <w:pPr>
        <w:ind w:right="220"/>
        <w:spacing w:after="0" w:line="250" w:lineRule="auto"/>
        <w:rPr>
          <w:sz w:val="20"/>
          <w:szCs w:val="20"/>
          <w:color w:val="auto"/>
        </w:rPr>
      </w:pPr>
      <w:r>
        <w:rPr>
          <w:rFonts w:ascii="Arial" w:cs="Arial" w:eastAsia="Arial" w:hAnsi="Arial"/>
          <w:sz w:val="16"/>
          <w:szCs w:val="16"/>
          <w:color w:val="auto"/>
        </w:rPr>
        <w:t>later than the later of 70 days prior to the date of the meeting or the 10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following the day on which public announcement of the date of the meeting was first made by the Corporation. In no event shall the adjournment or postponement of any meeting, or any announcement thereof, commence a new time period (or extend any time period) for the giving of a stockholder’s notice as described above.</w:t>
      </w:r>
    </w:p>
    <w:p>
      <w:pPr>
        <w:spacing w:after="0" w:line="195" w:lineRule="exact"/>
        <w:rPr>
          <w:sz w:val="20"/>
          <w:szCs w:val="20"/>
          <w:color w:val="auto"/>
        </w:rPr>
      </w:pPr>
    </w:p>
    <w:p>
      <w:pPr>
        <w:ind w:right="40" w:firstLine="972"/>
        <w:spacing w:after="0" w:line="286" w:lineRule="auto"/>
        <w:rPr>
          <w:sz w:val="20"/>
          <w:szCs w:val="20"/>
          <w:color w:val="auto"/>
        </w:rPr>
      </w:pPr>
      <w:r>
        <w:rPr>
          <w:rFonts w:ascii="Arial" w:cs="Arial" w:eastAsia="Arial" w:hAnsi="Arial"/>
          <w:sz w:val="16"/>
          <w:szCs w:val="16"/>
          <w:color w:val="auto"/>
        </w:rPr>
        <w:t>(iii)            A stockholder’s notice to the Secretary pursuant to Section 2.09(a)(ii) or Section 2.09(b) shall set forth (A) as to each person whom the stockholder proposes to nominate for election or reelection as a director: (1) all information relating to such person that is required to be disclosed in solicitations of proxies for election of directors, or is otherwise required, in each case pursuant to Regulation 14A under the Securities Exchange Act of 1934 (as amended (together with the rules and regulations promulgated thereunder), the “</w:t>
      </w:r>
      <w:r>
        <w:rPr>
          <w:rFonts w:ascii="Arial" w:cs="Arial" w:eastAsia="Arial" w:hAnsi="Arial"/>
          <w:sz w:val="16"/>
          <w:szCs w:val="16"/>
          <w:b w:val="1"/>
          <w:bCs w:val="1"/>
          <w:color w:val="auto"/>
        </w:rPr>
        <w:t>Exchange Act</w:t>
      </w:r>
      <w:r>
        <w:rPr>
          <w:rFonts w:ascii="Arial" w:cs="Arial" w:eastAsia="Arial" w:hAnsi="Arial"/>
          <w:sz w:val="16"/>
          <w:szCs w:val="16"/>
          <w:color w:val="auto"/>
        </w:rPr>
        <w:t>”) including such person’s written consent to being named in the proxy statement and form of proxy as a nominee and to serving as a director if elected, (2) a reasonably detailed description of any compensatory, payment or other financial agreement, arrangement or understanding that such person has with any other person or entity other than the Corporation including the amount of any payment or payments received or receivable thereunder, in each case in connection with candidacy or service as a director of the Corporation (a “</w:t>
      </w:r>
      <w:r>
        <w:rPr>
          <w:rFonts w:ascii="Arial" w:cs="Arial" w:eastAsia="Arial" w:hAnsi="Arial"/>
          <w:sz w:val="16"/>
          <w:szCs w:val="16"/>
          <w:b w:val="1"/>
          <w:bCs w:val="1"/>
          <w:color w:val="auto"/>
        </w:rPr>
        <w:t>Third-Party Compensation Arrangement</w:t>
      </w:r>
      <w:r>
        <w:rPr>
          <w:rFonts w:ascii="Arial" w:cs="Arial" w:eastAsia="Arial" w:hAnsi="Arial"/>
          <w:sz w:val="16"/>
          <w:szCs w:val="16"/>
          <w:color w:val="auto"/>
        </w:rPr>
        <w:t>”), and (3) the information required under Section 2.09(c), (B) as to any other business that the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these Bylaws, the text of the proposed amendment), the reasons for conducting such business and any material interest in such business of such stockholder and the beneficial owner, if any, on whose behalf the proposal is made and (C) as to the stockholder giving the notice and the beneficial owner, if any, on whose behalf the proposal is made:</w:t>
      </w:r>
    </w:p>
    <w:p>
      <w:pPr>
        <w:spacing w:after="0" w:line="39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7" w:name="page8"/>
    <w:bookmarkEnd w:id="7"/>
    <w:p>
      <w:pPr>
        <w:jc w:val="both"/>
        <w:ind w:left="840" w:right="180" w:firstLine="1296"/>
        <w:spacing w:after="0" w:line="311" w:lineRule="auto"/>
        <w:rPr>
          <w:sz w:val="20"/>
          <w:szCs w:val="20"/>
          <w:color w:val="auto"/>
        </w:rPr>
      </w:pPr>
      <w:r>
        <w:rPr>
          <w:rFonts w:ascii="Arial" w:cs="Arial" w:eastAsia="Arial" w:hAnsi="Arial"/>
          <w:sz w:val="16"/>
          <w:szCs w:val="16"/>
          <w:color w:val="auto"/>
        </w:rPr>
        <w:t>(1)            the name and address of such stockholder (as they appear on the Corporation’s books), and the name and address of any such beneficial owner, and of any affiliates, associates, or others acting in concert with such stockholder or such beneficial owner (any such person other than the stockholder, a “Stockholder Associated Person”);</w:t>
      </w:r>
    </w:p>
    <w:p>
      <w:pPr>
        <w:spacing w:after="0" w:line="149" w:lineRule="exact"/>
        <w:rPr>
          <w:sz w:val="20"/>
          <w:szCs w:val="20"/>
          <w:color w:val="auto"/>
        </w:rPr>
      </w:pPr>
    </w:p>
    <w:p>
      <w:pPr>
        <w:ind w:left="840" w:right="120" w:firstLine="1296"/>
        <w:spacing w:after="0" w:line="277" w:lineRule="auto"/>
        <w:rPr>
          <w:sz w:val="20"/>
          <w:szCs w:val="20"/>
          <w:color w:val="auto"/>
        </w:rPr>
      </w:pPr>
      <w:r>
        <w:rPr>
          <w:rFonts w:ascii="Arial" w:cs="Arial" w:eastAsia="Arial" w:hAnsi="Arial"/>
          <w:sz w:val="18"/>
          <w:szCs w:val="18"/>
          <w:color w:val="auto"/>
        </w:rPr>
        <w:t>(2)            for each class or series, the number of shares of capital stock of the Corporation that are held of record or are beneficially owned by such stockholder and by any Stockholder Associated Person;</w:t>
      </w:r>
    </w:p>
    <w:p>
      <w:pPr>
        <w:spacing w:after="0" w:line="170" w:lineRule="exact"/>
        <w:rPr>
          <w:sz w:val="20"/>
          <w:szCs w:val="20"/>
          <w:color w:val="auto"/>
        </w:rPr>
      </w:pPr>
    </w:p>
    <w:p>
      <w:pPr>
        <w:ind w:left="840" w:right="140" w:firstLine="1296"/>
        <w:spacing w:after="0" w:line="263" w:lineRule="auto"/>
        <w:rPr>
          <w:sz w:val="20"/>
          <w:szCs w:val="20"/>
          <w:color w:val="auto"/>
        </w:rPr>
      </w:pPr>
      <w:r>
        <w:rPr>
          <w:rFonts w:ascii="Arial" w:cs="Arial" w:eastAsia="Arial" w:hAnsi="Arial"/>
          <w:sz w:val="18"/>
          <w:szCs w:val="18"/>
          <w:color w:val="auto"/>
        </w:rPr>
        <w:t>(3)            a description of any agreement, arrangement, relationship or understanding (whether written or oral) between or among such stockholder or Stockholder Associated Person and any other person in connection with the proposal of such nomination or other business;</w:t>
      </w:r>
    </w:p>
    <w:p>
      <w:pPr>
        <w:spacing w:after="0" w:line="184" w:lineRule="exact"/>
        <w:rPr>
          <w:sz w:val="20"/>
          <w:szCs w:val="20"/>
          <w:color w:val="auto"/>
        </w:rPr>
      </w:pPr>
    </w:p>
    <w:p>
      <w:pPr>
        <w:ind w:left="840" w:firstLine="1296"/>
        <w:spacing w:after="0" w:line="293" w:lineRule="auto"/>
        <w:rPr>
          <w:sz w:val="20"/>
          <w:szCs w:val="20"/>
          <w:color w:val="auto"/>
        </w:rPr>
      </w:pPr>
      <w:r>
        <w:rPr>
          <w:rFonts w:ascii="Arial" w:cs="Arial" w:eastAsia="Arial" w:hAnsi="Arial"/>
          <w:sz w:val="16"/>
          <w:szCs w:val="16"/>
          <w:color w:val="auto"/>
        </w:rPr>
        <w:t>(4)            a description of any agreement, arrangement or understanding (including, regardless of the form of settlement, any derivative, long or short positions, profit interests, forwards, futures, swaps, options, warrants, convertible securities, stock appreciation or similar rights, hedging transactions and borrowed or loaned shares) that has been entered into by or on behalf of such stockholder or any Stockholder Associated Person, or any other agreement, arrangement or understanding, the effect or intent of which is to mitigate loss to, manage risk or benefit of share price changes for, or increase or decrease the voting power of, such stockholder or Stockholder Associated Person with respect to the Corporation’s securities;</w:t>
      </w:r>
    </w:p>
    <w:p>
      <w:pPr>
        <w:spacing w:after="0" w:line="164" w:lineRule="exact"/>
        <w:rPr>
          <w:sz w:val="20"/>
          <w:szCs w:val="20"/>
          <w:color w:val="auto"/>
        </w:rPr>
      </w:pPr>
    </w:p>
    <w:p>
      <w:pPr>
        <w:ind w:left="840" w:right="100" w:firstLine="1296"/>
        <w:spacing w:after="0" w:line="263" w:lineRule="auto"/>
        <w:rPr>
          <w:sz w:val="20"/>
          <w:szCs w:val="20"/>
          <w:color w:val="auto"/>
        </w:rPr>
      </w:pPr>
      <w:r>
        <w:rPr>
          <w:rFonts w:ascii="Arial" w:cs="Arial" w:eastAsia="Arial" w:hAnsi="Arial"/>
          <w:sz w:val="18"/>
          <w:szCs w:val="18"/>
          <w:color w:val="auto"/>
        </w:rPr>
        <w:t>(5)            a representation that the stockholder is a holder of record of stock of the Corporation entitled to vote at such meeting and intends to appear in person or by proxy at the meeting to bring such nomination or other business before the meeting;</w:t>
      </w:r>
    </w:p>
    <w:p>
      <w:pPr>
        <w:spacing w:after="0" w:line="184" w:lineRule="exact"/>
        <w:rPr>
          <w:sz w:val="20"/>
          <w:szCs w:val="20"/>
          <w:color w:val="auto"/>
        </w:rPr>
      </w:pPr>
    </w:p>
    <w:p>
      <w:pPr>
        <w:jc w:val="both"/>
        <w:ind w:left="840" w:right="40" w:firstLine="1296"/>
        <w:spacing w:after="0" w:line="287" w:lineRule="auto"/>
        <w:rPr>
          <w:sz w:val="20"/>
          <w:szCs w:val="20"/>
          <w:color w:val="auto"/>
        </w:rPr>
      </w:pPr>
      <w:r>
        <w:rPr>
          <w:rFonts w:ascii="Arial" w:cs="Arial" w:eastAsia="Arial" w:hAnsi="Arial"/>
          <w:sz w:val="16"/>
          <w:szCs w:val="16"/>
          <w:color w:val="auto"/>
        </w:rPr>
        <w:t>(6)            a representation as to whether such stockholder or Stockholder Associated Person intends or is part of a group that intends to (i) deliver a proxy statement and/or form of proxy to holders of at least the percentage of the voting power of the Corporation’s outstanding capital stock required to approve or adopt the proposal or to elect each such nominee,</w:t>
      </w:r>
    </w:p>
    <w:p>
      <w:pPr>
        <w:spacing w:after="0" w:line="2" w:lineRule="exact"/>
        <w:rPr>
          <w:sz w:val="20"/>
          <w:szCs w:val="20"/>
          <w:color w:val="auto"/>
        </w:rPr>
      </w:pPr>
    </w:p>
    <w:p>
      <w:pPr>
        <w:ind w:left="840" w:right="20" w:hanging="8"/>
        <w:spacing w:after="0" w:line="253" w:lineRule="auto"/>
        <w:tabs>
          <w:tab w:leader="none" w:pos="1105"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otherwise solicit proxies from stockholders in support of such proposal or nomination and/or (iii) solicit holders of shares representing at least 67% of the outstanding securities of the Corporation generally entitled to vote on the election of directors in support of director nominees other than the Corporation’s nominees in accordance with Rule 14a-19 promulgated under the Exchange Act;</w:t>
      </w:r>
    </w:p>
    <w:p>
      <w:pPr>
        <w:spacing w:after="0" w:line="200" w:lineRule="exact"/>
        <w:rPr>
          <w:sz w:val="20"/>
          <w:szCs w:val="20"/>
          <w:color w:val="auto"/>
        </w:rPr>
      </w:pPr>
    </w:p>
    <w:p>
      <w:pPr>
        <w:spacing w:after="0" w:line="20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00"/>
          </w:cols>
          <w:pgMar w:left="1440" w:top="908" w:right="359" w:bottom="1440" w:gutter="0" w:footer="0" w:header="0"/>
        </w:sectPr>
      </w:pPr>
    </w:p>
    <w:bookmarkStart w:id="8" w:name="page9"/>
    <w:bookmarkEnd w:id="8"/>
    <w:p>
      <w:pPr>
        <w:ind w:left="1960" w:right="40" w:firstLine="1296"/>
        <w:spacing w:after="0" w:line="259" w:lineRule="auto"/>
        <w:rPr>
          <w:sz w:val="20"/>
          <w:szCs w:val="20"/>
          <w:color w:val="auto"/>
        </w:rPr>
      </w:pPr>
      <w:r>
        <w:rPr>
          <w:rFonts w:ascii="Arial" w:cs="Arial" w:eastAsia="Arial" w:hAnsi="Arial"/>
          <w:sz w:val="18"/>
          <w:szCs w:val="18"/>
          <w:color w:val="auto"/>
        </w:rPr>
        <w:t xml:space="preserve">(7)            a representation as to whether such stockholder or Stockholder Associated Person has complied with all applicable legal requirements in connection with its acquisition of shares or other securities of the Corporation, and any other information reasonably requested by the Corporation, including with respect to determining whether such person has complied with this </w:t>
      </w:r>
      <w:r>
        <w:rPr>
          <w:rFonts w:ascii="Arial" w:cs="Arial" w:eastAsia="Arial" w:hAnsi="Arial"/>
          <w:sz w:val="18"/>
          <w:szCs w:val="18"/>
          <w:i w:val="1"/>
          <w:iCs w:val="1"/>
          <w:color w:val="auto"/>
        </w:rPr>
        <w:t>‎</w:t>
      </w:r>
      <w:r>
        <w:rPr>
          <w:rFonts w:ascii="Arial" w:cs="Arial" w:eastAsia="Arial" w:hAnsi="Arial"/>
          <w:sz w:val="18"/>
          <w:szCs w:val="18"/>
          <w:color w:val="auto"/>
        </w:rPr>
        <w:t>Section 2.09(a);</w:t>
      </w:r>
    </w:p>
    <w:p>
      <w:pPr>
        <w:spacing w:after="0" w:line="187" w:lineRule="exact"/>
        <w:rPr>
          <w:sz w:val="20"/>
          <w:szCs w:val="20"/>
          <w:color w:val="auto"/>
        </w:rPr>
      </w:pPr>
    </w:p>
    <w:p>
      <w:pPr>
        <w:ind w:left="1960" w:right="120" w:firstLine="1296"/>
        <w:spacing w:after="0" w:line="259" w:lineRule="auto"/>
        <w:rPr>
          <w:sz w:val="20"/>
          <w:szCs w:val="20"/>
          <w:color w:val="auto"/>
        </w:rPr>
      </w:pPr>
      <w:r>
        <w:rPr>
          <w:rFonts w:ascii="Arial" w:cs="Arial" w:eastAsia="Arial" w:hAnsi="Arial"/>
          <w:sz w:val="18"/>
          <w:szCs w:val="18"/>
          <w:color w:val="auto"/>
        </w:rPr>
        <w:t>(8)            any other information relating to such stockholder, Stockholder Associated Person, if any, or director nominee or proposed business that would be required to be disclosed in a proxy statement or other filing required to be made in connection with the solicitation of proxies in support of such nominee or proposal pursuant to Section 14 of the Exchange Act; and</w:t>
      </w:r>
    </w:p>
    <w:p>
      <w:pPr>
        <w:spacing w:after="0" w:line="187" w:lineRule="exact"/>
        <w:rPr>
          <w:sz w:val="20"/>
          <w:szCs w:val="20"/>
          <w:color w:val="auto"/>
        </w:rPr>
      </w:pPr>
    </w:p>
    <w:p>
      <w:pPr>
        <w:ind w:left="1960" w:right="320" w:firstLine="1296"/>
        <w:spacing w:after="0" w:line="308" w:lineRule="auto"/>
        <w:rPr>
          <w:sz w:val="20"/>
          <w:szCs w:val="20"/>
          <w:color w:val="auto"/>
        </w:rPr>
      </w:pPr>
      <w:r>
        <w:rPr>
          <w:rFonts w:ascii="Arial" w:cs="Arial" w:eastAsia="Arial" w:hAnsi="Arial"/>
          <w:sz w:val="17"/>
          <w:szCs w:val="17"/>
          <w:color w:val="auto"/>
        </w:rPr>
        <w:t>(9)            such other information relating to any proposed item of business as the Corporation may reasonably require to determine whether such proposed item of business is a proper matter for stockholder action.</w:t>
      </w:r>
    </w:p>
    <w:p>
      <w:pPr>
        <w:spacing w:after="0" w:line="14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If requested by the Corporation, the information required under 2‎.09(a)(iii) shall be further updated and supplemented by such stockholder and any Stockholder Associated Person, so that the information provided or required to be provided in such notice shall be true and correct as of the record date for the meeting and as of the date that is 10 days prior to the date of meeting or any adjournment or postponement thereof, and such update and supplement shall be delivered to, and received by, the Secretary at the principal executive offices of the Corporation not later than 10 days after the record date for the meeting (in the case of the update and supplement required to be made as of the record date) and not later than eight days prior to the meeting or any adjournment or postponement thereof (in the case of the update and supplement required to be made as of 10 days prior to the meeting or any adjournment or postponement thereof). For the avoidance of doubt, the obligation to update and supplement as set forth in this Section 2.09 shall not limit the Corporation’s rights with respect to any deficiencies under this Section 2.09 or enable or be deemed to permit a stockholder who has previously submitted a stockholder’s notice to amend or update any proposal or to submit any new proposal, including by changing or adding nominees, matters, business, and/or resolutions proposed to be brought before a meeting of stockholders.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ind w:right="220" w:firstLine="648"/>
        <w:spacing w:after="0" w:line="287" w:lineRule="auto"/>
        <w:rPr>
          <w:sz w:val="20"/>
          <w:szCs w:val="20"/>
          <w:color w:val="auto"/>
        </w:rPr>
      </w:pPr>
      <w:r>
        <w:rPr>
          <w:rFonts w:ascii="Arial" w:cs="Arial" w:eastAsia="Arial" w:hAnsi="Arial"/>
          <w:sz w:val="16"/>
          <w:szCs w:val="16"/>
          <w:color w:val="auto"/>
        </w:rPr>
        <w:t>(b)            </w:t>
      </w:r>
      <w:r>
        <w:rPr>
          <w:rFonts w:ascii="Arial" w:cs="Arial" w:eastAsia="Arial" w:hAnsi="Arial"/>
          <w:sz w:val="16"/>
          <w:szCs w:val="16"/>
          <w:i w:val="1"/>
          <w:iCs w:val="1"/>
          <w:color w:val="auto"/>
        </w:rPr>
        <w:t>Special Meetings of Stockholders</w:t>
      </w:r>
      <w:r>
        <w:rPr>
          <w:rFonts w:ascii="Arial" w:cs="Arial" w:eastAsia="Arial" w:hAnsi="Arial"/>
          <w:sz w:val="16"/>
          <w:szCs w:val="16"/>
          <w:color w:val="auto"/>
        </w:rPr>
        <w:t xml:space="preserve">. If the election of directors is included as business to be brought before a special meeting in the Corporation’s notice of meeting, then nominations of persons for election to the Board of Directors at a special meeting of stockholders may be made by any stockholder who is a stockholder of record at the time of giving of notice provided for in this </w:t>
      </w:r>
      <w:r>
        <w:rPr>
          <w:rFonts w:ascii="Arial" w:cs="Arial" w:eastAsia="Arial" w:hAnsi="Arial"/>
          <w:sz w:val="16"/>
          <w:szCs w:val="16"/>
          <w:b w:val="1"/>
          <w:bCs w:val="1"/>
          <w:color w:val="auto"/>
        </w:rPr>
        <w:t>‎</w:t>
      </w:r>
      <w:r>
        <w:rPr>
          <w:rFonts w:ascii="Arial" w:cs="Arial" w:eastAsia="Arial" w:hAnsi="Arial"/>
          <w:sz w:val="16"/>
          <w:szCs w:val="16"/>
          <w:color w:val="auto"/>
        </w:rPr>
        <w:t>Section 2.09(b) and at the time of the special meeting,</w:t>
      </w:r>
    </w:p>
    <w:p>
      <w:pPr>
        <w:spacing w:after="0" w:line="2"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who shall be entitled to vote at the meeting and who complies with the procedures set forth in this Section</w:t>
      </w:r>
      <w:r>
        <w:rPr>
          <w:rFonts w:ascii="Arial" w:cs="Arial" w:eastAsia="Arial" w:hAnsi="Arial"/>
          <w:sz w:val="16"/>
          <w:szCs w:val="16"/>
          <w:b w:val="1"/>
          <w:bCs w:val="1"/>
          <w:color w:val="auto"/>
        </w:rPr>
        <w:t>‎</w:t>
      </w:r>
      <w:r>
        <w:rPr>
          <w:rFonts w:ascii="Arial" w:cs="Arial" w:eastAsia="Arial" w:hAnsi="Arial"/>
          <w:sz w:val="16"/>
          <w:szCs w:val="16"/>
          <w:color w:val="auto"/>
        </w:rPr>
        <w:t xml:space="preserve"> 2.09(b) or the Investor Rights Agreement. For nominations to be properly brought by a stockholder before a special meeting of stockholders pursuant to this </w:t>
      </w:r>
      <w:r>
        <w:rPr>
          <w:rFonts w:ascii="Arial" w:cs="Arial" w:eastAsia="Arial" w:hAnsi="Arial"/>
          <w:sz w:val="16"/>
          <w:szCs w:val="16"/>
          <w:b w:val="1"/>
          <w:bCs w:val="1"/>
          <w:color w:val="auto"/>
        </w:rPr>
        <w:t>‎</w:t>
      </w:r>
      <w:r>
        <w:rPr>
          <w:rFonts w:ascii="Arial" w:cs="Arial" w:eastAsia="Arial" w:hAnsi="Arial"/>
          <w:sz w:val="16"/>
          <w:szCs w:val="16"/>
          <w:color w:val="auto"/>
        </w:rPr>
        <w:t>Section 2.09(b), the stockholder must have given timely notice thereof in writing to the Secretary of the Corporation. To be timely, a stockholder’s notice shall be delivered to or mailed and received at the principal executive offices of the Corporation (A) not earlier than 150 days prior to the date of the special meeting nor (B) later than the later of 120</w:t>
      </w:r>
    </w:p>
    <w:p>
      <w:pPr>
        <w:spacing w:after="0" w:line="2" w:lineRule="exact"/>
        <w:rPr>
          <w:sz w:val="20"/>
          <w:szCs w:val="20"/>
          <w:color w:val="auto"/>
        </w:rPr>
      </w:pPr>
    </w:p>
    <w:p>
      <w:pPr>
        <w:ind w:right="240"/>
        <w:spacing w:after="0" w:line="209" w:lineRule="auto"/>
        <w:rPr>
          <w:sz w:val="20"/>
          <w:szCs w:val="20"/>
          <w:color w:val="auto"/>
        </w:rPr>
      </w:pPr>
      <w:r>
        <w:rPr>
          <w:rFonts w:ascii="Arial" w:cs="Arial" w:eastAsia="Arial" w:hAnsi="Arial"/>
          <w:sz w:val="18"/>
          <w:szCs w:val="18"/>
          <w:color w:val="auto"/>
        </w:rPr>
        <w:t>days prior to the date of the special meeting or the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following the day on which public announcement of the date of the special meeting was first made. A stockholder’s notice to the Secretary shall comply with the notice and other requirements of </w:t>
      </w:r>
      <w:r>
        <w:rPr>
          <w:rFonts w:ascii="Arial" w:cs="Arial" w:eastAsia="Arial" w:hAnsi="Arial"/>
          <w:sz w:val="18"/>
          <w:szCs w:val="18"/>
          <w:b w:val="1"/>
          <w:bCs w:val="1"/>
          <w:color w:val="auto"/>
        </w:rPr>
        <w:t>‎</w:t>
      </w:r>
      <w:r>
        <w:rPr>
          <w:rFonts w:ascii="Arial" w:cs="Arial" w:eastAsia="Arial" w:hAnsi="Arial"/>
          <w:sz w:val="18"/>
          <w:szCs w:val="18"/>
          <w:color w:val="auto"/>
        </w:rPr>
        <w:t>Section 2.09(a)(iii).</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            </w:t>
      </w:r>
      <w:r>
        <w:rPr>
          <w:rFonts w:ascii="Arial" w:cs="Arial" w:eastAsia="Arial" w:hAnsi="Arial"/>
          <w:sz w:val="16"/>
          <w:szCs w:val="16"/>
          <w:i w:val="1"/>
          <w:iCs w:val="1"/>
          <w:color w:val="auto"/>
        </w:rPr>
        <w:t>General</w:t>
      </w:r>
      <w:r>
        <w:rPr>
          <w:rFonts w:ascii="Arial" w:cs="Arial" w:eastAsia="Arial" w:hAnsi="Arial"/>
          <w:sz w:val="16"/>
          <w:szCs w:val="16"/>
          <w:color w:val="auto"/>
        </w:rPr>
        <w:t>. (i) To be eligible to be a nominee for election as a director, the proposed nominee must provide to the Secretary of the Corporation</w:t>
      </w:r>
    </w:p>
    <w:p>
      <w:pPr>
        <w:spacing w:after="0" w:line="46"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in accordance with the applicable time periods prescribed for delivery of notice under Section 2.09(a)(ii) or Section</w:t>
      </w:r>
      <w:r>
        <w:rPr>
          <w:rFonts w:ascii="Arial" w:cs="Arial" w:eastAsia="Arial" w:hAnsi="Arial"/>
          <w:sz w:val="17"/>
          <w:szCs w:val="17"/>
          <w:b w:val="1"/>
          <w:bCs w:val="1"/>
          <w:color w:val="auto"/>
        </w:rPr>
        <w:t>‎</w:t>
      </w:r>
      <w:r>
        <w:rPr>
          <w:rFonts w:ascii="Arial" w:cs="Arial" w:eastAsia="Arial" w:hAnsi="Arial"/>
          <w:sz w:val="17"/>
          <w:szCs w:val="17"/>
          <w:color w:val="auto"/>
        </w:rPr>
        <w:t xml:space="preserve"> 2.09(b): (1) a completed D&amp;O questionnaire (in the form provided by the secretary of the Corporation at the request of the nominating stockholder) containing information regarding the nominee’s background and qualifications and such other information as may reasonably be required by the Corporation to determine the eligibility of such proposed nominee to serve as a director of the Corporation or to serve as an independent director of the Corporation, (2) a written representation that, unless previously disclosed to the Corporation, the nominee is not and will not become a party to any voting agreement, arrangement or understanding with any person or entity as to how such nominee, if elected as a director, will vote on any issue or that could interfere with such person’s ability to comply, if elected as a director, with his/her fiduciary duties under applicable law, (3) a written representation and agreement that, unless previously disclosed to the Corporation pursuant to </w:t>
      </w:r>
      <w:r>
        <w:rPr>
          <w:rFonts w:ascii="Arial" w:cs="Arial" w:eastAsia="Arial" w:hAnsi="Arial"/>
          <w:sz w:val="17"/>
          <w:szCs w:val="17"/>
          <w:b w:val="1"/>
          <w:bCs w:val="1"/>
          <w:color w:val="auto"/>
        </w:rPr>
        <w:t>‎</w:t>
      </w:r>
      <w:r>
        <w:rPr>
          <w:rFonts w:ascii="Arial" w:cs="Arial" w:eastAsia="Arial" w:hAnsi="Arial"/>
          <w:sz w:val="17"/>
          <w:szCs w:val="17"/>
          <w:color w:val="auto"/>
        </w:rPr>
        <w:t>Section 2.09(a)(iii)(A)(2), the nominee is not and will not become a party to any Third-Party Compensation Arrangement and (4) a written representation that, if elected as a director, such nominee would be in compliance and will continue to comply with the Corporation’s corporate governance guidelines as disclosed on the Corporation’s website, as amended from time to time. At the request of the Board of Directors, any person nominated by the Board of Directors for election as a director shall furnish to the Secretary of the Corporation the information that is required to be set forth in a stockholder’s notice of nomination that pertains to the nominee.</w:t>
      </w:r>
    </w:p>
    <w:p>
      <w:pPr>
        <w:spacing w:after="0" w:line="184"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(ii)            No person shall be eligible to be nominated by a stockholder to serve as a director of the Corporation unless nominated in</w:t>
      </w:r>
    </w:p>
    <w:p>
      <w:pPr>
        <w:spacing w:after="0" w:line="46" w:lineRule="exact"/>
        <w:rPr>
          <w:sz w:val="20"/>
          <w:szCs w:val="20"/>
          <w:color w:val="auto"/>
        </w:rPr>
      </w:pPr>
    </w:p>
    <w:p>
      <w:pPr>
        <w:ind w:left="660" w:right="240"/>
        <w:spacing w:after="0" w:line="260" w:lineRule="auto"/>
        <w:rPr>
          <w:sz w:val="20"/>
          <w:szCs w:val="20"/>
          <w:color w:val="auto"/>
        </w:rPr>
      </w:pPr>
      <w:r>
        <w:rPr>
          <w:rFonts w:ascii="Arial" w:cs="Arial" w:eastAsia="Arial" w:hAnsi="Arial"/>
          <w:sz w:val="18"/>
          <w:szCs w:val="18"/>
          <w:color w:val="auto"/>
        </w:rPr>
        <w:t>accordance with the procedures set forth in this Section</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2.09 or the Investor Rights Agreement. No business proposed by a stockholder shall be conducted at a stockholder meeting except in accordance with this </w:t>
      </w:r>
      <w:r>
        <w:rPr>
          <w:rFonts w:ascii="Arial" w:cs="Arial" w:eastAsia="Arial" w:hAnsi="Arial"/>
          <w:sz w:val="18"/>
          <w:szCs w:val="18"/>
          <w:b w:val="1"/>
          <w:bCs w:val="1"/>
          <w:i w:val="1"/>
          <w:iCs w:val="1"/>
          <w:color w:val="auto"/>
        </w:rPr>
        <w:t>‎</w:t>
      </w:r>
      <w:r>
        <w:rPr>
          <w:rFonts w:ascii="Arial" w:cs="Arial" w:eastAsia="Arial" w:hAnsi="Arial"/>
          <w:sz w:val="18"/>
          <w:szCs w:val="18"/>
          <w:color w:val="auto"/>
        </w:rPr>
        <w:t>Section 2.09.</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0" w:name="page11"/>
    <w:bookmarkEnd w:id="10"/>
    <w:p>
      <w:pPr>
        <w:jc w:val="both"/>
        <w:ind w:right="200" w:firstLine="972"/>
        <w:spacing w:after="0" w:line="287" w:lineRule="auto"/>
        <w:rPr>
          <w:sz w:val="20"/>
          <w:szCs w:val="20"/>
          <w:color w:val="auto"/>
        </w:rPr>
      </w:pPr>
      <w:r>
        <w:rPr>
          <w:rFonts w:ascii="Arial" w:cs="Arial" w:eastAsia="Arial" w:hAnsi="Arial"/>
          <w:sz w:val="16"/>
          <w:szCs w:val="16"/>
          <w:color w:val="auto"/>
        </w:rPr>
        <w:t>(iii)            The Chairperson of the meeting shall, if the facts warrant, determine and declare to the meeting that a nomination was not made in accordance with the procedures prescribed by these Bylaws or that business was not properly brought before the meeting, and if he/she should so determine, he/she shall so declare to the meeting and the defective nomination shall be disregarded or such business shall not be</w:t>
      </w:r>
    </w:p>
    <w:p>
      <w:pPr>
        <w:spacing w:after="0" w:line="2"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transacted, as the case may be. Notwithstanding the foregoing provisions of this Section</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2.09, unless otherwise required by law, if the stockholder (or a qualified representative of the stockholder) does not appear at the annual or special meeting of stockholders of the Corporation to present a nomination or other proposed business, such nomination shall be disregarded or such proposed business shall not be transacted, as the case may be, notwithstanding that proxies in respect of such vote may have been received by the Corporation and counted for purposes of determining a quorum. For purposes of this </w:t>
      </w:r>
      <w:r>
        <w:rPr>
          <w:rFonts w:ascii="Arial" w:cs="Arial" w:eastAsia="Arial" w:hAnsi="Arial"/>
          <w:sz w:val="16"/>
          <w:szCs w:val="16"/>
          <w:b w:val="1"/>
          <w:bCs w:val="1"/>
          <w:i w:val="1"/>
          <w:iCs w:val="1"/>
          <w:color w:val="auto"/>
        </w:rPr>
        <w:t>‎</w:t>
      </w:r>
      <w:r>
        <w:rPr>
          <w:rFonts w:ascii="Arial" w:cs="Arial" w:eastAsia="Arial" w:hAnsi="Arial"/>
          <w:sz w:val="16"/>
          <w:szCs w:val="16"/>
          <w:color w:val="auto"/>
        </w:rPr>
        <w:t>Section 2.09,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 Notwithstanding anything to the contrary in these Bylaws, unless otherwise required by law, if any stockholder or Stockholder Associated Person (i) provides notice pursuant to Rule 14a-19(b) promulgated under the Exchange Act with respect to any proposed nominee and (ii) subsequently fails to comply with the requirements of Rule 14a-19(a)(2) or Rule 14a-19(a)(3) promulgated under the Exchange Act (or fails to timely provide reasonable evidence sufficient to satisfy the Corporation that such stockholder or Stockholder Associated Person has met the requirements of Rule 14a-19(a)(3) promulgated under the Exchange Act in accordance with the following sentence), then the nomination of each such proposed nominee shall be disregarded, notwithstanding that proxies or votes in respect of the election of such proposed nominees may have been received by the Corporation (which proxies and votes shall be disregarded except for the purpose of determining a quorum). If any stockholder or Stockholder Associated Person provides notice pursuant to Rule 14a-19(b) promulgated under the Exchange Act, such stockholder or Stockholder Associated Person shall deliver to the Corporation, no later than ten (10) days prior to the applicable meeting, reasonable evidence that it has met the requirements of Rule 14a-19(a)(3) promulgated under the Exchange Act.</w:t>
      </w:r>
    </w:p>
    <w:p>
      <w:pPr>
        <w:spacing w:after="0" w:line="171" w:lineRule="exact"/>
        <w:rPr>
          <w:sz w:val="20"/>
          <w:szCs w:val="20"/>
          <w:color w:val="auto"/>
        </w:rPr>
      </w:pPr>
    </w:p>
    <w:p>
      <w:pPr>
        <w:ind w:firstLine="972"/>
        <w:spacing w:after="0" w:line="287" w:lineRule="auto"/>
        <w:rPr>
          <w:sz w:val="20"/>
          <w:szCs w:val="20"/>
          <w:color w:val="auto"/>
        </w:rPr>
      </w:pPr>
      <w:r>
        <w:rPr>
          <w:rFonts w:ascii="Arial" w:cs="Arial" w:eastAsia="Arial" w:hAnsi="Arial"/>
          <w:sz w:val="16"/>
          <w:szCs w:val="16"/>
          <w:color w:val="auto"/>
        </w:rPr>
        <w:t xml:space="preserve">(iv)            Without limiting the foregoing provisions of this </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Section 2.09, a stockholder shall also comply with all applicable requirements of the Exchange Act with respect to the matters set forth in this </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Section 2.09;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references in these Bylaws to the Exchange Act are not intended to and shall not limit any requirements applicable to nominations or proposals as to any other business to be</w:t>
      </w:r>
    </w:p>
    <w:p>
      <w:pPr>
        <w:spacing w:after="0" w:line="2" w:lineRule="exact"/>
        <w:rPr>
          <w:sz w:val="20"/>
          <w:szCs w:val="20"/>
          <w:color w:val="auto"/>
        </w:rPr>
      </w:pPr>
    </w:p>
    <w:p>
      <w:pPr>
        <w:ind w:right="100"/>
        <w:spacing w:after="0" w:line="323" w:lineRule="auto"/>
        <w:rPr>
          <w:sz w:val="20"/>
          <w:szCs w:val="20"/>
          <w:color w:val="auto"/>
        </w:rPr>
      </w:pPr>
      <w:r>
        <w:rPr>
          <w:rFonts w:ascii="Arial" w:cs="Arial" w:eastAsia="Arial" w:hAnsi="Arial"/>
          <w:sz w:val="16"/>
          <w:szCs w:val="16"/>
          <w:color w:val="auto"/>
        </w:rPr>
        <w:t>considered pursuant to this Section</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2.09, and compliance with paragraphs (a)(i)(D)</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and (b)</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of this Section</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2.09 shall be the exclusive means for a stockholder to make nominations or submit other business (other than as provided in </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Section 2.09(c)(v) and </w:t>
      </w:r>
      <w:r>
        <w:rPr>
          <w:rFonts w:ascii="Arial" w:cs="Arial" w:eastAsia="Arial" w:hAnsi="Arial"/>
          <w:sz w:val="16"/>
          <w:szCs w:val="16"/>
          <w:b w:val="1"/>
          <w:bCs w:val="1"/>
          <w:i w:val="1"/>
          <w:iCs w:val="1"/>
          <w:color w:val="auto"/>
        </w:rPr>
        <w:t>‎</w:t>
      </w:r>
      <w:r>
        <w:rPr>
          <w:rFonts w:ascii="Arial" w:cs="Arial" w:eastAsia="Arial" w:hAnsi="Arial"/>
          <w:sz w:val="16"/>
          <w:szCs w:val="16"/>
          <w:color w:val="auto"/>
        </w:rPr>
        <w:t>Section 2.09(a)(i)(E)).</w:t>
      </w:r>
    </w:p>
    <w:p>
      <w:pPr>
        <w:spacing w:after="0" w:line="35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40"/>
          </w:cols>
          <w:pgMar w:left="980" w:top="908" w:right="379" w:bottom="1440" w:gutter="0" w:footer="0" w:header="0"/>
        </w:sectPr>
      </w:pPr>
    </w:p>
    <w:bookmarkStart w:id="11" w:name="page12"/>
    <w:bookmarkEnd w:id="11"/>
    <w:p>
      <w:pPr>
        <w:ind w:left="660" w:right="20" w:firstLine="972"/>
        <w:spacing w:after="0" w:line="301" w:lineRule="auto"/>
        <w:rPr>
          <w:sz w:val="20"/>
          <w:szCs w:val="20"/>
          <w:color w:val="auto"/>
        </w:rPr>
      </w:pPr>
      <w:r>
        <w:rPr>
          <w:rFonts w:ascii="Arial" w:cs="Arial" w:eastAsia="Arial" w:hAnsi="Arial"/>
          <w:sz w:val="16"/>
          <w:szCs w:val="16"/>
          <w:color w:val="auto"/>
        </w:rPr>
        <w:t xml:space="preserve">(v)            Notwithstanding anything to the contrary, the notice requirements set forth herein with respect to the proposal of any business pursuant to this </w:t>
      </w:r>
      <w:r>
        <w:rPr>
          <w:rFonts w:ascii="Arial" w:cs="Arial" w:eastAsia="Arial" w:hAnsi="Arial"/>
          <w:sz w:val="16"/>
          <w:szCs w:val="16"/>
          <w:b w:val="1"/>
          <w:bCs w:val="1"/>
          <w:i w:val="1"/>
          <w:iCs w:val="1"/>
          <w:color w:val="auto"/>
        </w:rPr>
        <w:t>‎</w:t>
      </w:r>
      <w:r>
        <w:rPr>
          <w:rFonts w:ascii="Arial" w:cs="Arial" w:eastAsia="Arial" w:hAnsi="Arial"/>
          <w:sz w:val="16"/>
          <w:szCs w:val="16"/>
          <w:color w:val="auto"/>
        </w:rPr>
        <w:t>Section 2.09 other than a nomination of persons for election to the Board of Directors shall be deemed satisfied by a stockholder if such stockholder has submitted a proposal to the Corporation in compliance with Rule 14a-8 under the Exchange Act, and such stockholder’s proposal has been included in a proxy statement that has been prepared by the Corporation to solicit proxies for the meeting of stockholders.</w:t>
      </w:r>
    </w:p>
    <w:p>
      <w:pPr>
        <w:spacing w:after="0" w:line="157" w:lineRule="exact"/>
        <w:rPr>
          <w:sz w:val="20"/>
          <w:szCs w:val="20"/>
          <w:color w:val="auto"/>
        </w:rPr>
      </w:pPr>
    </w:p>
    <w:p>
      <w:pPr>
        <w:ind w:left="660" w:right="100" w:firstLine="972"/>
        <w:spacing w:after="0" w:line="279" w:lineRule="auto"/>
        <w:rPr>
          <w:sz w:val="20"/>
          <w:szCs w:val="20"/>
          <w:color w:val="auto"/>
        </w:rPr>
      </w:pPr>
      <w:r>
        <w:rPr>
          <w:rFonts w:ascii="Arial" w:cs="Arial" w:eastAsia="Arial" w:hAnsi="Arial"/>
          <w:sz w:val="17"/>
          <w:szCs w:val="17"/>
          <w:color w:val="auto"/>
        </w:rPr>
        <w:t xml:space="preserve">(vi)            Notwithstanding anything to the contrary in this </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Section 2.09, for as long as the Investor Rights Agreement remains in effect with respect to Ayar (as defined therein), Ayar (to the extent then subject to the Investor Rights Agreement) shall not be subject to the notice procedures set forth in </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Section 2.09(a)(ii), </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Section 2.09(a)(iii), </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Section 2.09(b) or </w:t>
      </w:r>
      <w:r>
        <w:rPr>
          <w:rFonts w:ascii="Arial" w:cs="Arial" w:eastAsia="Arial" w:hAnsi="Arial"/>
          <w:sz w:val="17"/>
          <w:szCs w:val="17"/>
          <w:b w:val="1"/>
          <w:bCs w:val="1"/>
          <w:i w:val="1"/>
          <w:iCs w:val="1"/>
          <w:color w:val="auto"/>
        </w:rPr>
        <w:t>‎</w:t>
      </w:r>
      <w:r>
        <w:rPr>
          <w:rFonts w:ascii="Arial" w:cs="Arial" w:eastAsia="Arial" w:hAnsi="Arial"/>
          <w:sz w:val="17"/>
          <w:szCs w:val="17"/>
          <w:color w:val="auto"/>
        </w:rPr>
        <w:t>Section 2.09(c)(i) with respect to any annual or special meeting of stockholders in respect of any matters that are contemplated by the Investor Rights Agreement.</w:t>
      </w:r>
    </w:p>
    <w:p>
      <w:pPr>
        <w:spacing w:after="0" w:line="17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(d)            Any stockholder or Stockholder Associated Person soliciting proxies from other stockholders must use a proxy card color other than white, which color shall be reserved for the exclusive use of the Corporation.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w:t>
      </w:r>
      <w:r>
        <w:rPr>
          <w:rFonts w:ascii="Arial" w:cs="Arial" w:eastAsia="Arial" w:hAnsi="Arial"/>
          <w:sz w:val="12"/>
          <w:szCs w:val="12"/>
          <w:color w:val="auto"/>
        </w:rPr>
        <w:t>irectors</w:t>
      </w:r>
    </w:p>
    <w:p>
      <w:pPr>
        <w:spacing w:after="0" w:line="21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i w:val="1"/>
          <w:iCs w:val="1"/>
          <w:color w:val="auto"/>
        </w:rPr>
        <w:t>General Powers.</w:t>
      </w:r>
      <w:r>
        <w:rPr>
          <w:rFonts w:ascii="Arial" w:cs="Arial" w:eastAsia="Arial" w:hAnsi="Arial"/>
          <w:sz w:val="18"/>
          <w:szCs w:val="18"/>
          <w:color w:val="auto"/>
        </w:rPr>
        <w:t xml:space="preserve"> Except as otherwise provided in Delaware Law or the Certificate of Incorporation, the business and affairs of the Corporation shall be managed by or under the direction of the Board of Directors.</w:t>
      </w:r>
    </w:p>
    <w:p>
      <w:pPr>
        <w:spacing w:after="0" w:line="17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i w:val="1"/>
          <w:iCs w:val="1"/>
          <w:color w:val="auto"/>
        </w:rPr>
        <w:t>Number, Election and Term of Office.</w:t>
      </w:r>
      <w:r>
        <w:rPr>
          <w:rFonts w:ascii="Arial" w:cs="Arial" w:eastAsia="Arial" w:hAnsi="Arial"/>
          <w:sz w:val="18"/>
          <w:szCs w:val="18"/>
          <w:color w:val="auto"/>
        </w:rPr>
        <w:t xml:space="preserve"> Subject to the Investor Rights Agreement, the Board of Directors shall consist of not less than five nor more than thirteen directors, with the exact number of directors to be determined from time to time solely by resolution adopted by the affirmative vote of a majority of the Board of Directors. As set forth in Article 6 of the Certificate of Incorporation, each director shall be elected annually by the stockholders. Except as otherwise provided in the Certificate of Incorporation or the Investor Rights Agreement, each director shall serve for a term ending on the date of the annual meeting of stockholders next following the annual meeting at which such director was elected. Notwithstanding the foregoing, each director shall hold office until such director’s successor shall have been duly elected and qualified or until such director’s earlier death, resignation or removal. Directors need not be stockholders.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2" w:name="page13"/>
    <w:bookmarkEnd w:id="12"/>
    <w:p>
      <w:pPr>
        <w:ind w:right="60" w:firstLine="648"/>
        <w:spacing w:after="0" w:line="269" w:lineRule="auto"/>
        <w:rPr>
          <w:sz w:val="20"/>
          <w:szCs w:val="20"/>
          <w:color w:val="auto"/>
        </w:rPr>
      </w:pPr>
      <w:r>
        <w:rPr>
          <w:rFonts w:ascii="Arial" w:cs="Arial" w:eastAsia="Arial" w:hAnsi="Arial"/>
          <w:sz w:val="17"/>
          <w:szCs w:val="17"/>
          <w:color w:val="auto"/>
        </w:rPr>
        <w:t>Section 3.03.    </w:t>
      </w:r>
      <w:r>
        <w:rPr>
          <w:rFonts w:ascii="Arial" w:cs="Arial" w:eastAsia="Arial" w:hAnsi="Arial"/>
          <w:sz w:val="17"/>
          <w:szCs w:val="17"/>
          <w:i w:val="1"/>
          <w:iCs w:val="1"/>
          <w:color w:val="auto"/>
        </w:rPr>
        <w:t>Quorum and Manner of Acting.</w:t>
      </w:r>
      <w:r>
        <w:rPr>
          <w:rFonts w:ascii="Arial" w:cs="Arial" w:eastAsia="Arial" w:hAnsi="Arial"/>
          <w:sz w:val="17"/>
          <w:szCs w:val="17"/>
          <w:color w:val="auto"/>
        </w:rPr>
        <w:t xml:space="preserve"> Unless the Certificate of Incorporation or these Bylaws require a greater number, a majority of the Board of Directors shall constitute a quorum for the transaction of business at any meeting of the Board of Directors and, except as otherwise expressly required by law or by the Certificate of Incorporation, the act of a majority of the directors present at a meeting at which a quorum is present shall be the act of the Board of Directors; </w:t>
      </w:r>
      <w:r>
        <w:rPr>
          <w:rFonts w:ascii="Arial" w:cs="Arial" w:eastAsia="Arial" w:hAnsi="Arial"/>
          <w:sz w:val="17"/>
          <w:szCs w:val="17"/>
          <w:i w:val="1"/>
          <w:iCs w:val="1"/>
          <w:color w:val="auto"/>
        </w:rPr>
        <w:t>provided</w:t>
      </w:r>
      <w:r>
        <w:rPr>
          <w:rFonts w:ascii="Arial" w:cs="Arial" w:eastAsia="Arial" w:hAnsi="Arial"/>
          <w:sz w:val="17"/>
          <w:szCs w:val="17"/>
          <w:color w:val="auto"/>
        </w:rPr>
        <w:t>, that until the Ayar Threshold Date (as defined in the Certificate of Incorporation), there shall be no quorum for the transaction of business at any meeting of the Board of Directors unless at least a majority of the Ayar Directors (as defined in the Investor Rights Agreement) are present. When a meeting is adjourned to another time or place (whether or not a quorum is present), notice need not be given of the adjourned meeting if the time and place thereof are announced at the meeting at which the adjournment is taken. At the adjourned meeting, the Board of Directors may transact any business which might have been transacted at the original meeting. If a quorum shall not be present at any meeting of the Board of Directors, the directors present thereat shall adjourn the meeting, from time to time, without notice other than announcement at the meeting, until a quorum shall be present.</w:t>
      </w:r>
    </w:p>
    <w:p>
      <w:pPr>
        <w:spacing w:after="0" w:line="185"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Section 3.04.    </w:t>
      </w:r>
      <w:r>
        <w:rPr>
          <w:rFonts w:ascii="Arial" w:cs="Arial" w:eastAsia="Arial" w:hAnsi="Arial"/>
          <w:sz w:val="18"/>
          <w:szCs w:val="18"/>
          <w:i w:val="1"/>
          <w:iCs w:val="1"/>
          <w:color w:val="auto"/>
        </w:rPr>
        <w:t>Time and Place of Meetings.</w:t>
      </w:r>
      <w:r>
        <w:rPr>
          <w:rFonts w:ascii="Arial" w:cs="Arial" w:eastAsia="Arial" w:hAnsi="Arial"/>
          <w:sz w:val="18"/>
          <w:szCs w:val="18"/>
          <w:color w:val="auto"/>
        </w:rPr>
        <w:t xml:space="preserve"> The Board of Directors shall hold its meetings at such place, either within or without the State of Delaware, and at such time as may be determined from time to time by the Board of Directors (or the Chairperson of the Board of Directors in the absence of a determination by the Board of Directors).</w:t>
      </w:r>
    </w:p>
    <w:p>
      <w:pPr>
        <w:spacing w:after="0" w:line="184"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Section 3.05.    </w:t>
      </w:r>
      <w:r>
        <w:rPr>
          <w:rFonts w:ascii="Arial" w:cs="Arial" w:eastAsia="Arial" w:hAnsi="Arial"/>
          <w:sz w:val="16"/>
          <w:szCs w:val="16"/>
          <w:i w:val="1"/>
          <w:iCs w:val="1"/>
          <w:color w:val="auto"/>
        </w:rPr>
        <w:t>Regular Meetings.</w:t>
      </w:r>
      <w:r>
        <w:rPr>
          <w:rFonts w:ascii="Arial" w:cs="Arial" w:eastAsia="Arial" w:hAnsi="Arial"/>
          <w:sz w:val="16"/>
          <w:szCs w:val="16"/>
          <w:color w:val="auto"/>
        </w:rPr>
        <w:t xml:space="preserve"> After the place and time of regular meetings of the Board of Directors shall have been determined and notice thereof shall have been once given to each member of the Board of Directors, regular meetings may be held without further notice being given.</w:t>
      </w:r>
    </w:p>
    <w:p>
      <w:pPr>
        <w:spacing w:after="0" w:line="124"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Section 3.06.    </w:t>
      </w:r>
      <w:r>
        <w:rPr>
          <w:rFonts w:ascii="Arial" w:cs="Arial" w:eastAsia="Arial" w:hAnsi="Arial"/>
          <w:sz w:val="18"/>
          <w:szCs w:val="18"/>
          <w:i w:val="1"/>
          <w:iCs w:val="1"/>
          <w:color w:val="auto"/>
        </w:rPr>
        <w:t>Special Meetings.</w:t>
      </w:r>
      <w:r>
        <w:rPr>
          <w:rFonts w:ascii="Arial" w:cs="Arial" w:eastAsia="Arial" w:hAnsi="Arial"/>
          <w:sz w:val="18"/>
          <w:szCs w:val="18"/>
          <w:color w:val="auto"/>
        </w:rPr>
        <w:t xml:space="preserve"> Special meetings of the Board of Directors may be called by the Chairperson of the Board of Directors, the Chief Executive Officer, the President, the Secretary or any two directors. Notice of special meetings of the Board of Directors shall be given to each director at least 48 hours before the date of the meeting in such manner as is determined by the Board of Directors.</w:t>
      </w:r>
    </w:p>
    <w:p>
      <w:pPr>
        <w:spacing w:after="0" w:line="18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Section 3.07.    </w:t>
      </w:r>
      <w:r>
        <w:rPr>
          <w:rFonts w:ascii="Arial" w:cs="Arial" w:eastAsia="Arial" w:hAnsi="Arial"/>
          <w:sz w:val="17"/>
          <w:szCs w:val="17"/>
          <w:i w:val="1"/>
          <w:iCs w:val="1"/>
          <w:color w:val="auto"/>
        </w:rPr>
        <w:t>Committees.</w:t>
      </w:r>
      <w:r>
        <w:rPr>
          <w:rFonts w:ascii="Arial" w:cs="Arial" w:eastAsia="Arial" w:hAnsi="Arial"/>
          <w:sz w:val="17"/>
          <w:szCs w:val="17"/>
          <w:color w:val="auto"/>
        </w:rPr>
        <w:t xml:space="preserve"> Subject to the Investor Rights Agreement, the Board of Directors may designate one or more committees, each committee to consist of one or more of the directors of the Corporation. The Board of Directors may designate one or more directors as alternate members of any committee, who may replace any absent or disqualified member at any meeting of the committee. In the absence or disqualification of a member of a committee, the member or members present at any meeting and not disqualified from voting, whether or not such member or members constitute a quorum, may unanimously appoint another member of the Board of Directors to act at the meeting in the place of any such absent or disqualified member. Any such committee,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the following matters: (a) approving or adopting, or recommending to the stockholders, any action or matter expressly required by Delaware Law to be submitted to the stockholders for approval or (b) adopting, amending or repealing any Bylaw of the Corporation. Each committee shall keep regular minutes of its meetings and report the same to the Board of Directors when required.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ind w:right="40" w:firstLine="648"/>
        <w:spacing w:after="0" w:line="275" w:lineRule="auto"/>
        <w:rPr>
          <w:sz w:val="20"/>
          <w:szCs w:val="20"/>
          <w:color w:val="auto"/>
        </w:rPr>
      </w:pPr>
      <w:r>
        <w:rPr>
          <w:rFonts w:ascii="Arial" w:cs="Arial" w:eastAsia="Arial" w:hAnsi="Arial"/>
          <w:sz w:val="17"/>
          <w:szCs w:val="17"/>
          <w:color w:val="auto"/>
        </w:rPr>
        <w:t>Section 3.08.    </w:t>
      </w:r>
      <w:r>
        <w:rPr>
          <w:rFonts w:ascii="Arial" w:cs="Arial" w:eastAsia="Arial" w:hAnsi="Arial"/>
          <w:sz w:val="17"/>
          <w:szCs w:val="17"/>
          <w:i w:val="1"/>
          <w:iCs w:val="1"/>
          <w:color w:val="auto"/>
        </w:rPr>
        <w:t>Action by Consent.</w:t>
      </w:r>
      <w:r>
        <w:rPr>
          <w:rFonts w:ascii="Arial" w:cs="Arial" w:eastAsia="Arial" w:hAnsi="Arial"/>
          <w:sz w:val="17"/>
          <w:szCs w:val="17"/>
          <w:color w:val="auto"/>
        </w:rPr>
        <w:t xml:space="preserve"> Unless otherwise restricted by the Certificate of Incorporation or these Bylaws, any action required or permitted to be taken at any meeting of the Board of Directors or of any committee thereof may be taken without a meeting, if all members of the Board of Directors or committee, as the case may be, consent thereto in writing or by electronic transmission, and the writing or writings or electronic transmission or transmissions, are filed with the minutes of proceedings of the Board of Directors or committee. Such filing shall be in paper form if the minutes are maintained in paper form and shall be in electronic form if the minutes are maintained in electronic form.</w:t>
      </w:r>
    </w:p>
    <w:p>
      <w:pPr>
        <w:spacing w:after="0" w:line="176"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Section 3.09.    </w:t>
      </w:r>
      <w:r>
        <w:rPr>
          <w:rFonts w:ascii="Arial" w:cs="Arial" w:eastAsia="Arial" w:hAnsi="Arial"/>
          <w:sz w:val="17"/>
          <w:szCs w:val="17"/>
          <w:i w:val="1"/>
          <w:iCs w:val="1"/>
          <w:color w:val="auto"/>
        </w:rPr>
        <w:t>Telephonic Meetings.</w:t>
      </w:r>
      <w:r>
        <w:rPr>
          <w:rFonts w:ascii="Arial" w:cs="Arial" w:eastAsia="Arial" w:hAnsi="Arial"/>
          <w:sz w:val="17"/>
          <w:szCs w:val="17"/>
          <w:color w:val="auto"/>
        </w:rPr>
        <w:t xml:space="preserve"> Unless otherwise restricted by the Certificate of Incorporation or these Bylaws, members of the Board of Directors, or any committee designated by the Board of Directors, may participate in a meeting of the Board of Directors, or such committee, as the case may be, by means of conference telephone or other communications equipment by means of which all persons participating in the meeting can hear each other, and such participation in a meeting shall constitute presence in person at the meeting.</w:t>
      </w:r>
    </w:p>
    <w:p>
      <w:pPr>
        <w:spacing w:after="0" w:line="171"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Section 3.10.    </w:t>
      </w:r>
      <w:r>
        <w:rPr>
          <w:rFonts w:ascii="Arial" w:cs="Arial" w:eastAsia="Arial" w:hAnsi="Arial"/>
          <w:sz w:val="17"/>
          <w:szCs w:val="17"/>
          <w:i w:val="1"/>
          <w:iCs w:val="1"/>
          <w:color w:val="auto"/>
        </w:rPr>
        <w:t>Resignation.</w:t>
      </w:r>
      <w:r>
        <w:rPr>
          <w:rFonts w:ascii="Arial" w:cs="Arial" w:eastAsia="Arial" w:hAnsi="Arial"/>
          <w:sz w:val="17"/>
          <w:szCs w:val="17"/>
          <w:color w:val="auto"/>
        </w:rPr>
        <w:t xml:space="preserve"> Any director may resign from the Board of Directors at any time by giving notice to the Board of Directors or to the Secretary of the Corporation. Any such notice must be in writing or by electronic transmission to the Board of Directors or to the Secretary of the Corporation. The resignation of any director shall take effect upon receipt of notice thereof or at such later time as shall be specified in such notice; and unless otherwise specified therein, the acceptance of such resignation shall not be necessary to make it effective.</w:t>
      </w:r>
    </w:p>
    <w:p>
      <w:pPr>
        <w:spacing w:after="0" w:line="17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Section 3.11.    </w:t>
      </w:r>
      <w:r>
        <w:rPr>
          <w:rFonts w:ascii="Arial" w:cs="Arial" w:eastAsia="Arial" w:hAnsi="Arial"/>
          <w:sz w:val="16"/>
          <w:szCs w:val="16"/>
          <w:i w:val="1"/>
          <w:iCs w:val="1"/>
          <w:color w:val="auto"/>
        </w:rPr>
        <w:t>Vacancies.</w:t>
      </w:r>
      <w:r>
        <w:rPr>
          <w:rFonts w:ascii="Arial" w:cs="Arial" w:eastAsia="Arial" w:hAnsi="Arial"/>
          <w:sz w:val="16"/>
          <w:szCs w:val="16"/>
          <w:color w:val="auto"/>
        </w:rPr>
        <w:t xml:space="preserve"> Unless otherwise provided in the Certificate of Incorporation or the Investor Rights Agreement, vacancies on the Board of Directors resulting from death, resignation, removal or otherwise and newly created directorships resulting from any increase in the number of directors shall, except as otherwise required by law, be filled solely by a majority of the directors then in office (although less than a quorum) or by the sole remaining director, until such director’s successor shall have been duly elected and qualified or until such director’s earlier death, resignation or removal. If there are no directors in office, then an election of directors may be held in accordance with Delaware Law. Unless otherwise provided in the Certificate of Incorporation, when one or more directors shall resign from the Board of Directors, effective at a future date, a majority of the directors then in office, including those who have so resigned, shall have the power to fill such vacancy or vacancies, the vote thereon to take effect when such resignation or resignations shall become effective, and each director so chosen shall hold office as provided in the filling of the other vacancies.</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4" w:name="page15"/>
    <w:bookmarkEnd w:id="14"/>
    <w:p>
      <w:pPr>
        <w:ind w:right="80" w:firstLine="648"/>
        <w:spacing w:after="0" w:line="263" w:lineRule="auto"/>
        <w:rPr>
          <w:sz w:val="20"/>
          <w:szCs w:val="20"/>
          <w:color w:val="auto"/>
        </w:rPr>
      </w:pPr>
      <w:r>
        <w:rPr>
          <w:rFonts w:ascii="Arial" w:cs="Arial" w:eastAsia="Arial" w:hAnsi="Arial"/>
          <w:sz w:val="18"/>
          <w:szCs w:val="18"/>
          <w:color w:val="auto"/>
        </w:rPr>
        <w:t>Section 3.12.    </w:t>
      </w:r>
      <w:r>
        <w:rPr>
          <w:rFonts w:ascii="Arial" w:cs="Arial" w:eastAsia="Arial" w:hAnsi="Arial"/>
          <w:sz w:val="18"/>
          <w:szCs w:val="18"/>
          <w:i w:val="1"/>
          <w:iCs w:val="1"/>
          <w:color w:val="auto"/>
        </w:rPr>
        <w:t>Removal.</w:t>
      </w:r>
      <w:r>
        <w:rPr>
          <w:rFonts w:ascii="Arial" w:cs="Arial" w:eastAsia="Arial" w:hAnsi="Arial"/>
          <w:sz w:val="18"/>
          <w:szCs w:val="18"/>
          <w:color w:val="auto"/>
        </w:rPr>
        <w:t xml:space="preserve"> Subject to the Investor Rights Agreement, any director may be removed from office by the stockholders, with or without cause, with the affirmative vote of the holders of a majority of the total voting power of all outstanding securities of the Corporation generally entitled to vote in the election of directors, voting together as a single class.</w:t>
      </w:r>
    </w:p>
    <w:p>
      <w:pPr>
        <w:spacing w:after="0" w:line="184"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Section 3.13.    </w:t>
      </w:r>
      <w:r>
        <w:rPr>
          <w:rFonts w:ascii="Arial" w:cs="Arial" w:eastAsia="Arial" w:hAnsi="Arial"/>
          <w:sz w:val="18"/>
          <w:szCs w:val="18"/>
          <w:i w:val="1"/>
          <w:iCs w:val="1"/>
          <w:color w:val="auto"/>
        </w:rPr>
        <w:t>Compensation.</w:t>
      </w:r>
      <w:r>
        <w:rPr>
          <w:rFonts w:ascii="Arial" w:cs="Arial" w:eastAsia="Arial" w:hAnsi="Arial"/>
          <w:sz w:val="18"/>
          <w:szCs w:val="18"/>
          <w:color w:val="auto"/>
        </w:rPr>
        <w:t xml:space="preserve"> Unless otherwise restricted by the Certificate of Incorporation or these Bylaws, the Board of Directors shall have authority to fix the compensation of directors, including fees and reimbursement of expenses.</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4</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O</w:t>
      </w:r>
      <w:r>
        <w:rPr>
          <w:rFonts w:ascii="Arial" w:cs="Arial" w:eastAsia="Arial" w:hAnsi="Arial"/>
          <w:sz w:val="12"/>
          <w:szCs w:val="12"/>
          <w:color w:val="auto"/>
        </w:rPr>
        <w:t>fficers</w:t>
      </w:r>
    </w:p>
    <w:p>
      <w:pPr>
        <w:spacing w:after="0" w:line="21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Section 4.01.    </w:t>
      </w:r>
      <w:r>
        <w:rPr>
          <w:rFonts w:ascii="Arial" w:cs="Arial" w:eastAsia="Arial" w:hAnsi="Arial"/>
          <w:sz w:val="18"/>
          <w:szCs w:val="18"/>
          <w:i w:val="1"/>
          <w:iCs w:val="1"/>
          <w:color w:val="auto"/>
        </w:rPr>
        <w:t>Principal Officers.</w:t>
      </w:r>
      <w:r>
        <w:rPr>
          <w:rFonts w:ascii="Arial" w:cs="Arial" w:eastAsia="Arial" w:hAnsi="Arial"/>
          <w:sz w:val="18"/>
          <w:szCs w:val="18"/>
          <w:color w:val="auto"/>
        </w:rPr>
        <w:t xml:space="preserve"> The principal officers of the Corporation shall be a Chief Executive Officer, a Chief Financial Officer and a Secretary who shall have the duty, among other things, to record the proceedings of the meetings of stockholders and directors in a book kept for that purpose. The Corporation may also have a Chairperson of the Board of Directors, a Vice Chairperson of the Board, and such other principal officers, including a President, one or more Vice Presidents, a Treasurer, a Controller and any other officers as the Board of Directors may in its discretion appoint. One person may hold the offices and perform the duties of any two or more of said offices, except that no one person shall hold the offices and perform the duties of Chief Executive Officer and Secretary.</w:t>
      </w:r>
    </w:p>
    <w:p>
      <w:pPr>
        <w:spacing w:after="0" w:line="19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Section 4.02.    </w:t>
      </w:r>
      <w:r>
        <w:rPr>
          <w:rFonts w:ascii="Arial" w:cs="Arial" w:eastAsia="Arial" w:hAnsi="Arial"/>
          <w:sz w:val="18"/>
          <w:szCs w:val="18"/>
          <w:i w:val="1"/>
          <w:iCs w:val="1"/>
          <w:color w:val="auto"/>
        </w:rPr>
        <w:t>Appointment, Term of Office and Remuneration.</w:t>
      </w:r>
      <w:r>
        <w:rPr>
          <w:rFonts w:ascii="Arial" w:cs="Arial" w:eastAsia="Arial" w:hAnsi="Arial"/>
          <w:sz w:val="18"/>
          <w:szCs w:val="18"/>
          <w:color w:val="auto"/>
        </w:rPr>
        <w:t xml:space="preserve"> The principal officers of the Corporation shall be appointed by the Board of Directors in the manner determined by the Board of Directors. Each such officer shall hold office until his or her successor is appointed, or until his or her earlier death, resignation or removal. The remuneration of all officers of the Corporation shall be fixed by the Board of Directors. Any vacancy in any office shall be filled in such manner as the Board of Directors shall determine.</w:t>
      </w:r>
    </w:p>
    <w:p>
      <w:pPr>
        <w:spacing w:after="0" w:line="169" w:lineRule="exact"/>
        <w:rPr>
          <w:sz w:val="20"/>
          <w:szCs w:val="20"/>
          <w:color w:val="auto"/>
        </w:rPr>
      </w:pPr>
    </w:p>
    <w:p>
      <w:pPr>
        <w:ind w:firstLine="648"/>
        <w:spacing w:after="0" w:line="281" w:lineRule="auto"/>
        <w:rPr>
          <w:sz w:val="20"/>
          <w:szCs w:val="20"/>
          <w:color w:val="auto"/>
        </w:rPr>
      </w:pPr>
      <w:r>
        <w:rPr>
          <w:rFonts w:ascii="Arial" w:cs="Arial" w:eastAsia="Arial" w:hAnsi="Arial"/>
          <w:sz w:val="17"/>
          <w:szCs w:val="17"/>
          <w:color w:val="auto"/>
        </w:rPr>
        <w:t>Section 4.03.    </w:t>
      </w:r>
      <w:r>
        <w:rPr>
          <w:rFonts w:ascii="Arial" w:cs="Arial" w:eastAsia="Arial" w:hAnsi="Arial"/>
          <w:sz w:val="17"/>
          <w:szCs w:val="17"/>
          <w:i w:val="1"/>
          <w:iCs w:val="1"/>
          <w:color w:val="auto"/>
        </w:rPr>
        <w:t>Subordinate Officers.</w:t>
      </w:r>
      <w:r>
        <w:rPr>
          <w:rFonts w:ascii="Arial" w:cs="Arial" w:eastAsia="Arial" w:hAnsi="Arial"/>
          <w:sz w:val="17"/>
          <w:szCs w:val="17"/>
          <w:color w:val="auto"/>
        </w:rPr>
        <w:t xml:space="preserve"> In addition to the principal officers enumerated in </w:t>
      </w:r>
      <w:r>
        <w:rPr>
          <w:rFonts w:ascii="Arial" w:cs="Arial" w:eastAsia="Arial" w:hAnsi="Arial"/>
          <w:sz w:val="22"/>
          <w:szCs w:val="22"/>
          <w:b w:val="1"/>
          <w:bCs w:val="1"/>
          <w:color w:val="auto"/>
        </w:rPr>
        <w:t>‎</w:t>
      </w:r>
      <w:r>
        <w:rPr>
          <w:rFonts w:ascii="Arial" w:cs="Arial" w:eastAsia="Arial" w:hAnsi="Arial"/>
          <w:sz w:val="17"/>
          <w:szCs w:val="17"/>
          <w:color w:val="auto"/>
        </w:rPr>
        <w:t>Section 4.01 herein, the Corporation may have one or more Assistant Treasurers, Assistant Secretaries and Assistant Controllers and such other subordinate officers, agents and employees as the Board of Directors may deem necessary, each of whom shall hold office for such period as the Board of Directors may from time to time determine. The Board of Directors may delegate to any principal officer the power to appoint and to remove any such subordinate officers, agents or employees.</w:t>
      </w:r>
    </w:p>
    <w:p>
      <w:pPr>
        <w:spacing w:after="0" w:line="16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Section 4.04.    </w:t>
      </w:r>
      <w:r>
        <w:rPr>
          <w:rFonts w:ascii="Arial" w:cs="Arial" w:eastAsia="Arial" w:hAnsi="Arial"/>
          <w:sz w:val="18"/>
          <w:szCs w:val="18"/>
          <w:i w:val="1"/>
          <w:iCs w:val="1"/>
          <w:color w:val="auto"/>
        </w:rPr>
        <w:t>Removal.</w:t>
      </w:r>
      <w:r>
        <w:rPr>
          <w:rFonts w:ascii="Arial" w:cs="Arial" w:eastAsia="Arial" w:hAnsi="Arial"/>
          <w:sz w:val="18"/>
          <w:szCs w:val="18"/>
          <w:color w:val="auto"/>
        </w:rPr>
        <w:t xml:space="preserve"> Except as otherwise permitted with respect to subordinate officers, any officer may be removed, with or without cause, at any time, by resolution adopted by the Board of Directors.</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Section 4.05.    </w:t>
      </w:r>
      <w:r>
        <w:rPr>
          <w:rFonts w:ascii="Arial" w:cs="Arial" w:eastAsia="Arial" w:hAnsi="Arial"/>
          <w:sz w:val="18"/>
          <w:szCs w:val="18"/>
          <w:i w:val="1"/>
          <w:iCs w:val="1"/>
          <w:color w:val="auto"/>
        </w:rPr>
        <w:t>Resignations.</w:t>
      </w:r>
      <w:r>
        <w:rPr>
          <w:rFonts w:ascii="Arial" w:cs="Arial" w:eastAsia="Arial" w:hAnsi="Arial"/>
          <w:sz w:val="18"/>
          <w:szCs w:val="18"/>
          <w:color w:val="auto"/>
        </w:rPr>
        <w:t xml:space="preserve"> Any officer may resign at any time by giving notice to the Board of Directors (or to a principal officer if the Board of Directors has delegated to such principal officer the power to appoint and to remove such officer). Any such notice must be in writing. The resignation of any officer shall take effect upon receipt of notice thereof or at such later time as shall be specified in such notice; and unless otherwise specified therein, the acceptance of such resignation shall not be necessary to make it effective.</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15" w:name="page16"/>
    <w:bookmarkEnd w:id="15"/>
    <w:p>
      <w:pPr>
        <w:ind w:right="600" w:firstLine="648"/>
        <w:spacing w:after="0" w:line="308" w:lineRule="auto"/>
        <w:rPr>
          <w:sz w:val="20"/>
          <w:szCs w:val="20"/>
          <w:color w:val="auto"/>
        </w:rPr>
      </w:pPr>
      <w:r>
        <w:rPr>
          <w:rFonts w:ascii="Arial" w:cs="Arial" w:eastAsia="Arial" w:hAnsi="Arial"/>
          <w:sz w:val="17"/>
          <w:szCs w:val="17"/>
          <w:color w:val="auto"/>
        </w:rPr>
        <w:t>Section 4.06.    </w:t>
      </w:r>
      <w:r>
        <w:rPr>
          <w:rFonts w:ascii="Arial" w:cs="Arial" w:eastAsia="Arial" w:hAnsi="Arial"/>
          <w:sz w:val="17"/>
          <w:szCs w:val="17"/>
          <w:i w:val="1"/>
          <w:iCs w:val="1"/>
          <w:color w:val="auto"/>
        </w:rPr>
        <w:t>Powers and Duties.</w:t>
      </w:r>
      <w:r>
        <w:rPr>
          <w:rFonts w:ascii="Arial" w:cs="Arial" w:eastAsia="Arial" w:hAnsi="Arial"/>
          <w:sz w:val="17"/>
          <w:szCs w:val="17"/>
          <w:color w:val="auto"/>
        </w:rPr>
        <w:t xml:space="preserve"> The officers of the Corporation shall have such powers and perform such duties incident to each of their respective offices and such other duties as may from time to time be conferred upon or assigned to them by the Board of Directors.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2"/>
          <w:szCs w:val="12"/>
          <w:color w:val="auto"/>
        </w:rPr>
        <w:t>apital</w:t>
      </w:r>
      <w:r>
        <w:rPr>
          <w:rFonts w:ascii="Arial" w:cs="Arial" w:eastAsia="Arial" w:hAnsi="Arial"/>
          <w:sz w:val="18"/>
          <w:szCs w:val="18"/>
          <w:color w:val="auto"/>
        </w:rPr>
        <w:t xml:space="preserve"> S</w:t>
      </w:r>
      <w:r>
        <w:rPr>
          <w:rFonts w:ascii="Arial" w:cs="Arial" w:eastAsia="Arial" w:hAnsi="Arial"/>
          <w:sz w:val="12"/>
          <w:szCs w:val="12"/>
          <w:color w:val="auto"/>
        </w:rPr>
        <w:t>tock</w:t>
      </w:r>
    </w:p>
    <w:p>
      <w:pPr>
        <w:spacing w:after="0" w:line="21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Section 5.01.    </w:t>
      </w:r>
      <w:r>
        <w:rPr>
          <w:rFonts w:ascii="Arial" w:cs="Arial" w:eastAsia="Arial" w:hAnsi="Arial"/>
          <w:sz w:val="18"/>
          <w:szCs w:val="18"/>
          <w:i w:val="1"/>
          <w:iCs w:val="1"/>
          <w:color w:val="auto"/>
        </w:rPr>
        <w:t>Certificates For Stock; Uncertificated Shares.</w:t>
      </w:r>
      <w:r>
        <w:rPr>
          <w:rFonts w:ascii="Arial" w:cs="Arial" w:eastAsia="Arial" w:hAnsi="Arial"/>
          <w:sz w:val="18"/>
          <w:szCs w:val="18"/>
          <w:color w:val="auto"/>
        </w:rPr>
        <w:t xml:space="preserve"> The shares of the Corporation may be certificated or uncertificated, subject to the sole discretion of the Board and the requirements of Delaware Law.</w:t>
      </w:r>
    </w:p>
    <w:p>
      <w:pPr>
        <w:spacing w:after="0" w:line="17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Section 5.02.    </w:t>
      </w:r>
      <w:r>
        <w:rPr>
          <w:rFonts w:ascii="Arial" w:cs="Arial" w:eastAsia="Arial" w:hAnsi="Arial"/>
          <w:sz w:val="18"/>
          <w:szCs w:val="18"/>
          <w:i w:val="1"/>
          <w:iCs w:val="1"/>
          <w:color w:val="auto"/>
        </w:rPr>
        <w:t>Transfer Of Shares.</w:t>
      </w:r>
      <w:r>
        <w:rPr>
          <w:rFonts w:ascii="Arial" w:cs="Arial" w:eastAsia="Arial" w:hAnsi="Arial"/>
          <w:sz w:val="18"/>
          <w:szCs w:val="18"/>
          <w:color w:val="auto"/>
        </w:rPr>
        <w:t xml:space="preserve"> Shares of the stock of the Corporation may be transferred on the record of stockholders of the Corporation by the holder thereof or by such holder’s duly authorized attorney upon surrender of a certificate therefor properly endorsed or upon receipt of proper transfer instructions from the registered holder of uncertificated shares or by such holder’s duly authorized attorney and upon compliance with appropriate procedures for transferring shares in uncertificated form, unless waived by the Corporation.</w:t>
      </w:r>
    </w:p>
    <w:p>
      <w:pPr>
        <w:spacing w:after="0" w:line="187" w:lineRule="exact"/>
        <w:rPr>
          <w:sz w:val="20"/>
          <w:szCs w:val="20"/>
          <w:color w:val="auto"/>
        </w:rPr>
      </w:pPr>
    </w:p>
    <w:p>
      <w:pPr>
        <w:ind w:right="160" w:firstLine="648"/>
        <w:spacing w:after="0" w:line="275" w:lineRule="auto"/>
        <w:rPr>
          <w:sz w:val="20"/>
          <w:szCs w:val="20"/>
          <w:color w:val="auto"/>
        </w:rPr>
      </w:pPr>
      <w:r>
        <w:rPr>
          <w:rFonts w:ascii="Arial" w:cs="Arial" w:eastAsia="Arial" w:hAnsi="Arial"/>
          <w:sz w:val="17"/>
          <w:szCs w:val="17"/>
          <w:color w:val="auto"/>
        </w:rPr>
        <w:t>Section 5.03.    </w:t>
      </w:r>
      <w:r>
        <w:rPr>
          <w:rFonts w:ascii="Arial" w:cs="Arial" w:eastAsia="Arial" w:hAnsi="Arial"/>
          <w:sz w:val="17"/>
          <w:szCs w:val="17"/>
          <w:i w:val="1"/>
          <w:iCs w:val="1"/>
          <w:color w:val="auto"/>
        </w:rPr>
        <w:t>Authority for Additional Rules Regarding Transfer.</w:t>
      </w:r>
      <w:r>
        <w:rPr>
          <w:rFonts w:ascii="Arial" w:cs="Arial" w:eastAsia="Arial" w:hAnsi="Arial"/>
          <w:sz w:val="17"/>
          <w:szCs w:val="17"/>
          <w:color w:val="auto"/>
        </w:rPr>
        <w:t xml:space="preserve"> The Corporation shall have the power and authority to make all such rules and regulations as they may deem expedient concerning the issue, transfer and registration of certificated or uncertificated shares of the stock of the Corporation, as well as for the issuance of new certificates in lieu of those which may be lost or destroyed, and may require of any stockholder requesting replacement of lost or destroyed certificates, bond in such amount and in such form as they may deem expedient to indemnify the Corporation, and/or the transfer agents, and/or the registrars of its stock against any claims arising in connection therewith.</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w:t>
      </w:r>
      <w:r>
        <w:rPr>
          <w:rFonts w:ascii="Arial" w:cs="Arial" w:eastAsia="Arial" w:hAnsi="Arial"/>
          <w:sz w:val="12"/>
          <w:szCs w:val="12"/>
          <w:color w:val="auto"/>
        </w:rPr>
        <w:t>eneral</w:t>
      </w:r>
      <w:r>
        <w:rPr>
          <w:rFonts w:ascii="Arial" w:cs="Arial" w:eastAsia="Arial" w:hAnsi="Arial"/>
          <w:sz w:val="18"/>
          <w:szCs w:val="18"/>
          <w:color w:val="auto"/>
        </w:rPr>
        <w:t xml:space="preserve"> P</w:t>
      </w:r>
      <w:r>
        <w:rPr>
          <w:rFonts w:ascii="Arial" w:cs="Arial" w:eastAsia="Arial" w:hAnsi="Arial"/>
          <w:sz w:val="12"/>
          <w:szCs w:val="12"/>
          <w:color w:val="auto"/>
        </w:rPr>
        <w:t>rovisions</w:t>
      </w:r>
    </w:p>
    <w:p>
      <w:pPr>
        <w:spacing w:after="0" w:line="21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Section 6.01.    </w:t>
      </w:r>
      <w:r>
        <w:rPr>
          <w:rFonts w:ascii="Arial" w:cs="Arial" w:eastAsia="Arial" w:hAnsi="Arial"/>
          <w:sz w:val="17"/>
          <w:szCs w:val="17"/>
          <w:i w:val="1"/>
          <w:iCs w:val="1"/>
          <w:color w:val="auto"/>
        </w:rPr>
        <w:t>Fixing the Record Date.</w:t>
      </w:r>
      <w:r>
        <w:rPr>
          <w:rFonts w:ascii="Arial" w:cs="Arial" w:eastAsia="Arial" w:hAnsi="Arial"/>
          <w:sz w:val="17"/>
          <w:szCs w:val="17"/>
          <w:color w:val="auto"/>
        </w:rPr>
        <w:t xml:space="preserve"> (a) In order that the Corporation may determine the stockholders entitled to notice of any meeting of stockholders or any adjournment thereof, the Board of Directors may fix a record date, which record date shall not precede the date upon which the resolution fixing such record date is adopted by the Board of Directors, and which record date shall not be more than 60 nor less than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Board of Directors may in its discretion or as required by law fix a new record date for determination of stockholders entitled to vote at the adjourned meeting, and in such case shall fix the same date or an earlier date as the record date for stockholders entitled to notice of such adjourned meeting.</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ind w:right="80" w:firstLine="648"/>
        <w:spacing w:after="0" w:line="296" w:lineRule="auto"/>
        <w:rPr>
          <w:sz w:val="20"/>
          <w:szCs w:val="20"/>
          <w:color w:val="auto"/>
        </w:rPr>
      </w:pPr>
      <w:r>
        <w:rPr>
          <w:rFonts w:ascii="Arial" w:cs="Arial" w:eastAsia="Arial" w:hAnsi="Arial"/>
          <w:sz w:val="16"/>
          <w:szCs w:val="16"/>
          <w:color w:val="auto"/>
        </w:rPr>
        <w:t>(b)            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spacing w:after="0" w:line="161"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Section 6.02.    </w:t>
      </w:r>
      <w:r>
        <w:rPr>
          <w:rFonts w:ascii="Arial" w:cs="Arial" w:eastAsia="Arial" w:hAnsi="Arial"/>
          <w:sz w:val="18"/>
          <w:szCs w:val="18"/>
          <w:i w:val="1"/>
          <w:iCs w:val="1"/>
          <w:color w:val="auto"/>
        </w:rPr>
        <w:t>Dividends.</w:t>
      </w:r>
      <w:r>
        <w:rPr>
          <w:rFonts w:ascii="Arial" w:cs="Arial" w:eastAsia="Arial" w:hAnsi="Arial"/>
          <w:sz w:val="18"/>
          <w:szCs w:val="18"/>
          <w:color w:val="auto"/>
        </w:rPr>
        <w:t xml:space="preserve"> Subject to limitations contained in Delaware Law and the Certificate of Incorporation, the Board of Directors may declare and pay dividends upon the shares of capital stock of the Corporation, which dividends may be paid either in cash, in property or in shares of the capital stock of the Corporation.</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6.03.    </w:t>
      </w:r>
      <w:r>
        <w:rPr>
          <w:rFonts w:ascii="Arial" w:cs="Arial" w:eastAsia="Arial" w:hAnsi="Arial"/>
          <w:sz w:val="18"/>
          <w:szCs w:val="18"/>
          <w:i w:val="1"/>
          <w:iCs w:val="1"/>
          <w:color w:val="auto"/>
        </w:rPr>
        <w:t>Year.</w:t>
      </w:r>
      <w:r>
        <w:rPr>
          <w:rFonts w:ascii="Arial" w:cs="Arial" w:eastAsia="Arial" w:hAnsi="Arial"/>
          <w:sz w:val="18"/>
          <w:szCs w:val="18"/>
          <w:color w:val="auto"/>
        </w:rPr>
        <w:t xml:space="preserve"> The fiscal year of the Corporation shall commence on January 1 and end on December 31 of each year.</w:t>
      </w:r>
    </w:p>
    <w:p>
      <w:pPr>
        <w:spacing w:after="0" w:line="225"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Section 6.04.    </w:t>
      </w:r>
      <w:r>
        <w:rPr>
          <w:rFonts w:ascii="Arial" w:cs="Arial" w:eastAsia="Arial" w:hAnsi="Arial"/>
          <w:sz w:val="16"/>
          <w:szCs w:val="16"/>
          <w:i w:val="1"/>
          <w:iCs w:val="1"/>
          <w:color w:val="auto"/>
        </w:rPr>
        <w:t>Corporate Seal.</w:t>
      </w:r>
      <w:r>
        <w:rPr>
          <w:rFonts w:ascii="Arial" w:cs="Arial" w:eastAsia="Arial" w:hAnsi="Arial"/>
          <w:sz w:val="16"/>
          <w:szCs w:val="16"/>
          <w:color w:val="auto"/>
        </w:rPr>
        <w:t xml:space="preserve"> The corporate seal shall have inscribed thereon the name of the Corporation, the year of its organization and the words “Corporate Seal, Delaware”. The seal may be used by causing it or a facsimile thereof to be impressed, affixed or otherwise reproduced.</w:t>
      </w:r>
    </w:p>
    <w:p>
      <w:pPr>
        <w:spacing w:after="0" w:line="124"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Section 6.05.    </w:t>
      </w:r>
      <w:r>
        <w:rPr>
          <w:rFonts w:ascii="Arial" w:cs="Arial" w:eastAsia="Arial" w:hAnsi="Arial"/>
          <w:sz w:val="18"/>
          <w:szCs w:val="18"/>
          <w:i w:val="1"/>
          <w:iCs w:val="1"/>
          <w:color w:val="auto"/>
        </w:rPr>
        <w:t>Voting of Stock Owned by the Corporation.</w:t>
      </w:r>
      <w:r>
        <w:rPr>
          <w:rFonts w:ascii="Arial" w:cs="Arial" w:eastAsia="Arial" w:hAnsi="Arial"/>
          <w:sz w:val="18"/>
          <w:szCs w:val="18"/>
          <w:color w:val="auto"/>
        </w:rPr>
        <w:t xml:space="preserve"> The Board of Directors may authorize any person, on behalf of the Corporation, to attend, vote at and grant proxies to be used at any meeting of stockholders of any corporation (except this Corporation) in which the Corporation may hold stock.</w:t>
      </w:r>
    </w:p>
    <w:p>
      <w:pPr>
        <w:spacing w:after="0" w:line="184"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Section 6.06.    </w:t>
      </w:r>
      <w:r>
        <w:rPr>
          <w:rFonts w:ascii="Arial" w:cs="Arial" w:eastAsia="Arial" w:hAnsi="Arial"/>
          <w:sz w:val="16"/>
          <w:szCs w:val="16"/>
          <w:i w:val="1"/>
          <w:iCs w:val="1"/>
          <w:color w:val="auto"/>
        </w:rPr>
        <w:t>Exclusive Forum</w:t>
      </w:r>
      <w:r>
        <w:rPr>
          <w:rFonts w:ascii="Arial" w:cs="Arial" w:eastAsia="Arial" w:hAnsi="Arial"/>
          <w:sz w:val="16"/>
          <w:szCs w:val="16"/>
          <w:color w:val="auto"/>
        </w:rPr>
        <w:t>. Unless the Corporation consents in writing to the selection of an alternative forum, the sole and exclusive forum for (i) any derivative action or proceeding brought on behalf of the Corporation, (ii) any action asserting a claim of breach of a fiduciary duty owed by any director or officer or other employee of the Corporation to the Corporation or the Corporation’s stockholders, (iii) any action asserting a claim against the Corporation or any director or officer or other employee of the Corporation arising pursuant to any provision of Delaware Law or the Certificate of Incorporation or these Amended and Restated Bylaws (in each case, as they may be amended from time to time), or (iv) any action asserting a claim against the Corporation or any director or officer or other employee of the Corporation governed by the internal affairs doctrine shall be a state court located within the State of Delaware (or, if no state court located within the State of Delaware has jurisdiction, the federal district court for the District of Delaware), in all</w:t>
      </w:r>
    </w:p>
    <w:p>
      <w:pPr>
        <w:spacing w:after="0" w:line="2"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 xml:space="preserve">cases subject to the court’s having personal jurisdiction over the indispensable parties named as defendants. The preceding sentence of this </w:t>
      </w:r>
      <w:r>
        <w:rPr>
          <w:rFonts w:ascii="Arial" w:cs="Arial" w:eastAsia="Arial" w:hAnsi="Arial"/>
          <w:sz w:val="20"/>
          <w:szCs w:val="20"/>
          <w:b w:val="1"/>
          <w:bCs w:val="1"/>
          <w:color w:val="auto"/>
        </w:rPr>
        <w:t>‎</w:t>
      </w:r>
      <w:r>
        <w:rPr>
          <w:rFonts w:ascii="Arial" w:cs="Arial" w:eastAsia="Arial" w:hAnsi="Arial"/>
          <w:sz w:val="16"/>
          <w:szCs w:val="16"/>
          <w:color w:val="auto"/>
        </w:rPr>
        <w:t>Section 6.06 shall not apply to claims arising under the Securities Act of 1933, as amended (the “Securities Act”), the Exchange Act, or other federal securities laws for which there is exclusive federal or concurrent federal and state jurisdiction. Unless the Corporation consents in writing to the selection of an alternative forum, the federal district courts of the United States of America shall be the exclusive forum for the resolution of any complaint asserting a cause of action arising under the Securities Act of 1933, as amended. Any person or entity purchasing or otherwise acquiring any interest in shares of capital stock of the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Corporation shall be deemed to have notice of and consented to the provisions of this </w:t>
      </w:r>
      <w:r>
        <w:rPr>
          <w:rFonts w:ascii="Arial" w:cs="Arial" w:eastAsia="Arial" w:hAnsi="Arial"/>
          <w:sz w:val="23"/>
          <w:szCs w:val="23"/>
          <w:b w:val="1"/>
          <w:bCs w:val="1"/>
          <w:color w:val="auto"/>
        </w:rPr>
        <w:t>‎</w:t>
      </w:r>
      <w:r>
        <w:rPr>
          <w:rFonts w:ascii="Arial" w:cs="Arial" w:eastAsia="Arial" w:hAnsi="Arial"/>
          <w:sz w:val="18"/>
          <w:szCs w:val="18"/>
          <w:color w:val="auto"/>
        </w:rPr>
        <w:t>Section 6.06.</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ind w:firstLine="648"/>
        <w:spacing w:after="0" w:line="257" w:lineRule="auto"/>
        <w:rPr>
          <w:sz w:val="20"/>
          <w:szCs w:val="20"/>
          <w:color w:val="auto"/>
        </w:rPr>
      </w:pPr>
      <w:r>
        <w:rPr>
          <w:rFonts w:ascii="Arial" w:cs="Arial" w:eastAsia="Arial" w:hAnsi="Arial"/>
          <w:sz w:val="18"/>
          <w:szCs w:val="18"/>
          <w:color w:val="auto"/>
        </w:rPr>
        <w:t>Section 6.07.    </w:t>
      </w:r>
      <w:r>
        <w:rPr>
          <w:rFonts w:ascii="Arial" w:cs="Arial" w:eastAsia="Arial" w:hAnsi="Arial"/>
          <w:sz w:val="18"/>
          <w:szCs w:val="18"/>
          <w:i w:val="1"/>
          <w:iCs w:val="1"/>
          <w:color w:val="auto"/>
        </w:rPr>
        <w:t>Amendments.</w:t>
      </w:r>
      <w:r>
        <w:rPr>
          <w:rFonts w:ascii="Arial" w:cs="Arial" w:eastAsia="Arial" w:hAnsi="Arial"/>
          <w:sz w:val="18"/>
          <w:szCs w:val="18"/>
          <w:color w:val="auto"/>
        </w:rPr>
        <w:t xml:space="preserve"> These Bylaws or any of them, may be altered, amended or repealed, or new Bylaws may be made, by the stockholders entitled to vote thereon at any annual or special meeting thereof or by the Board of Directors. Unless a higher percentage is required by the Certificate of Incorporation as to any matter that is the subject of these Bylaws, all such amendments must be approved by the affirmative vote of the holders of a majority of the total voting power of all outstanding securities of the Corporation, generally entitled to vote in the election of directors, voting together as a single class, or by a majority of the Board of Directors.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Roman"/>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2023-03-03T15:17:43Z</dcterms:created>
  <dcterms:modified xsi:type="dcterms:W3CDTF">2023-03-03T15:17:43Z</dcterms:modified>
</cp:coreProperties>
</file>