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31F20"/>
        </w:rPr>
        <w:t>Churchill Capital Corp IV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640 Fifth Avenue, 12th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New York, NY 10019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231F20"/>
        </w:rPr>
        <w:t>July 27, 2020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231F20"/>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231F20"/>
        </w:rPr>
        <w:t>Division of Corporation Finance Securities and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231F20"/>
        </w:rPr>
        <w:t>Exchange Commission 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231F20"/>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231F20"/>
        </w:rPr>
        <w:t>Attention: David Link and Erin E. Martin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Churchill Capital Corp IV</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Registration Statement 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 S-1 (File No. 333-239856)</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231F20"/>
        </w:rPr>
        <w:t>Dear Ladies and Gentlemen:</w:t>
      </w:r>
    </w:p>
    <w:p>
      <w:pPr>
        <w:spacing w:after="0" w:line="225" w:lineRule="exact"/>
        <w:rPr>
          <w:sz w:val="24"/>
          <w:szCs w:val="24"/>
          <w:color w:val="auto"/>
        </w:rPr>
      </w:pPr>
    </w:p>
    <w:p>
      <w:pPr>
        <w:ind w:right="520" w:firstLine="1102"/>
        <w:spacing w:after="0" w:line="279" w:lineRule="auto"/>
        <w:rPr>
          <w:sz w:val="20"/>
          <w:szCs w:val="20"/>
          <w:color w:val="auto"/>
        </w:rPr>
      </w:pPr>
      <w:r>
        <w:rPr>
          <w:rFonts w:ascii="Arial" w:cs="Arial" w:eastAsia="Arial" w:hAnsi="Arial"/>
          <w:sz w:val="17"/>
          <w:szCs w:val="17"/>
          <w:color w:val="231F20"/>
        </w:rPr>
        <w:t>Pursuant to Rule 461 of the Securities Act of 1933, as amended, we hereby request that the effective date of the above-captioned Registration Statement on Form S-1 (the “S-1”) relating to the registration of 172,500,000 units (including 22,500,000 shares to cover over-allotments), each consisting of one share of Class A common stock, $0.0001 par value, and one-fifth of one warrant, of Churchill Capital Corp IV (the “Company”) be accelerated to July 29, 2020 at 3:00 p.m. E.D.T. or as soon thereafter as may be practicable.</w:t>
      </w:r>
    </w:p>
    <w:p>
      <w:pPr>
        <w:spacing w:after="0" w:line="171" w:lineRule="exact"/>
        <w:rPr>
          <w:sz w:val="24"/>
          <w:szCs w:val="24"/>
          <w:color w:val="auto"/>
        </w:rPr>
      </w:pPr>
    </w:p>
    <w:p>
      <w:pPr>
        <w:ind w:right="180" w:firstLine="1102"/>
        <w:spacing w:after="0" w:line="286" w:lineRule="auto"/>
        <w:rPr>
          <w:sz w:val="20"/>
          <w:szCs w:val="20"/>
          <w:color w:val="auto"/>
        </w:rPr>
      </w:pPr>
      <w:r>
        <w:rPr>
          <w:rFonts w:ascii="Arial" w:cs="Arial" w:eastAsia="Arial" w:hAnsi="Arial"/>
          <w:sz w:val="17"/>
          <w:szCs w:val="17"/>
          <w:color w:val="231F20"/>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Raphael M. Russo of Paul, Weiss, Rifkind, Wharton &amp; Garrison LLP at (212) 373-3309.</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443230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472" w:right="439" w:bottom="1440" w:gutter="0" w:footer="0" w:header="0"/>
        </w:sectPr>
      </w:pPr>
    </w:p>
    <w:bookmarkStart w:id="1" w:name="page2"/>
    <w:bookmarkEnd w:id="1"/>
    <w:p>
      <w:pPr>
        <w:ind w:left="5640"/>
        <w:spacing w:after="0"/>
        <w:rPr>
          <w:sz w:val="20"/>
          <w:szCs w:val="20"/>
          <w:color w:val="auto"/>
        </w:rPr>
      </w:pPr>
      <w:r>
        <w:rPr>
          <w:rFonts w:ascii="Arial" w:cs="Arial" w:eastAsia="Arial" w:hAnsi="Arial"/>
          <w:sz w:val="18"/>
          <w:szCs w:val="18"/>
          <w:color w:val="231F20"/>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1835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78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231F20"/>
        </w:rPr>
        <w:t>Name: Jay Taragin</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231F20"/>
        </w:rPr>
        <w:t>Title:</w:t>
      </w:r>
      <w:r>
        <w:rPr>
          <w:sz w:val="20"/>
          <w:szCs w:val="20"/>
          <w:color w:val="auto"/>
        </w:rPr>
        <w:tab/>
      </w:r>
      <w:r>
        <w:rPr>
          <w:rFonts w:ascii="Arial" w:cs="Arial" w:eastAsia="Arial" w:hAnsi="Arial"/>
          <w:sz w:val="16"/>
          <w:szCs w:val="16"/>
          <w:color w:val="231F20"/>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2020-08-26T23:05:28Z</dcterms:created>
  <dcterms:modified xsi:type="dcterms:W3CDTF">2020-08-26T23:05:28Z</dcterms:modified>
</cp:coreProperties>
</file>