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045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0455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PUBLIC INVESTMENT FUND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40"/>
        <w:spacing w:after="0" w:line="365" w:lineRule="auto"/>
        <w:rPr>
          <w:sz w:val="20"/>
          <w:szCs w:val="20"/>
          <w:color w:val="auto"/>
        </w:rPr>
      </w:pPr>
      <w:r>
        <w:rPr>
          <w:rFonts w:ascii="Times New Roman" w:cs="Times New Roman" w:eastAsia="Times New Roman" w:hAnsi="Times New Roman"/>
          <w:sz w:val="17"/>
          <w:szCs w:val="17"/>
          <w:color w:val="0000FF"/>
        </w:rPr>
        <w:t>3884 PRINCE TURKI IBN ABDUL AZIZ AL-AWAL ROAD</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RIYADH</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11452</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Lucid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LCID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40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12/22/2022</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5"/>
          </w:tcPr>
          <w:p>
            <w:pPr>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540" w:type="dxa"/>
            <w:vAlign w:val="bottom"/>
            <w:gridSpan w:val="4"/>
          </w:tcPr>
          <w:p>
            <w:pPr>
              <w:ind w:left="240"/>
              <w:spacing w:after="0"/>
              <w:rPr>
                <w:sz w:val="20"/>
                <w:szCs w:val="20"/>
                <w:color w:val="auto"/>
              </w:rPr>
            </w:pPr>
            <w:r>
              <w:rPr>
                <w:rFonts w:ascii="Arial" w:cs="Arial" w:eastAsia="Arial" w:hAnsi="Arial"/>
                <w:sz w:val="12"/>
                <w:szCs w:val="12"/>
                <w:b w:val="1"/>
                <w:bCs w:val="1"/>
                <w:color w:val="auto"/>
              </w:rPr>
              <w:t>4. Securities Acquired (A) or Disposed</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20"/>
                <w:szCs w:val="20"/>
                <w:color w:val="auto"/>
              </w:rPr>
            </w:pPr>
            <w:r>
              <w:rPr>
                <w:rFonts w:ascii="Arial" w:cs="Arial" w:eastAsia="Arial" w:hAnsi="Arial"/>
                <w:sz w:val="12"/>
                <w:szCs w:val="12"/>
                <w:b w:val="1"/>
                <w:bCs w:val="1"/>
                <w:color w:val="auto"/>
              </w:rPr>
              <w:t>6.</w:t>
            </w:r>
          </w:p>
        </w:tc>
        <w:tc>
          <w:tcPr>
            <w:tcW w:w="540" w:type="dxa"/>
            <w:vAlign w:val="bottom"/>
          </w:tcPr>
          <w:p>
            <w:pPr>
              <w:spacing w:after="0"/>
              <w:rPr>
                <w:sz w:val="13"/>
                <w:szCs w:val="13"/>
                <w:color w:val="auto"/>
              </w:rPr>
            </w:pP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3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80" w:type="dxa"/>
            <w:vAlign w:val="bottom"/>
            <w:gridSpan w:val="7"/>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8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(A)</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Amount</w:t>
            </w:r>
          </w:p>
        </w:tc>
        <w:tc>
          <w:tcPr>
            <w:tcW w:w="7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or</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ind w:left="54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Ayar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12/22/2022</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1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85,712,679</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A</w:t>
            </w:r>
          </w:p>
        </w:tc>
        <w:tc>
          <w:tcPr>
            <w:tcW w:w="1000" w:type="dxa"/>
            <w:vAlign w:val="bottom"/>
            <w:gridSpan w:val="2"/>
            <w:vMerge w:val="restart"/>
          </w:tcPr>
          <w:p>
            <w:pPr>
              <w:ind w:left="20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10.6752</w:t>
            </w:r>
            <w:r>
              <w:rPr>
                <w:rFonts w:ascii="Times New Roman" w:cs="Times New Roman" w:eastAsia="Times New Roman" w:hAnsi="Times New Roman"/>
                <w:sz w:val="22"/>
                <w:szCs w:val="22"/>
                <w:color w:val="008000"/>
                <w:w w:val="95"/>
                <w:vertAlign w:val="superscript"/>
              </w:rPr>
              <w:t>(2)</w:t>
            </w:r>
          </w:p>
        </w:tc>
        <w:tc>
          <w:tcPr>
            <w:tcW w:w="13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1,100,965,202</w:t>
            </w:r>
          </w:p>
        </w:tc>
        <w:tc>
          <w:tcPr>
            <w:tcW w:w="260" w:type="dxa"/>
            <w:vAlign w:val="bottom"/>
          </w:tcPr>
          <w:p>
            <w:pPr>
              <w:spacing w:after="0"/>
              <w:rPr>
                <w:sz w:val="18"/>
                <w:szCs w:val="18"/>
                <w:color w:val="auto"/>
              </w:rPr>
            </w:pPr>
          </w:p>
        </w:tc>
        <w:tc>
          <w:tcPr>
            <w:tcW w:w="540" w:type="dxa"/>
            <w:vAlign w:val="bottom"/>
            <w:vMerge w:val="restart"/>
          </w:tcPr>
          <w:p>
            <w:pPr>
              <w:ind w:left="2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(3)</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Third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gridSpan w:val="5"/>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5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0000FF"/>
              </w:rPr>
              <w:t>8,041,393</w:t>
            </w:r>
          </w:p>
        </w:tc>
        <w:tc>
          <w:tcPr>
            <w:tcW w:w="260" w:type="dxa"/>
            <w:vAlign w:val="bottom"/>
          </w:tcPr>
          <w:p>
            <w:pPr>
              <w:spacing w:after="0"/>
              <w:rPr>
                <w:sz w:val="23"/>
                <w:szCs w:val="23"/>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gridSpan w:val="2"/>
          </w:tcPr>
          <w:p>
            <w:pPr>
              <w:spacing w:after="0"/>
              <w:rPr>
                <w:sz w:val="8"/>
                <w:szCs w:val="8"/>
                <w:color w:val="auto"/>
              </w:rPr>
            </w:pPr>
          </w:p>
        </w:tc>
        <w:tc>
          <w:tcPr>
            <w:tcW w:w="84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880" w:type="dxa"/>
            <w:vAlign w:val="bottom"/>
            <w:tcBorders>
              <w:top w:val="single" w:sz="8" w:color="2C2C2C"/>
            </w:tcBorders>
            <w:gridSpan w:val="17"/>
          </w:tcPr>
          <w:p>
            <w:pPr>
              <w:jc w:val="center"/>
              <w:ind w:righ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0" w:type="dxa"/>
            <w:vAlign w:val="bottom"/>
            <w:gridSpan w:val="12"/>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3"/>
          </w:tcPr>
          <w:p>
            <w:pPr>
              <w:spacing w:after="0"/>
              <w:rPr>
                <w:sz w:val="7"/>
                <w:szCs w:val="7"/>
                <w:color w:val="auto"/>
              </w:rPr>
            </w:pPr>
          </w:p>
        </w:tc>
        <w:tc>
          <w:tcPr>
            <w:tcW w:w="5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0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PUBLIC INVESTMENT FUND</w:t>
              </w:r>
            </w:hyperlink>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3884 PRINCE TURKI IBN ABDUL AZIZ</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AL-AWAL ROAD</w:t>
            </w: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w w:val="99"/>
              </w:rPr>
              <w:t>RIYADH</w:t>
            </w:r>
          </w:p>
        </w:tc>
        <w:tc>
          <w:tcPr>
            <w:tcW w:w="70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T0</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11452</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3"/>
          </w:tcPr>
          <w:p>
            <w:pPr>
              <w:spacing w:after="0"/>
              <w:rPr>
                <w:sz w:val="7"/>
                <w:szCs w:val="7"/>
                <w:color w:val="auto"/>
              </w:rPr>
            </w:pPr>
          </w:p>
        </w:tc>
        <w:tc>
          <w:tcPr>
            <w:tcW w:w="5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Ayar Third Investment Co</w:t>
              </w:r>
            </w:hyperlink>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THE PUBLIC INVESTMENT FUND</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 BOX 6847</w:t>
            </w: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w w:val="99"/>
              </w:rPr>
              <w:t>RIYADH</w:t>
            </w:r>
          </w:p>
        </w:tc>
        <w:tc>
          <w:tcPr>
            <w:tcW w:w="70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T0</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11452</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Purchased pursuant to the Subscription Agreement, dated November 8, 2022 between the Issuer and Ayar Third Investment Company ("Ayar") related to the equity distribution agreement, dated</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November 8, 2022 (the "Equity Distribution Agreement"), by and among the Issuer, on the one hand, and Barclays Capital Inc., BofA Securities, Inc. and Citigroup Global Markets Inc. on the other hand pursuant to which the Issuer could sell up to an aggregate of $600 million of its Class A Common Stock.</w:t>
      </w:r>
    </w:p>
    <w:p>
      <w:pPr>
        <w:spacing w:after="0" w:line="8" w:lineRule="exact"/>
        <w:rPr>
          <w:sz w:val="20"/>
          <w:szCs w:val="20"/>
          <w:color w:val="auto"/>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per share is equal to the volume-weighted average price to the public of the shares that the Issuer actually sold pursuant to the Equity Distribution Agreement during the quarter.</w:t>
      </w:r>
    </w:p>
    <w:p>
      <w:pPr>
        <w:spacing w:after="0" w:line="50"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Ayar is a wholly-owned subsidiary of The Public Investment Fund of Saudi Arabia ("PIF"), and as such PIF may be deemed to beneficially own the Shares held by Ayar. In addition, H.E. Yasir O. Al Rumayyan is the Governor of PIF and the sole manager of Ayar and may be deemed to beneficially own the Shares by virtue of his power to vote the Shares.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PIF may be deemed a director by deputization, as Turqi A. Alnowaiser, an employee of PIF, serves as a representative of Ayar on the Board of Directors of the Issuer.</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The Public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6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/s/ H.E. Yasir O. Al</w:t>
      </w:r>
      <w:r>
        <w:rPr>
          <w:sz w:val="20"/>
          <w:szCs w:val="20"/>
          <w:color w:val="auto"/>
        </w:rPr>
        <w:tab/>
      </w:r>
      <w:r>
        <w:rPr>
          <w:rFonts w:ascii="Times New Roman" w:cs="Times New Roman" w:eastAsia="Times New Roman" w:hAnsi="Times New Roman"/>
          <w:sz w:val="17"/>
          <w:szCs w:val="17"/>
          <w:color w:val="0000FF"/>
        </w:rPr>
        <w:t>12/27/2022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59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85979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Rumayyan, Governor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31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Ayar Third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982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9982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Company, /s/ H.E. Yasir O. Al 12/27/2022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Rumayyan,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226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2" Type="http://schemas.openxmlformats.org/officeDocument/2006/relationships/hyperlink" Target="http://www.sec.gov/cgi-bin/browse-edgar?action=getcompany&amp;CIK=0001767640" TargetMode="External"/><Relationship Id="rId13" Type="http://schemas.openxmlformats.org/officeDocument/2006/relationships/hyperlink" Target="http://www.sec.gov/cgi-bin/browse-edgar?action=getcompany&amp;CIK=0001811210" TargetMode="External"/><Relationship Id="rId14" Type="http://schemas.openxmlformats.org/officeDocument/2006/relationships/hyperlink" Target="http://www.sec.gov/cgi-bin/browse-edgar?action=getcompany&amp;CIK=00018748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2022-12-27T20:38:17Z</dcterms:created>
  <dcterms:modified xsi:type="dcterms:W3CDTF">2022-12-27T20:38:17Z</dcterms:modified>
</cp:coreProperties>
</file>