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Acctng &amp; Internal Ctrl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48,097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("RSUs"), 25% of which will vest in March 2023 with the remaining 75% of the RSUs vesting in twelve equal quarterly installments through March 2026 subject to continued employment through each applicable vesting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2021-12-15T18:21:51Z</dcterms:created>
  <dcterms:modified xsi:type="dcterms:W3CDTF">2021-12-15T18:21:51Z</dcterms:modified>
</cp:coreProperties>
</file>