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420" w:right="1680" w:hanging="367"/>
        <w:spacing w:after="0" w:line="29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20" w:hanging="36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20"/>
              <w:spacing w:after="0"/>
              <w:rPr>
                <w:sz w:val="20"/>
                <w:szCs w:val="20"/>
                <w:color w:val="auto"/>
              </w:rPr>
            </w:pPr>
            <w:r>
              <w:rPr>
                <w:rFonts w:ascii="Arial" w:cs="Arial" w:eastAsia="Arial" w:hAnsi="Arial"/>
                <w:sz w:val="18"/>
                <w:szCs w:val="18"/>
                <w:b w:val="1"/>
                <w:bCs w:val="1"/>
                <w:color w:val="auto"/>
              </w:rPr>
              <w:t>For the transition period from</w:t>
            </w: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3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340" w:type="dxa"/>
            <w:vAlign w:val="bottom"/>
          </w:tcPr>
          <w:p>
            <w:pPr>
              <w:spacing w:after="0"/>
              <w:rPr>
                <w:sz w:val="24"/>
                <w:szCs w:val="24"/>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8"/>
                <w:szCs w:val="18"/>
                <w:b w:val="1"/>
                <w:bCs w:val="1"/>
                <w:color w:val="auto"/>
                <w:w w:val="91"/>
              </w:rPr>
              <w:t>Commission File Number: 001-39408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04"/>
              <w:spacing w:after="0"/>
              <w:rPr>
                <w:sz w:val="20"/>
                <w:szCs w:val="20"/>
                <w:color w:val="auto"/>
              </w:rPr>
            </w:pPr>
            <w:r>
              <w:rPr>
                <w:rFonts w:ascii="Arial" w:cs="Arial" w:eastAsia="Arial" w:hAnsi="Arial"/>
                <w:sz w:val="32"/>
                <w:szCs w:val="32"/>
                <w:b w:val="1"/>
                <w:bCs w:val="1"/>
                <w:color w:val="auto"/>
                <w:w w:val="94"/>
              </w:rPr>
              <w:t>Lucid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3340" w:type="dxa"/>
            <w:vAlign w:val="bottom"/>
          </w:tcPr>
          <w:p>
            <w:pPr>
              <w:jc w:val="center"/>
              <w:ind w:left="1399"/>
              <w:spacing w:after="0"/>
              <w:rPr>
                <w:sz w:val="20"/>
                <w:szCs w:val="20"/>
                <w:color w:val="auto"/>
              </w:rPr>
            </w:pPr>
            <w:r>
              <w:rPr>
                <w:rFonts w:ascii="Arial" w:cs="Arial" w:eastAsia="Arial" w:hAnsi="Arial"/>
                <w:sz w:val="18"/>
                <w:szCs w:val="18"/>
                <w:b w:val="1"/>
                <w:bCs w:val="1"/>
                <w:color w:val="auto"/>
                <w:w w:val="93"/>
              </w:rPr>
              <w:t>Delaware</w:t>
            </w:r>
          </w:p>
        </w:tc>
        <w:tc>
          <w:tcPr>
            <w:tcW w:w="94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85-0891392</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280" w:type="dxa"/>
            <w:vAlign w:val="bottom"/>
            <w:gridSpan w:val="2"/>
          </w:tcPr>
          <w:p>
            <w:pPr>
              <w:jc w:val="center"/>
              <w:ind w:left="459"/>
              <w:spacing w:after="0"/>
              <w:rPr>
                <w:sz w:val="20"/>
                <w:szCs w:val="20"/>
                <w:color w:val="auto"/>
              </w:rPr>
            </w:pPr>
            <w:r>
              <w:rPr>
                <w:rFonts w:ascii="Arial" w:cs="Arial" w:eastAsia="Arial" w:hAnsi="Arial"/>
                <w:sz w:val="14"/>
                <w:szCs w:val="14"/>
                <w:b w:val="1"/>
                <w:bCs w:val="1"/>
                <w:i w:val="1"/>
                <w:iCs w:val="1"/>
                <w:color w:val="auto"/>
                <w:w w:val="90"/>
              </w:rPr>
              <w:t>(State or other jurisdiction of incorporation or organization)</w:t>
            </w:r>
          </w:p>
        </w:tc>
        <w:tc>
          <w:tcPr>
            <w:tcW w:w="6740" w:type="dxa"/>
            <w:vAlign w:val="bottom"/>
            <w:gridSpan w:val="2"/>
          </w:tcPr>
          <w:p>
            <w:pPr>
              <w:jc w:val="center"/>
              <w:ind w:right="759"/>
              <w:spacing w:after="0"/>
              <w:rPr>
                <w:sz w:val="20"/>
                <w:szCs w:val="20"/>
                <w:color w:val="auto"/>
              </w:rPr>
            </w:pPr>
            <w:r>
              <w:rPr>
                <w:rFonts w:ascii="Arial" w:cs="Arial" w:eastAsia="Arial" w:hAnsi="Arial"/>
                <w:sz w:val="14"/>
                <w:szCs w:val="14"/>
                <w:b w:val="1"/>
                <w:bCs w:val="1"/>
                <w:i w:val="1"/>
                <w:iCs w:val="1"/>
                <w:color w:val="auto"/>
                <w:w w:val="93"/>
              </w:rPr>
              <w:t>(I.R.S. Employer Identification No.)</w:t>
            </w:r>
          </w:p>
        </w:tc>
        <w:tc>
          <w:tcPr>
            <w:tcW w:w="0" w:type="dxa"/>
            <w:vAlign w:val="bottom"/>
          </w:tcPr>
          <w:p>
            <w:pPr>
              <w:spacing w:after="0"/>
              <w:rPr>
                <w:sz w:val="1"/>
                <w:szCs w:val="1"/>
                <w:color w:val="auto"/>
              </w:rPr>
            </w:pPr>
          </w:p>
        </w:tc>
      </w:tr>
      <w:tr>
        <w:trPr>
          <w:trHeight w:val="452"/>
        </w:trPr>
        <w:tc>
          <w:tcPr>
            <w:tcW w:w="3340" w:type="dxa"/>
            <w:vAlign w:val="bottom"/>
          </w:tcPr>
          <w:p>
            <w:pPr>
              <w:spacing w:after="0"/>
              <w:rPr>
                <w:sz w:val="24"/>
                <w:szCs w:val="24"/>
                <w:color w:val="auto"/>
              </w:rPr>
            </w:pPr>
          </w:p>
        </w:tc>
        <w:tc>
          <w:tcPr>
            <w:tcW w:w="4340" w:type="dxa"/>
            <w:vAlign w:val="bottom"/>
            <w:gridSpan w:val="2"/>
          </w:tcPr>
          <w:p>
            <w:pPr>
              <w:jc w:val="center"/>
              <w:ind w:left="139"/>
              <w:spacing w:after="0"/>
              <w:rPr>
                <w:sz w:val="20"/>
                <w:szCs w:val="20"/>
                <w:color w:val="auto"/>
              </w:rPr>
            </w:pPr>
            <w:r>
              <w:rPr>
                <w:rFonts w:ascii="Arial" w:cs="Arial" w:eastAsia="Arial" w:hAnsi="Arial"/>
                <w:sz w:val="18"/>
                <w:szCs w:val="18"/>
                <w:b w:val="1"/>
                <w:bCs w:val="1"/>
                <w:color w:val="auto"/>
                <w:w w:val="92"/>
              </w:rPr>
              <w:t>7373 Gateway Boulevard, Newark, CA 94560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4"/>
                <w:szCs w:val="14"/>
                <w:b w:val="1"/>
                <w:bCs w:val="1"/>
                <w:i w:val="1"/>
                <w:iCs w:val="1"/>
                <w:color w:val="auto"/>
                <w:w w:val="88"/>
              </w:rPr>
              <w:t>(Address of principal executive offices) (Zip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24"/>
              <w:spacing w:after="0"/>
              <w:rPr>
                <w:sz w:val="20"/>
                <w:szCs w:val="20"/>
                <w:color w:val="auto"/>
              </w:rPr>
            </w:pPr>
            <w:r>
              <w:rPr>
                <w:rFonts w:ascii="Arial" w:cs="Arial" w:eastAsia="Arial" w:hAnsi="Arial"/>
                <w:sz w:val="18"/>
                <w:szCs w:val="18"/>
                <w:b w:val="1"/>
                <w:bCs w:val="1"/>
                <w:color w:val="auto"/>
                <w:w w:val="90"/>
              </w:rPr>
              <w:t>(510) 648-3553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340" w:type="dxa"/>
            <w:vAlign w:val="bottom"/>
            <w:gridSpan w:val="2"/>
          </w:tcPr>
          <w:p>
            <w:pPr>
              <w:jc w:val="center"/>
              <w:ind w:left="139"/>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0"/>
        </w:trPr>
        <w:tc>
          <w:tcPr>
            <w:tcW w:w="3340" w:type="dxa"/>
            <w:vAlign w:val="bottom"/>
          </w:tcPr>
          <w:p>
            <w:pPr>
              <w:jc w:val="center"/>
              <w:ind w:left="1139"/>
              <w:spacing w:after="0"/>
              <w:rPr>
                <w:sz w:val="20"/>
                <w:szCs w:val="20"/>
                <w:color w:val="auto"/>
              </w:rPr>
            </w:pPr>
            <w:r>
              <w:rPr>
                <w:rFonts w:ascii="Arial" w:cs="Arial" w:eastAsia="Arial" w:hAnsi="Arial"/>
                <w:sz w:val="18"/>
                <w:szCs w:val="18"/>
                <w:b w:val="1"/>
                <w:bCs w:val="1"/>
                <w:color w:val="auto"/>
                <w:w w:val="87"/>
              </w:rPr>
              <w:t>Title of each class</w:t>
            </w:r>
          </w:p>
        </w:tc>
        <w:tc>
          <w:tcPr>
            <w:tcW w:w="9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45"/>
        </w:trPr>
        <w:tc>
          <w:tcPr>
            <w:tcW w:w="4280" w:type="dxa"/>
            <w:vAlign w:val="bottom"/>
            <w:gridSpan w:val="2"/>
          </w:tcPr>
          <w:p>
            <w:pPr>
              <w:jc w:val="center"/>
              <w:ind w:left="179"/>
              <w:spacing w:after="0"/>
              <w:rPr>
                <w:sz w:val="20"/>
                <w:szCs w:val="20"/>
                <w:color w:val="auto"/>
              </w:rPr>
            </w:pPr>
            <w:r>
              <w:rPr>
                <w:rFonts w:ascii="Arial" w:cs="Arial" w:eastAsia="Arial" w:hAnsi="Arial"/>
                <w:sz w:val="14"/>
                <w:szCs w:val="14"/>
                <w:color w:val="auto"/>
                <w:w w:val="92"/>
              </w:rPr>
              <w:t>Class A Common Stock, $0.0001 par value per share</w:t>
            </w:r>
          </w:p>
        </w:tc>
        <w:tc>
          <w:tcPr>
            <w:tcW w:w="3400" w:type="dxa"/>
            <w:vAlign w:val="bottom"/>
            <w:vMerge w:val="restart"/>
          </w:tcPr>
          <w:p>
            <w:pPr>
              <w:jc w:val="center"/>
              <w:spacing w:after="0"/>
              <w:rPr>
                <w:sz w:val="20"/>
                <w:szCs w:val="20"/>
                <w:color w:val="auto"/>
              </w:rPr>
            </w:pPr>
            <w:r>
              <w:rPr>
                <w:rFonts w:ascii="Arial" w:cs="Arial" w:eastAsia="Arial" w:hAnsi="Arial"/>
                <w:sz w:val="14"/>
                <w:szCs w:val="14"/>
                <w:color w:val="auto"/>
              </w:rPr>
              <w:t>LCID</w:t>
            </w:r>
          </w:p>
        </w:tc>
        <w:tc>
          <w:tcPr>
            <w:tcW w:w="3340" w:type="dxa"/>
            <w:vAlign w:val="bottom"/>
            <w:vMerge w:val="restart"/>
          </w:tcPr>
          <w:p>
            <w:pPr>
              <w:jc w:val="center"/>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60" w:lineRule="exact"/>
        <w:rPr>
          <w:sz w:val="24"/>
          <w:szCs w:val="24"/>
          <w:color w:val="auto"/>
        </w:rPr>
      </w:pPr>
    </w:p>
    <w:p>
      <w:pPr>
        <w:ind w:right="20"/>
        <w:spacing w:after="0" w:line="31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39"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w:t>
      </w:r>
    </w:p>
    <w:p>
      <w:pPr>
        <w:spacing w:after="0" w:line="52"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180" w:type="dxa"/>
        <w:tblCellMar>
          <w:top w:w="0" w:type="dxa"/>
          <w:left w:w="0" w:type="dxa"/>
          <w:bottom w:w="0" w:type="dxa"/>
          <w:right w:w="0" w:type="dxa"/>
        </w:tblCellMar>
      </w:tblPr>
      <w:tr>
        <w:trPr>
          <w:trHeight w:val="182"/>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vMerge w:val="restart"/>
          </w:tcPr>
          <w:p>
            <w:pPr>
              <w:jc w:val="right"/>
              <w:ind w:right="688"/>
              <w:spacing w:after="0"/>
              <w:rPr>
                <w:sz w:val="20"/>
                <w:szCs w:val="20"/>
                <w:color w:val="auto"/>
              </w:rPr>
            </w:pPr>
            <w:r>
              <w:rPr>
                <w:rFonts w:ascii="Arial" w:cs="Arial" w:eastAsia="Arial" w:hAnsi="Arial"/>
                <w:sz w:val="14"/>
                <w:szCs w:val="14"/>
                <w:color w:val="auto"/>
              </w:rPr>
              <w:t>x</w:t>
            </w:r>
          </w:p>
        </w:tc>
        <w:tc>
          <w:tcPr>
            <w:tcW w:w="3440" w:type="dxa"/>
            <w:vAlign w:val="bottom"/>
            <w:vMerge w:val="restart"/>
          </w:tcPr>
          <w:p>
            <w:pPr>
              <w:ind w:left="760"/>
              <w:spacing w:after="0"/>
              <w:rPr>
                <w:sz w:val="20"/>
                <w:szCs w:val="20"/>
                <w:color w:val="auto"/>
              </w:rPr>
            </w:pPr>
            <w:r>
              <w:rPr>
                <w:rFonts w:ascii="Arial" w:cs="Arial" w:eastAsia="Arial" w:hAnsi="Arial"/>
                <w:sz w:val="14"/>
                <w:szCs w:val="14"/>
                <w:color w:val="auto"/>
              </w:rPr>
              <w:t>Accelerated Filer</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34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2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1700" w:type="dxa"/>
            <w:vAlign w:val="bottom"/>
          </w:tcPr>
          <w:p>
            <w:pPr>
              <w:jc w:val="right"/>
              <w:ind w:right="688"/>
              <w:spacing w:after="0"/>
              <w:rPr>
                <w:sz w:val="20"/>
                <w:szCs w:val="20"/>
                <w:color w:val="auto"/>
              </w:rPr>
            </w:pPr>
            <w:r>
              <w:rPr>
                <w:rFonts w:ascii="Arial" w:cs="Arial" w:eastAsia="Arial" w:hAnsi="Arial"/>
                <w:sz w:val="14"/>
                <w:szCs w:val="14"/>
                <w:color w:val="auto"/>
              </w:rPr>
              <w:t>o</w:t>
            </w:r>
          </w:p>
        </w:tc>
        <w:tc>
          <w:tcPr>
            <w:tcW w:w="3440" w:type="dxa"/>
            <w:vAlign w:val="bottom"/>
          </w:tcPr>
          <w:p>
            <w:pPr>
              <w:ind w:left="80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337"/>
        </w:trPr>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3" w:lineRule="exact"/>
        <w:rPr>
          <w:sz w:val="24"/>
          <w:szCs w:val="24"/>
          <w:color w:val="auto"/>
        </w:rPr>
      </w:pPr>
    </w:p>
    <w:p>
      <w:pPr>
        <w:ind w:right="3840"/>
        <w:spacing w:after="0" w:line="414"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o Yes x No Number of shares of the registrant’s common stock outstanding at May 2, 2023: 1,834,247,969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975360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gridSpan w:val="10"/>
          </w:tcPr>
          <w:p>
            <w:pPr>
              <w:jc w:val="center"/>
              <w:ind w:right="1260"/>
              <w:spacing w:after="0"/>
              <w:rPr>
                <w:sz w:val="20"/>
                <w:szCs w:val="20"/>
                <w:color w:val="auto"/>
              </w:rPr>
            </w:pPr>
            <w:r>
              <w:rPr>
                <w:rFonts w:ascii="Arial" w:cs="Arial" w:eastAsia="Arial" w:hAnsi="Arial"/>
                <w:sz w:val="18"/>
                <w:szCs w:val="18"/>
                <w:b w:val="1"/>
                <w:bCs w:val="1"/>
                <w:color w:val="auto"/>
              </w:rPr>
              <w:t>INDEX TO FORM 10-Q</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9280" w:type="dxa"/>
            <w:vAlign w:val="bottom"/>
            <w:gridSpan w:val="20"/>
            <w:vMerge w:val="restart"/>
          </w:tcPr>
          <w:p>
            <w:pPr>
              <w:spacing w:after="0"/>
              <w:rPr>
                <w:sz w:val="20"/>
                <w:szCs w:val="20"/>
                <w:color w:val="auto"/>
              </w:rPr>
            </w:pPr>
            <w:r>
              <w:rPr>
                <w:rFonts w:ascii="Arial" w:cs="Arial" w:eastAsia="Arial" w:hAnsi="Arial"/>
                <w:sz w:val="18"/>
                <w:szCs w:val="18"/>
                <w:color w:val="0E32E1"/>
              </w:rPr>
              <w:t>PART I. FINANCIAL INFORMATION</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80" w:type="dxa"/>
            <w:vAlign w:val="bottom"/>
            <w:gridSpan w:val="20"/>
            <w:vMerge w:val="continue"/>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tcBorders>
              <w:bottom w:val="single" w:sz="8" w:color="0E32E1"/>
            </w:tcBorders>
            <w:gridSpan w:val="10"/>
          </w:tcPr>
          <w:p>
            <w:pPr>
              <w:spacing w:after="0"/>
              <w:rPr>
                <w:sz w:val="20"/>
                <w:szCs w:val="20"/>
                <w:color w:val="auto"/>
              </w:rPr>
            </w:pPr>
            <w:r>
              <w:rPr>
                <w:rFonts w:ascii="Arial" w:cs="Arial" w:eastAsia="Arial" w:hAnsi="Arial"/>
                <w:sz w:val="18"/>
                <w:szCs w:val="18"/>
                <w:color w:val="0E32E1"/>
                <w:w w:val="90"/>
              </w:rPr>
              <w:t>Cautionary Note Regarding Forward-Looking Statements</w:t>
            </w:r>
          </w:p>
        </w:tc>
        <w:tc>
          <w:tcPr>
            <w:tcW w:w="418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42424"/>
              </w:rPr>
              <w:t>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Borders>
              <w:bottom w:val="single" w:sz="8" w:color="0E32E1"/>
            </w:tcBorders>
            <w:gridSpan w:val="7"/>
          </w:tcPr>
          <w:p>
            <w:pPr>
              <w:spacing w:after="0"/>
              <w:rPr>
                <w:sz w:val="20"/>
                <w:szCs w:val="20"/>
                <w:color w:val="auto"/>
              </w:rPr>
            </w:pPr>
            <w:r>
              <w:rPr>
                <w:rFonts w:ascii="Arial" w:cs="Arial" w:eastAsia="Arial" w:hAnsi="Arial"/>
                <w:sz w:val="18"/>
                <w:szCs w:val="18"/>
                <w:color w:val="0E32E1"/>
                <w:w w:val="87"/>
              </w:rPr>
              <w:t>Frequently Used Terms</w:t>
            </w:r>
          </w:p>
        </w:tc>
        <w:tc>
          <w:tcPr>
            <w:tcW w:w="664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9"/>
          </w:tcPr>
          <w:p>
            <w:pPr>
              <w:spacing w:after="0"/>
              <w:rPr>
                <w:sz w:val="20"/>
                <w:szCs w:val="20"/>
                <w:color w:val="auto"/>
              </w:rPr>
            </w:pPr>
            <w:r>
              <w:rPr>
                <w:rFonts w:ascii="Arial" w:cs="Arial" w:eastAsia="Arial" w:hAnsi="Arial"/>
                <w:sz w:val="18"/>
                <w:szCs w:val="18"/>
                <w:color w:val="0E32E1"/>
              </w:rPr>
              <w:t>Condensed Consolidated 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200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19"/>
          </w:tcPr>
          <w:p>
            <w:pPr>
              <w:spacing w:after="0"/>
              <w:rPr>
                <w:sz w:val="20"/>
                <w:szCs w:val="20"/>
                <w:color w:val="auto"/>
              </w:rPr>
            </w:pPr>
            <w:r>
              <w:rPr>
                <w:rFonts w:ascii="Arial" w:cs="Arial" w:eastAsia="Arial" w:hAnsi="Arial"/>
                <w:sz w:val="18"/>
                <w:szCs w:val="18"/>
                <w:color w:val="0E32E1"/>
              </w:rPr>
              <w:t>Condensed Consolidated Balance Sheets as of March 31, 2023 and December 31, 2022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2100" w:type="dxa"/>
            <w:vAlign w:val="bottom"/>
            <w:gridSpan w:val="3"/>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540" w:type="dxa"/>
            <w:vAlign w:val="bottom"/>
            <w:shd w:val="clear" w:color="auto" w:fill="0E32E1"/>
          </w:tcPr>
          <w:p>
            <w:pPr>
              <w:spacing w:after="0" w:line="20" w:lineRule="exact"/>
              <w:rPr>
                <w:sz w:val="1"/>
                <w:szCs w:val="1"/>
                <w:color w:val="auto"/>
              </w:rPr>
            </w:pPr>
          </w:p>
        </w:tc>
        <w:tc>
          <w:tcPr>
            <w:tcW w:w="740" w:type="dxa"/>
            <w:vAlign w:val="bottom"/>
            <w:shd w:val="clear" w:color="auto" w:fill="0E32E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19"/>
          </w:tcPr>
          <w:p>
            <w:pPr>
              <w:spacing w:after="0"/>
              <w:rPr>
                <w:sz w:val="20"/>
                <w:szCs w:val="20"/>
                <w:color w:val="auto"/>
              </w:rPr>
            </w:pPr>
            <w:r>
              <w:rPr>
                <w:rFonts w:ascii="Arial" w:cs="Arial" w:eastAsia="Arial" w:hAnsi="Arial"/>
                <w:sz w:val="18"/>
                <w:szCs w:val="18"/>
                <w:color w:val="0E32E1"/>
                <w:w w:val="91"/>
              </w:rPr>
              <w:t>Condensed Consolidated Statements of Operations and Comprehensive Loss for the Three Months Ended March</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120" w:type="dxa"/>
            <w:vAlign w:val="bottom"/>
            <w:tcBorders>
              <w:top w:val="single" w:sz="8" w:color="0E32E1"/>
            </w:tcBorders>
            <w:gridSpan w:val="18"/>
          </w:tcPr>
          <w:p>
            <w:pPr>
              <w:spacing w:after="0" w:line="156" w:lineRule="exact"/>
              <w:rPr>
                <w:sz w:val="20"/>
                <w:szCs w:val="20"/>
                <w:color w:val="auto"/>
              </w:rPr>
            </w:pPr>
            <w:r>
              <w:rPr>
                <w:rFonts w:ascii="Arial" w:cs="Arial" w:eastAsia="Arial" w:hAnsi="Arial"/>
                <w:sz w:val="18"/>
                <w:szCs w:val="18"/>
                <w:color w:val="0E32E1"/>
              </w:rPr>
              <w:t>31, 2023 and 2022 (Unaudited)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320" w:type="dxa"/>
            <w:vAlign w:val="bottom"/>
            <w:gridSpan w:val="19"/>
          </w:tcPr>
          <w:p>
            <w:pPr>
              <w:spacing w:after="0"/>
              <w:rPr>
                <w:sz w:val="20"/>
                <w:szCs w:val="20"/>
                <w:color w:val="auto"/>
              </w:rPr>
            </w:pPr>
            <w:r>
              <w:rPr>
                <w:rFonts w:ascii="Arial" w:cs="Arial" w:eastAsia="Arial" w:hAnsi="Arial"/>
                <w:sz w:val="18"/>
                <w:szCs w:val="18"/>
                <w:color w:val="0E32E1"/>
                <w:w w:val="94"/>
              </w:rPr>
              <w:t>Condensed Consolidated Statements of Stockholders’ Equity for the Three Months Ended March 31, 2023 and</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Borders>
              <w:top w:val="single" w:sz="8" w:color="0E32E1"/>
            </w:tcBorders>
            <w:gridSpan w:val="17"/>
          </w:tcPr>
          <w:p>
            <w:pPr>
              <w:spacing w:after="0" w:line="156" w:lineRule="exact"/>
              <w:rPr>
                <w:sz w:val="20"/>
                <w:szCs w:val="20"/>
                <w:color w:val="auto"/>
              </w:rPr>
            </w:pPr>
            <w:r>
              <w:rPr>
                <w:rFonts w:ascii="Arial" w:cs="Arial" w:eastAsia="Arial" w:hAnsi="Arial"/>
                <w:sz w:val="18"/>
                <w:szCs w:val="18"/>
                <w:color w:val="0E32E1"/>
              </w:rPr>
              <w:t>2022 (Unaudited)</w:t>
            </w:r>
          </w:p>
        </w:tc>
        <w:tc>
          <w:tcPr>
            <w:tcW w:w="3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320" w:type="dxa"/>
            <w:vAlign w:val="bottom"/>
            <w:gridSpan w:val="19"/>
          </w:tcPr>
          <w:p>
            <w:pPr>
              <w:spacing w:after="0"/>
              <w:rPr>
                <w:sz w:val="20"/>
                <w:szCs w:val="20"/>
                <w:color w:val="auto"/>
              </w:rPr>
            </w:pPr>
            <w:r>
              <w:rPr>
                <w:rFonts w:ascii="Arial" w:cs="Arial" w:eastAsia="Arial" w:hAnsi="Arial"/>
                <w:sz w:val="18"/>
                <w:szCs w:val="18"/>
                <w:color w:val="0E32E1"/>
                <w:w w:val="96"/>
              </w:rPr>
              <w:t>Condensed Consolidated Statements of Cash Flows for the Three Months Ended March 31, 2023 and 2022</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80" w:type="dxa"/>
            <w:vAlign w:val="bottom"/>
            <w:tcBorders>
              <w:top w:val="single" w:sz="8" w:color="0E32E1"/>
            </w:tcBorders>
            <w:gridSpan w:val="16"/>
          </w:tcPr>
          <w:p>
            <w:pPr>
              <w:spacing w:after="0" w:line="156" w:lineRule="exact"/>
              <w:rPr>
                <w:sz w:val="20"/>
                <w:szCs w:val="20"/>
                <w:color w:val="auto"/>
              </w:rPr>
            </w:pPr>
            <w:r>
              <w:rPr>
                <w:rFonts w:ascii="Arial" w:cs="Arial" w:eastAsia="Arial" w:hAnsi="Arial"/>
                <w:sz w:val="18"/>
                <w:szCs w:val="18"/>
                <w:color w:val="0E32E1"/>
              </w:rPr>
              <w:t>(Unaudited)</w:t>
            </w:r>
          </w:p>
        </w:tc>
        <w:tc>
          <w:tcPr>
            <w:tcW w:w="6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900" w:type="dxa"/>
            <w:vAlign w:val="bottom"/>
            <w:tcBorders>
              <w:bottom w:val="single" w:sz="8" w:color="0E32E1"/>
            </w:tcBorders>
            <w:gridSpan w:val="13"/>
          </w:tcPr>
          <w:p>
            <w:pPr>
              <w:spacing w:after="0"/>
              <w:rPr>
                <w:sz w:val="20"/>
                <w:szCs w:val="20"/>
                <w:color w:val="auto"/>
              </w:rPr>
            </w:pPr>
            <w:r>
              <w:rPr>
                <w:rFonts w:ascii="Arial" w:cs="Arial" w:eastAsia="Arial" w:hAnsi="Arial"/>
                <w:sz w:val="18"/>
                <w:szCs w:val="18"/>
                <w:color w:val="0E32E1"/>
                <w:w w:val="89"/>
              </w:rPr>
              <w:t>Notes to Condensed Consolidated Financial Statements (Unaudited)</w:t>
            </w:r>
          </w:p>
        </w:tc>
        <w:tc>
          <w:tcPr>
            <w:tcW w:w="3420" w:type="dxa"/>
            <w:vAlign w:val="bottom"/>
            <w:gridSpan w:val="6"/>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9"/>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E32E1"/>
            </w:tcBorders>
            <w:gridSpan w:val="14"/>
          </w:tcPr>
          <w:p>
            <w:pPr>
              <w:spacing w:after="0"/>
              <w:rPr>
                <w:sz w:val="20"/>
                <w:szCs w:val="20"/>
                <w:color w:val="auto"/>
              </w:rPr>
            </w:pPr>
            <w:r>
              <w:rPr>
                <w:rFonts w:ascii="Arial" w:cs="Arial" w:eastAsia="Arial" w:hAnsi="Arial"/>
                <w:sz w:val="18"/>
                <w:szCs w:val="18"/>
                <w:color w:val="0E32E1"/>
              </w:rPr>
              <w:t>Quantitative and Qualitative Disclosures About Market Risk</w:t>
            </w:r>
          </w:p>
        </w:tc>
        <w:tc>
          <w:tcPr>
            <w:tcW w:w="188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E32E1"/>
            </w:tcBorders>
            <w:gridSpan w:val="12"/>
          </w:tcPr>
          <w:p>
            <w:pPr>
              <w:spacing w:after="0"/>
              <w:rPr>
                <w:sz w:val="20"/>
                <w:szCs w:val="20"/>
                <w:color w:val="auto"/>
              </w:rPr>
            </w:pPr>
            <w:r>
              <w:rPr>
                <w:rFonts w:ascii="Arial" w:cs="Arial" w:eastAsia="Arial" w:hAnsi="Arial"/>
                <w:sz w:val="18"/>
                <w:szCs w:val="18"/>
                <w:color w:val="0E32E1"/>
              </w:rPr>
              <w:t>Control and Procedures</w:t>
            </w:r>
          </w:p>
        </w:tc>
        <w:tc>
          <w:tcPr>
            <w:tcW w:w="398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gridSpan w:val="2"/>
            <w:shd w:val="clear" w:color="auto" w:fill="0E32E1"/>
          </w:tcPr>
          <w:p>
            <w:pPr>
              <w:spacing w:after="0" w:line="20" w:lineRule="exact"/>
              <w:rPr>
                <w:sz w:val="1"/>
                <w:szCs w:val="1"/>
                <w:color w:val="auto"/>
              </w:rPr>
            </w:pPr>
          </w:p>
        </w:tc>
        <w:tc>
          <w:tcPr>
            <w:tcW w:w="360" w:type="dxa"/>
            <w:vAlign w:val="bottom"/>
            <w:tcBorders>
              <w:right w:val="single" w:sz="8" w:color="0E32E1"/>
            </w:tcBorders>
            <w:shd w:val="clear" w:color="auto" w:fill="0E32E1"/>
          </w:tcPr>
          <w:p>
            <w:pPr>
              <w:spacing w:after="0" w:line="20" w:lineRule="exact"/>
              <w:rPr>
                <w:sz w:val="1"/>
                <w:szCs w:val="1"/>
                <w:color w:val="auto"/>
              </w:rPr>
            </w:pPr>
          </w:p>
        </w:tc>
        <w:tc>
          <w:tcPr>
            <w:tcW w:w="664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640" w:type="dxa"/>
            <w:vAlign w:val="bottom"/>
            <w:tcBorders>
              <w:bottom w:val="single" w:sz="8" w:color="0E32E1"/>
            </w:tcBorders>
            <w:gridSpan w:val="8"/>
          </w:tcPr>
          <w:p>
            <w:pPr>
              <w:spacing w:after="0"/>
              <w:rPr>
                <w:sz w:val="20"/>
                <w:szCs w:val="20"/>
                <w:color w:val="auto"/>
              </w:rPr>
            </w:pPr>
            <w:r>
              <w:rPr>
                <w:rFonts w:ascii="Arial" w:cs="Arial" w:eastAsia="Arial" w:hAnsi="Arial"/>
                <w:sz w:val="18"/>
                <w:szCs w:val="18"/>
                <w:color w:val="0E32E1"/>
                <w:w w:val="97"/>
              </w:rPr>
              <w:t>PART II. OTHER INFORMATION</w:t>
            </w:r>
          </w:p>
        </w:tc>
        <w:tc>
          <w:tcPr>
            <w:tcW w:w="664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9"/>
          </w:tcPr>
          <w:p>
            <w:pPr>
              <w:spacing w:after="0"/>
              <w:rPr>
                <w:sz w:val="20"/>
                <w:szCs w:val="20"/>
                <w:color w:val="auto"/>
              </w:rPr>
            </w:pPr>
            <w:r>
              <w:rPr>
                <w:rFonts w:ascii="Arial" w:cs="Arial" w:eastAsia="Arial" w:hAnsi="Arial"/>
                <w:sz w:val="18"/>
                <w:szCs w:val="18"/>
                <w:color w:val="0E32E1"/>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E32E1"/>
              <w:bottom w:val="single" w:sz="8" w:color="0E32E1"/>
            </w:tcBorders>
            <w:gridSpan w:val="4"/>
          </w:tcPr>
          <w:p>
            <w:pPr>
              <w:spacing w:after="0"/>
              <w:rPr>
                <w:sz w:val="20"/>
                <w:szCs w:val="20"/>
                <w:color w:val="auto"/>
              </w:rPr>
            </w:pPr>
            <w:r>
              <w:rPr>
                <w:rFonts w:ascii="Arial" w:cs="Arial" w:eastAsia="Arial" w:hAnsi="Arial"/>
                <w:sz w:val="18"/>
                <w:szCs w:val="18"/>
                <w:color w:val="0E32E1"/>
                <w:w w:val="87"/>
              </w:rPr>
              <w:t>Risk Factors</w:t>
            </w:r>
          </w:p>
        </w:tc>
        <w:tc>
          <w:tcPr>
            <w:tcW w:w="420" w:type="dxa"/>
            <w:vAlign w:val="bottom"/>
            <w:tcBorders>
              <w:top w:val="single" w:sz="8" w:color="0E32E1"/>
            </w:tcBorders>
            <w:gridSpan w:val="2"/>
          </w:tcPr>
          <w:p>
            <w:pPr>
              <w:spacing w:after="0"/>
              <w:rPr>
                <w:sz w:val="18"/>
                <w:szCs w:val="18"/>
                <w:color w:val="auto"/>
              </w:rPr>
            </w:pPr>
          </w:p>
        </w:tc>
        <w:tc>
          <w:tcPr>
            <w:tcW w:w="700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E32E1"/>
            </w:tcBorders>
            <w:gridSpan w:val="2"/>
          </w:tcPr>
          <w:p>
            <w:pPr>
              <w:spacing w:after="0"/>
              <w:rPr>
                <w:sz w:val="20"/>
                <w:szCs w:val="20"/>
                <w:color w:val="auto"/>
              </w:rPr>
            </w:pPr>
            <w:r>
              <w:rPr>
                <w:rFonts w:ascii="Arial" w:cs="Arial" w:eastAsia="Arial" w:hAnsi="Arial"/>
                <w:sz w:val="18"/>
                <w:szCs w:val="18"/>
                <w:color w:val="0E32E1"/>
                <w:w w:val="91"/>
              </w:rPr>
              <w:t>Exhibits</w:t>
            </w:r>
          </w:p>
        </w:tc>
        <w:tc>
          <w:tcPr>
            <w:tcW w:w="772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280" w:type="dxa"/>
            <w:vAlign w:val="bottom"/>
            <w:gridSpan w:val="20"/>
          </w:tcPr>
          <w:p>
            <w:pPr>
              <w:spacing w:after="0"/>
              <w:rPr>
                <w:sz w:val="20"/>
                <w:szCs w:val="20"/>
                <w:color w:val="auto"/>
              </w:rPr>
            </w:pPr>
            <w:r>
              <w:rPr>
                <w:rFonts w:ascii="Arial" w:cs="Arial" w:eastAsia="Arial" w:hAnsi="Arial"/>
                <w:sz w:val="18"/>
                <w:szCs w:val="18"/>
                <w:color w:val="0E32E1"/>
              </w:rPr>
              <w:t>SIGNATURES</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96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4760" w:type="dxa"/>
            <w:vAlign w:val="bottom"/>
            <w:gridSpan w:val="12"/>
          </w:tcPr>
          <w:p>
            <w:pPr>
              <w:jc w:val="right"/>
              <w:ind w:right="22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CAUTIONARY NOTE REGARDING FORWARD-LOOKING STATEMENTS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Quarterly Report on Form 10-Q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our expectations regarding the Restructuring Plan, including with respect to timing, costs, and expected benefits,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180" w:lineRule="exact"/>
        <w:rPr>
          <w:sz w:val="20"/>
          <w:szCs w:val="20"/>
          <w:color w:val="auto"/>
        </w:rPr>
      </w:pPr>
    </w:p>
    <w:p>
      <w:pPr>
        <w:ind w:left="660" w:right="1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 including government closures of banks and liquidity concerns at other financial institutions, a potential global economic recession or other downturn and the ongoing conflict between Russia and Ukraine;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changes in overall demand for our products and services and cancellation of reservations and orders for our vehicles;</w:t>
      </w:r>
    </w:p>
    <w:p>
      <w:pPr>
        <w:spacing w:after="0" w:line="128" w:lineRule="exact"/>
        <w:rPr>
          <w:rFonts w:ascii="Arial" w:cs="Arial" w:eastAsia="Arial" w:hAnsi="Arial"/>
          <w:sz w:val="17"/>
          <w:szCs w:val="17"/>
          <w:color w:val="auto"/>
        </w:rPr>
      </w:pPr>
    </w:p>
    <w:p>
      <w:pPr>
        <w:ind w:left="660" w:right="24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 and control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 and recruit and retain key employees, including our chief executive officer and executive team;</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3" w:name="page4"/>
    <w:bookmarkEnd w:id="3"/>
    <w:p>
      <w:pPr>
        <w:ind w:left="660" w:right="8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Restructuring Plan, including the risk that the charges and expenditures may be greater than anticipated, the risk that the Restructuring Plan may adversely affect our internal programs and initiatives and our ability to recruit and retain skilled and motivated personnel, the risk that the Restructuring Plan may be distracting to employees and management, the risk that the Restructuring Plan may negatively impact our business operations, reputation, or ability to serve customers, and the risk that the Restructuring Plan may not generate their intended benefits to the extent or as quickly as anticipated;</w:t>
      </w:r>
    </w:p>
    <w:p>
      <w:pPr>
        <w:spacing w:after="0" w:line="7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global COVID-19 pandemic on our supply chain, projected results of operations, financial performance or other financial metrics, or on any of the foregoing risks;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disclosed in this Quarterly Report on Form 10-Q or our other filings with the Securities and Exchange Commission (the “SEC”).</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Unless otherwise stated in Item 1. Financial Statements and accompanying footnotes, or the context otherwise requires, references in this Quarterly Report on Form 10-Q 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“2026 Notes” are to the 1.25% Convertible Senior Notes due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“AMP-1” are to our Advanced Manufacturing Plant 1 in Casa Grande, Arizona;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“AMP-2” are to our planned Advanced Manufacturing Plant 2, which is currently under construction in Saudi Arabia;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“Ayar” are to Ayar Third Investment Company, an affiliate of PIF and the controlling stockholder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or “Board of Directors” are to the board of directors of Lucid Group Inc., a Delaware corporation;</w:t>
      </w:r>
    </w:p>
    <w:p>
      <w:pPr>
        <w:spacing w:after="0" w:line="252"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“Churchill IPO” are to the initial public offering by Churchill which closed on August 3,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“Closing” are to the consummation of the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“Closing Date” are to July 23, 2021, the date on which the Transactions were consummated;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“common stock” are to the common stock of Lucid Group, Inc., par value $0.0001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“ESG” are to Environmental, Social and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“EV” are to electric vehicle;</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“Investor Rights Agreement” are to the Investor Rights Agreement, dated as of February 22, 2021 and as may be amended from time to time, by and among the Company, the Sponsor, Ayar and certain other parties thereto;</w:t>
      </w:r>
    </w:p>
    <w:p>
      <w:pPr>
        <w:sectPr>
          <w:pgSz w:w="11900" w:h="16838" w:orient="portrait"/>
          <w:cols w:equalWidth="0" w:num="1">
            <w:col w:w="11220"/>
          </w:cols>
          <w:pgMar w:left="320" w:top="881" w:right="35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4" w:name="page5"/>
    <w:bookmarkEnd w:id="4"/>
    <w:p>
      <w:pPr>
        <w:ind w:right="280"/>
        <w:spacing w:after="0" w:line="277" w:lineRule="auto"/>
        <w:rPr>
          <w:sz w:val="20"/>
          <w:szCs w:val="20"/>
          <w:color w:val="auto"/>
        </w:rPr>
      </w:pPr>
      <w:r>
        <w:rPr>
          <w:rFonts w:ascii="Arial" w:cs="Arial" w:eastAsia="Arial" w:hAnsi="Arial"/>
          <w:sz w:val="18"/>
          <w:szCs w:val="18"/>
          <w:color w:val="auto"/>
        </w:rPr>
        <w:t>“Legacy Lucid” are to Atieva, Inc., d/b/a Lucid Motors, an exempted company incorporated with limited liability under the laws of the Cayman Islands, and its consolidated subsidiaries before the Closing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“LPM-1” are to our Lucid Powertrain Manufacturing Plant-1 in Casa Grande, Arizona;</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“Merger” are to the merger of a merger subsidiary of Churchill and Atieva, Inc., with Atieva, Inc. surviving such merger as a wholly owned subsidiary of Churchill;</w:t>
      </w:r>
    </w:p>
    <w:p>
      <w:pPr>
        <w:spacing w:after="0" w:line="19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 to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“PIF” are to the Public Investment Fund, the sovereign wealth fund of Saudi Arabia;</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“Private Placement Warrants” are to Churchill’s warrants issued to the Sponsor in a private placement simultaneously with the closing of the Churchill IPO;</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“Restructuring Plan” are to the Company’s restructuring plan to reduce the Company’s operating expenses that was announced on March 28, 2023;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“Sponsor” are to Churchill Sponsor IV LLC, a Delaware limited liability company and an affiliate of M. Klein and Company;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“Transactions” are to the Merger, together with the other transactions consummated under the Merger Agreement and the related agreements;</w:t>
      </w:r>
    </w:p>
    <w:p>
      <w:pPr>
        <w:spacing w:after="0" w:line="2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“Warrant Agreement” are to the Warrant Agreement, dated July 29, 2020, entered into in connection with the Churchill IPO by and between Continental Stock Transfer &amp; Trust Company and Churchill; and</w:t>
      </w:r>
    </w:p>
    <w:p>
      <w:pPr>
        <w:spacing w:after="0" w:line="19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1,735,765</w:t>
            </w:r>
          </w:p>
        </w:tc>
      </w:tr>
      <w:tr>
        <w:trPr>
          <w:trHeight w:val="229"/>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2,078,377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2,177,231</w:t>
            </w:r>
          </w:p>
        </w:tc>
      </w:tr>
      <w:tr>
        <w:trPr>
          <w:trHeight w:val="229"/>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w:t>
            </w:r>
          </w:p>
        </w:tc>
      </w:tr>
      <w:tr>
        <w:trPr>
          <w:trHeight w:val="230"/>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1,017,570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834,401</w:t>
            </w:r>
          </w:p>
        </w:tc>
      </w:tr>
      <w:tr>
        <w:trPr>
          <w:trHeight w:val="229"/>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63,548</w:t>
            </w:r>
          </w:p>
        </w:tc>
      </w:tr>
      <w:tr>
        <w:trPr>
          <w:trHeight w:val="230"/>
        </w:trPr>
        <w:tc>
          <w:tcPr>
            <w:tcW w:w="8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81,541</w:t>
            </w:r>
          </w:p>
        </w:tc>
      </w:tr>
      <w:tr>
        <w:trPr>
          <w:trHeight w:val="223"/>
        </w:trPr>
        <w:tc>
          <w:tcPr>
            <w:tcW w:w="85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4,119,832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4,912,028</w:t>
            </w:r>
          </w:p>
        </w:tc>
      </w:tr>
      <w:tr>
        <w:trPr>
          <w:trHeight w:val="22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2,322,884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2,166,776</w:t>
            </w:r>
          </w:p>
        </w:tc>
      </w:tr>
      <w:tr>
        <w:trPr>
          <w:trHeight w:val="229"/>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215,160</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441,727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529,974</w:t>
            </w:r>
          </w:p>
        </w:tc>
      </w:tr>
      <w:tr>
        <w:trPr>
          <w:trHeight w:val="229"/>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163,295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55,300</w:t>
            </w:r>
          </w:p>
        </w:tc>
      </w:tr>
      <w:tr>
        <w:trPr>
          <w:trHeight w:val="223"/>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7,260,931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7,879,238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145,746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229,084</w:t>
            </w:r>
          </w:p>
        </w:tc>
      </w:tr>
      <w:tr>
        <w:trPr>
          <w:trHeight w:val="229"/>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63,322</w:t>
            </w:r>
          </w:p>
        </w:tc>
      </w:tr>
      <w:tr>
        <w:trPr>
          <w:trHeight w:val="230"/>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10,586</w:t>
            </w:r>
          </w:p>
        </w:tc>
      </w:tr>
      <w:tr>
        <w:trPr>
          <w:trHeight w:val="230"/>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774,108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634,567</w:t>
            </w:r>
          </w:p>
        </w:tc>
      </w:tr>
      <w:tr>
        <w:trPr>
          <w:trHeight w:val="223"/>
        </w:trPr>
        <w:tc>
          <w:tcPr>
            <w:tcW w:w="8560" w:type="dxa"/>
            <w:vAlign w:val="bottom"/>
            <w:gridSpan w:val="2"/>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1,014,960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937,559</w:t>
            </w:r>
          </w:p>
        </w:tc>
      </w:tr>
      <w:tr>
        <w:trPr>
          <w:trHeight w:val="23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81,336</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181,392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140,590</w:t>
            </w:r>
          </w:p>
        </w:tc>
      </w:tr>
      <w:tr>
        <w:trPr>
          <w:trHeight w:val="229"/>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1,993,113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1,991,840</w:t>
            </w:r>
          </w:p>
        </w:tc>
      </w:tr>
      <w:tr>
        <w:trPr>
          <w:trHeight w:val="230"/>
        </w:trPr>
        <w:tc>
          <w:tcPr>
            <w:tcW w:w="8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378,212</w:t>
            </w:r>
          </w:p>
        </w:tc>
      </w:tr>
      <w:tr>
        <w:trPr>
          <w:trHeight w:val="223"/>
        </w:trPr>
        <w:tc>
          <w:tcPr>
            <w:tcW w:w="85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3,629,080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3,529,537</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8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9"/>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Common stock, par value $0.0001; 15,000,000,000 shares authorized as of March 31, 2023 and December 31, 2022;</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8"/>
        </w:trPr>
        <w:tc>
          <w:tcPr>
            <w:tcW w:w="85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w w:val="91"/>
              </w:rPr>
              <w:t>1,834,242,999 and 1,830,172,561 shares issued and 1,833,385,174 and 1,829,314,736 shares outstanding as of</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0"/>
        </w:trPr>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March 31, 2023 and December 31, 2022, respectively</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11,809,781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11,752,138</w:t>
            </w:r>
          </w:p>
        </w:tc>
      </w:tr>
      <w:tr>
        <w:trPr>
          <w:trHeight w:val="229"/>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857,825 shares at March 31, 2023 and December 31, 2022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(11,572)</w:t>
            </w:r>
          </w:p>
        </w:tc>
      </w:tr>
      <w:tr>
        <w:trPr>
          <w:trHeight w:val="23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(8,149,860)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(7,370,332)</w:t>
            </w:r>
          </w:p>
        </w:tc>
      </w:tr>
      <w:tr>
        <w:trPr>
          <w:trHeight w:val="223"/>
        </w:trPr>
        <w:tc>
          <w:tcPr>
            <w:tcW w:w="85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3,631,851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4,349,701</w:t>
            </w:r>
          </w:p>
        </w:tc>
      </w:tr>
      <w:tr>
        <w:trPr>
          <w:trHeight w:val="248"/>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7,260,931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7,879,238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985" w:right="3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6"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jc w:val="center"/>
        <w:ind w:left="858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57,675</w:t>
            </w:r>
          </w:p>
        </w:tc>
        <w:tc>
          <w:tcPr>
            <w:tcW w:w="0" w:type="dxa"/>
            <w:vAlign w:val="bottom"/>
          </w:tcPr>
          <w:p>
            <w:pPr>
              <w:spacing w:after="0"/>
              <w:rPr>
                <w:sz w:val="1"/>
                <w:szCs w:val="1"/>
                <w:color w:val="auto"/>
              </w:rPr>
            </w:pPr>
          </w:p>
        </w:tc>
      </w:tr>
      <w:tr>
        <w:trPr>
          <w:trHeight w:val="257"/>
        </w:trPr>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500,524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245,970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186,076</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223,159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and expenses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921,593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655,205</w:t>
            </w:r>
          </w:p>
        </w:tc>
        <w:tc>
          <w:tcPr>
            <w:tcW w:w="0" w:type="dxa"/>
            <w:vAlign w:val="bottom"/>
          </w:tcPr>
          <w:p>
            <w:pPr>
              <w:spacing w:after="0"/>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(772,161)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(597,530)</w:t>
            </w:r>
          </w:p>
        </w:tc>
        <w:tc>
          <w:tcPr>
            <w:tcW w:w="0" w:type="dxa"/>
            <w:vAlign w:val="bottom"/>
          </w:tcPr>
          <w:p>
            <w:pPr>
              <w:spacing w:after="0"/>
              <w:rPr>
                <w:sz w:val="1"/>
                <w:szCs w:val="1"/>
                <w:color w:val="auto"/>
              </w:rPr>
            </w:pPr>
          </w:p>
        </w:tc>
      </w:tr>
      <w:tr>
        <w:trPr>
          <w:trHeight w:val="257"/>
        </w:trPr>
        <w:tc>
          <w:tcPr>
            <w:tcW w:w="8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523,330</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516,567</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(779,399)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(80,963)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(779,528)</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(81,286)</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basic</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Change in fair value of dilutive warrants</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0" w:type="dxa"/>
            <w:vAlign w:val="bottom"/>
            <w:tcBorders>
              <w:top w:val="single" w:sz="8" w:color="CCEEFF"/>
              <w:bottom w:val="single" w:sz="8" w:color="CCEEFF"/>
            </w:tcBorders>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(523,330)</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(604,616)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attributable to common stockholders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0"/>
              </w:rPr>
              <w:t>1,831,725,009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0"/>
              </w:rPr>
              <w:t>1,654,322,379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1,831,725,009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1,681,545,859</w:t>
            </w:r>
          </w:p>
        </w:tc>
        <w:tc>
          <w:tcPr>
            <w:tcW w:w="0" w:type="dxa"/>
            <w:vAlign w:val="bottom"/>
          </w:tcPr>
          <w:p>
            <w:pPr>
              <w:spacing w:after="0"/>
              <w:rPr>
                <w:sz w:val="1"/>
                <w:szCs w:val="1"/>
                <w:color w:val="auto"/>
              </w:rPr>
            </w:pPr>
          </w:p>
        </w:tc>
      </w:tr>
      <w:tr>
        <w:trPr>
          <w:trHeight w:val="257"/>
        </w:trPr>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57"/>
        </w:trPr>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comprehensive income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unrealized gains on investments,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(775,493)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vMerge w:val="restart"/>
          </w:tcPr>
          <w:p>
            <w:pPr>
              <w:jc w:val="right"/>
              <w:ind w:right="3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Other</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5"/>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w w:val="97"/>
              </w:rPr>
              <w:t>Paid-In</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Treasury</w:t>
            </w:r>
          </w:p>
        </w:tc>
        <w:tc>
          <w:tcPr>
            <w:tcW w:w="1200" w:type="dxa"/>
            <w:vAlign w:val="bottom"/>
            <w:gridSpan w:val="4"/>
            <w:vMerge w:val="restart"/>
          </w:tcPr>
          <w:p>
            <w:pPr>
              <w:ind w:left="20"/>
              <w:spacing w:after="0" w:line="162" w:lineRule="exact"/>
              <w:rPr>
                <w:sz w:val="20"/>
                <w:szCs w:val="20"/>
                <w:color w:val="auto"/>
              </w:rPr>
            </w:pPr>
            <w:r>
              <w:rPr>
                <w:rFonts w:ascii="Arial" w:cs="Arial" w:eastAsia="Arial" w:hAnsi="Arial"/>
                <w:sz w:val="16"/>
                <w:szCs w:val="16"/>
                <w:b w:val="1"/>
                <w:bCs w:val="1"/>
                <w:color w:val="auto"/>
                <w:w w:val="96"/>
              </w:rPr>
              <w:t>Comprehensive</w:t>
            </w:r>
          </w:p>
        </w:tc>
        <w:tc>
          <w:tcPr>
            <w:tcW w:w="104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0"/>
        </w:trPr>
        <w:tc>
          <w:tcPr>
            <w:tcW w:w="3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March 31, 2023</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38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5"/>
              </w:rPr>
              <w:t>Loss</w:t>
            </w:r>
          </w:p>
        </w:tc>
        <w:tc>
          <w:tcPr>
            <w:tcW w:w="10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8"/>
                <w:szCs w:val="18"/>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2023</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1,829,314,736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183</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$ 11,752,138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(11,572)</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 (7,370,332)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4,349,701</w:t>
            </w:r>
          </w:p>
        </w:tc>
        <w:tc>
          <w:tcPr>
            <w:tcW w:w="0" w:type="dxa"/>
            <w:vAlign w:val="bottom"/>
          </w:tcPr>
          <w:p>
            <w:pPr>
              <w:spacing w:after="0"/>
              <w:rPr>
                <w:sz w:val="1"/>
                <w:szCs w:val="1"/>
                <w:color w:val="auto"/>
              </w:rPr>
            </w:pPr>
          </w:p>
        </w:tc>
      </w:tr>
      <w:tr>
        <w:trPr>
          <w:trHeight w:val="213"/>
        </w:trPr>
        <w:tc>
          <w:tcPr>
            <w:tcW w:w="3880" w:type="dxa"/>
            <w:vAlign w:val="bottom"/>
            <w:gridSpan w:val="2"/>
          </w:tcPr>
          <w:p>
            <w:pPr>
              <w:ind w:left="8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(779,528)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(779,528)</w:t>
            </w: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Net unrealized gains on investments, net of tax</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166"/>
        </w:trPr>
        <w:tc>
          <w:tcPr>
            <w:tcW w:w="3880" w:type="dxa"/>
            <w:vAlign w:val="bottom"/>
            <w:gridSpan w:val="2"/>
          </w:tcPr>
          <w:p>
            <w:pPr>
              <w:ind w:left="80"/>
              <w:spacing w:after="0" w:line="166" w:lineRule="exact"/>
              <w:rPr>
                <w:sz w:val="20"/>
                <w:szCs w:val="20"/>
                <w:color w:val="auto"/>
              </w:rPr>
            </w:pPr>
            <w:r>
              <w:rPr>
                <w:rFonts w:ascii="Arial" w:cs="Arial" w:eastAsia="Arial" w:hAnsi="Arial"/>
                <w:sz w:val="16"/>
                <w:szCs w:val="16"/>
                <w:color w:val="auto"/>
              </w:rPr>
              <w:t>Tax withholding payments for net settlement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(6,499)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(6,499)</w:t>
            </w:r>
          </w:p>
        </w:tc>
        <w:tc>
          <w:tcPr>
            <w:tcW w:w="0" w:type="dxa"/>
            <w:vAlign w:val="bottom"/>
          </w:tcPr>
          <w:p>
            <w:pPr>
              <w:spacing w:after="0"/>
              <w:rPr>
                <w:sz w:val="1"/>
                <w:szCs w:val="1"/>
                <w:color w:val="auto"/>
              </w:rPr>
            </w:pPr>
          </w:p>
        </w:tc>
      </w:tr>
      <w:tr>
        <w:trPr>
          <w:trHeight w:val="209"/>
        </w:trPr>
        <w:tc>
          <w:tcPr>
            <w:tcW w:w="3880" w:type="dxa"/>
            <w:vAlign w:val="bottom"/>
            <w:gridSpan w:val="2"/>
          </w:tcPr>
          <w:p>
            <w:pPr>
              <w:spacing w:after="0"/>
              <w:rPr>
                <w:sz w:val="20"/>
                <w:szCs w:val="20"/>
                <w:color w:val="auto"/>
              </w:rPr>
            </w:pPr>
            <w:r>
              <w:rPr>
                <w:rFonts w:ascii="Arial" w:cs="Arial" w:eastAsia="Arial" w:hAnsi="Arial"/>
                <w:sz w:val="16"/>
                <w:szCs w:val="16"/>
                <w:color w:val="auto"/>
              </w:rPr>
              <w:t>employee awards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8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6"/>
                <w:szCs w:val="16"/>
                <w:color w:val="auto"/>
              </w:rPr>
              <w:t>Issuance of common stock upon vesting of employee</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1,870,073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RSUs</w:t>
            </w:r>
          </w:p>
        </w:tc>
        <w:tc>
          <w:tcPr>
            <w:tcW w:w="10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880" w:type="dxa"/>
            <w:vAlign w:val="bottom"/>
            <w:gridSpan w:val="2"/>
          </w:tcPr>
          <w:p>
            <w:pPr>
              <w:ind w:left="80"/>
              <w:spacing w:after="0" w:line="166" w:lineRule="exact"/>
              <w:rPr>
                <w:sz w:val="20"/>
                <w:szCs w:val="20"/>
                <w:color w:val="auto"/>
              </w:rPr>
            </w:pPr>
            <w:r>
              <w:rPr>
                <w:rFonts w:ascii="Arial" w:cs="Arial" w:eastAsia="Arial" w:hAnsi="Arial"/>
                <w:sz w:val="16"/>
                <w:szCs w:val="16"/>
                <w:color w:val="auto"/>
              </w:rPr>
              <w:t>Issuance of common stock upon exercise of stock</w:t>
            </w:r>
          </w:p>
        </w:tc>
        <w:tc>
          <w:tcPr>
            <w:tcW w:w="1020" w:type="dxa"/>
            <w:vAlign w:val="bottom"/>
            <w:gridSpan w:val="3"/>
            <w:vMerge w:val="restart"/>
          </w:tcPr>
          <w:p>
            <w:pPr>
              <w:jc w:val="right"/>
              <w:spacing w:after="0"/>
              <w:rPr>
                <w:sz w:val="20"/>
                <w:szCs w:val="20"/>
                <w:color w:val="auto"/>
              </w:rPr>
            </w:pPr>
            <w:r>
              <w:rPr>
                <w:rFonts w:ascii="Arial" w:cs="Arial" w:eastAsia="Arial" w:hAnsi="Arial"/>
                <w:sz w:val="16"/>
                <w:szCs w:val="16"/>
                <w:color w:val="auto"/>
              </w:rPr>
              <w:t>2,200,365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2,181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09"/>
        </w:trPr>
        <w:tc>
          <w:tcPr>
            <w:tcW w:w="38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10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61,961</w:t>
            </w:r>
          </w:p>
        </w:tc>
        <w:tc>
          <w:tcPr>
            <w:tcW w:w="0" w:type="dxa"/>
            <w:vAlign w:val="bottom"/>
          </w:tcPr>
          <w:p>
            <w:pPr>
              <w:spacing w:after="0"/>
              <w:rPr>
                <w:sz w:val="1"/>
                <w:szCs w:val="1"/>
                <w:color w:val="auto"/>
              </w:rPr>
            </w:pP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Balance as of March 31, 2023</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1,833,385,174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183</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$ 11,809,781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(20,716)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(7,537)</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 (8,149,860)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3,631,851</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Other</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Borders>
              <w:bottom w:val="single" w:sz="8" w:color="auto"/>
            </w:tcBorders>
            <w:gridSpan w:val="5"/>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vMerge w:val="restart"/>
          </w:tcPr>
          <w:p>
            <w:pPr>
              <w:jc w:val="center"/>
              <w:ind w:right="60"/>
              <w:spacing w:after="0" w:line="162" w:lineRule="exact"/>
              <w:rPr>
                <w:sz w:val="20"/>
                <w:szCs w:val="20"/>
                <w:color w:val="auto"/>
              </w:rPr>
            </w:pPr>
            <w:r>
              <w:rPr>
                <w:rFonts w:ascii="Arial" w:cs="Arial" w:eastAsia="Arial" w:hAnsi="Arial"/>
                <w:sz w:val="16"/>
                <w:szCs w:val="16"/>
                <w:b w:val="1"/>
                <w:bCs w:val="1"/>
                <w:color w:val="auto"/>
                <w:w w:val="97"/>
              </w:rPr>
              <w:t>Paid-In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4"/>
              </w:rPr>
              <w:t>Treasury</w:t>
            </w:r>
          </w:p>
        </w:tc>
        <w:tc>
          <w:tcPr>
            <w:tcW w:w="1200" w:type="dxa"/>
            <w:vAlign w:val="bottom"/>
            <w:gridSpan w:val="4"/>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37"/>
        </w:trPr>
        <w:tc>
          <w:tcPr>
            <w:tcW w:w="3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Three Months Ended March 31, 2022</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38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7"/>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5"/>
              </w:rPr>
              <w:t>Loss</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8"/>
                <w:szCs w:val="18"/>
                <w:color w:val="auto"/>
              </w:rPr>
            </w:pPr>
          </w:p>
        </w:tc>
        <w:tc>
          <w:tcPr>
            <w:tcW w:w="8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January 1, 2022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1,647,555,590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$ 9,995,778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(6,065,872)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3,909,355</w:t>
            </w:r>
          </w:p>
        </w:tc>
        <w:tc>
          <w:tcPr>
            <w:tcW w:w="0" w:type="dxa"/>
            <w:vAlign w:val="bottom"/>
          </w:tcPr>
          <w:p>
            <w:pPr>
              <w:spacing w:after="0"/>
              <w:rPr>
                <w:sz w:val="1"/>
                <w:szCs w:val="1"/>
                <w:color w:val="auto"/>
              </w:rPr>
            </w:pPr>
          </w:p>
        </w:tc>
      </w:tr>
      <w:tr>
        <w:trPr>
          <w:trHeight w:val="213"/>
        </w:trPr>
        <w:tc>
          <w:tcPr>
            <w:tcW w:w="3880" w:type="dxa"/>
            <w:vAlign w:val="bottom"/>
            <w:gridSpan w:val="2"/>
          </w:tcPr>
          <w:p>
            <w:pPr>
              <w:ind w:left="1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(81,286)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(81,286)</w:t>
            </w:r>
          </w:p>
        </w:tc>
        <w:tc>
          <w:tcPr>
            <w:tcW w:w="0" w:type="dxa"/>
            <w:vAlign w:val="bottom"/>
          </w:tcPr>
          <w:p>
            <w:pPr>
              <w:spacing w:after="0"/>
              <w:rPr>
                <w:sz w:val="1"/>
                <w:szCs w:val="1"/>
                <w:color w:val="auto"/>
              </w:rPr>
            </w:pPr>
          </w:p>
        </w:tc>
      </w:tr>
      <w:tr>
        <w:trPr>
          <w:trHeight w:val="169"/>
        </w:trPr>
        <w:tc>
          <w:tcPr>
            <w:tcW w:w="388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6"/>
                <w:szCs w:val="16"/>
                <w:color w:val="auto"/>
                <w:w w:val="92"/>
              </w:rPr>
              <w:t>Tax withholding payments for net settlement of employee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(182,265)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(182,265)</w:t>
            </w: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880" w:type="dxa"/>
            <w:vAlign w:val="bottom"/>
            <w:gridSpan w:val="2"/>
          </w:tcPr>
          <w:p>
            <w:pPr>
              <w:ind w:left="120"/>
              <w:spacing w:after="0" w:line="166" w:lineRule="exact"/>
              <w:rPr>
                <w:sz w:val="20"/>
                <w:szCs w:val="20"/>
                <w:color w:val="auto"/>
              </w:rPr>
            </w:pPr>
            <w:r>
              <w:rPr>
                <w:rFonts w:ascii="Arial" w:cs="Arial" w:eastAsia="Arial" w:hAnsi="Arial"/>
                <w:sz w:val="16"/>
                <w:szCs w:val="16"/>
                <w:color w:val="auto"/>
                <w:w w:val="99"/>
              </w:rPr>
              <w:t>Issuance of common stock upon vesting of employee</w:t>
            </w:r>
          </w:p>
        </w:tc>
        <w:tc>
          <w:tcPr>
            <w:tcW w:w="1100" w:type="dxa"/>
            <w:vAlign w:val="bottom"/>
            <w:gridSpan w:val="4"/>
            <w:vMerge w:val="restart"/>
          </w:tcPr>
          <w:p>
            <w:pPr>
              <w:jc w:val="right"/>
              <w:ind w:right="60"/>
              <w:spacing w:after="0"/>
              <w:rPr>
                <w:sz w:val="20"/>
                <w:szCs w:val="20"/>
                <w:color w:val="auto"/>
              </w:rPr>
            </w:pPr>
            <w:r>
              <w:rPr>
                <w:rFonts w:ascii="Arial" w:cs="Arial" w:eastAsia="Arial" w:hAnsi="Arial"/>
                <w:sz w:val="16"/>
                <w:szCs w:val="16"/>
                <w:color w:val="auto"/>
              </w:rPr>
              <w:t>7,081,008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80" w:type="dxa"/>
            <w:vAlign w:val="bottom"/>
            <w:gridSpan w:val="2"/>
          </w:tcPr>
          <w:p>
            <w:pPr>
              <w:ind w:left="120"/>
              <w:spacing w:after="0"/>
              <w:rPr>
                <w:sz w:val="20"/>
                <w:szCs w:val="20"/>
                <w:color w:val="auto"/>
              </w:rPr>
            </w:pPr>
            <w:r>
              <w:rPr>
                <w:rFonts w:ascii="Arial" w:cs="Arial" w:eastAsia="Arial" w:hAnsi="Arial"/>
                <w:sz w:val="16"/>
                <w:szCs w:val="16"/>
                <w:color w:val="auto"/>
              </w:rPr>
              <w:t>RSUs</w:t>
            </w:r>
          </w:p>
        </w:tc>
        <w:tc>
          <w:tcPr>
            <w:tcW w:w="110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1"/>
              </w:rPr>
              <w:t>Issuance of common stock upon exercise of stock options</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12,103,110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9,114</w:t>
            </w:r>
          </w:p>
        </w:tc>
        <w:tc>
          <w:tcPr>
            <w:tcW w:w="0" w:type="dxa"/>
            <w:vAlign w:val="bottom"/>
          </w:tcPr>
          <w:p>
            <w:pPr>
              <w:spacing w:after="0"/>
              <w:rPr>
                <w:sz w:val="1"/>
                <w:szCs w:val="1"/>
                <w:color w:val="auto"/>
              </w:rPr>
            </w:pPr>
          </w:p>
        </w:tc>
      </w:tr>
      <w:tr>
        <w:trPr>
          <w:trHeight w:val="213"/>
        </w:trPr>
        <w:tc>
          <w:tcPr>
            <w:tcW w:w="3880" w:type="dxa"/>
            <w:vAlign w:val="bottom"/>
            <w:gridSpan w:val="2"/>
          </w:tcPr>
          <w:p>
            <w:pPr>
              <w:ind w:left="120"/>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174,551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174,551</w:t>
            </w:r>
          </w:p>
        </w:tc>
        <w:tc>
          <w:tcPr>
            <w:tcW w:w="0" w:type="dxa"/>
            <w:vAlign w:val="bottom"/>
          </w:tcPr>
          <w:p>
            <w:pPr>
              <w:spacing w:after="0"/>
              <w:rPr>
                <w:sz w:val="1"/>
                <w:szCs w:val="1"/>
                <w:color w:val="auto"/>
              </w:rPr>
            </w:pPr>
          </w:p>
        </w:tc>
      </w:tr>
      <w:tr>
        <w:trPr>
          <w:trHeight w:val="238"/>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1,666,739,708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$ 9,997,176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(6,147,158)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3,829,469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85"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Three Months Ended</w:t>
      </w: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(779,528)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(81,286)</w:t>
            </w: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38,242</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insurance premium</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Non-cash operating lease cost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4,104</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174,551</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Inventory and firm purchase commitments write-downs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227,048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96,366</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of common stock warrant liability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(523,330)</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Other non-cash items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1,255</w:t>
            </w: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2,281</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(303,022)</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20,523</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current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(49,625)</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Other noncurrent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(11,175)</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5,713</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(3,607)</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liability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128,060</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207"/>
        </w:trPr>
        <w:tc>
          <w:tcPr>
            <w:tcW w:w="84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(801,264)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(494,649)</w:t>
            </w: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(241,770)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(185,082)</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Purchases of 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(842,538)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Proceeds from maturities of investments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1,041,151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sale of 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Proceeds from insurance claims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(28,716)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(185,082)</w:t>
            </w:r>
          </w:p>
        </w:tc>
      </w:tr>
      <w:tr>
        <w:trPr>
          <w:trHeight w:val="193"/>
        </w:trPr>
        <w:tc>
          <w:tcPr>
            <w:tcW w:w="8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Payment for short-term insurance financing note</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(12,949)</w:t>
            </w:r>
          </w:p>
        </w:tc>
      </w:tr>
      <w:tr>
        <w:trPr>
          <w:trHeight w:val="213"/>
        </w:trPr>
        <w:tc>
          <w:tcPr>
            <w:tcW w:w="8440" w:type="dxa"/>
            <w:vAlign w:val="bottom"/>
          </w:tcPr>
          <w:p>
            <w:pPr>
              <w:ind w:left="160"/>
              <w:spacing w:after="0"/>
              <w:rPr>
                <w:sz w:val="20"/>
                <w:szCs w:val="20"/>
                <w:color w:val="auto"/>
              </w:rPr>
            </w:pPr>
            <w:r>
              <w:rPr>
                <w:rFonts w:ascii="Arial" w:cs="Arial" w:eastAsia="Arial" w:hAnsi="Arial"/>
                <w:sz w:val="16"/>
                <w:szCs w:val="16"/>
                <w:color w:val="auto"/>
              </w:rPr>
              <w:t>Payment for finance lease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(1,201)</w:t>
            </w:r>
          </w:p>
        </w:tc>
      </w:tr>
      <w:tr>
        <w:trPr>
          <w:trHeight w:val="219"/>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9,114</w:t>
            </w:r>
          </w:p>
        </w:tc>
      </w:tr>
      <w:tr>
        <w:trPr>
          <w:trHeight w:val="213"/>
        </w:trPr>
        <w:tc>
          <w:tcPr>
            <w:tcW w:w="84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Tax withholding payments for net settlement of employee awards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(182,265)</w:t>
            </w:r>
          </w:p>
        </w:tc>
      </w:tr>
      <w:tr>
        <w:trPr>
          <w:trHeight w:val="213"/>
        </w:trPr>
        <w:tc>
          <w:tcPr>
            <w:tcW w:w="8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(187,301)</w:t>
            </w:r>
          </w:p>
        </w:tc>
      </w:tr>
      <w:tr>
        <w:trPr>
          <w:trHeight w:val="206"/>
        </w:trPr>
        <w:tc>
          <w:tcPr>
            <w:tcW w:w="844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(835,725)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(867,032)</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Beginning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1,737,320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6,298,020</w:t>
            </w: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Ending cash, cash equivalents, and restricted cash</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901,595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5,430,988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 net of amounts capitalized</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13"/>
        </w:trPr>
        <w:tc>
          <w:tcPr>
            <w:tcW w:w="844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Decrease in purchases of property, plant and equipment included in Accounts payable and other current liabilities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w:t>
            </w:r>
          </w:p>
        </w:tc>
      </w:tr>
      <w:tr>
        <w:trPr>
          <w:trHeight w:val="210"/>
        </w:trPr>
        <w:tc>
          <w:tcPr>
            <w:tcW w:w="8440" w:type="dxa"/>
            <w:vAlign w:val="bottom"/>
          </w:tcPr>
          <w:p>
            <w:pPr>
              <w:spacing w:after="0"/>
              <w:rPr>
                <w:sz w:val="20"/>
                <w:szCs w:val="20"/>
                <w:color w:val="auto"/>
              </w:rPr>
            </w:pPr>
            <w:r>
              <w:rPr>
                <w:rFonts w:ascii="Arial" w:cs="Arial" w:eastAsia="Arial" w:hAnsi="Arial"/>
                <w:sz w:val="16"/>
                <w:szCs w:val="16"/>
                <w:color w:val="auto"/>
              </w:rPr>
              <w:t>Property, plant and equipment and right-of-use assets obtained through leases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3,862</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80"/>
          </w:cols>
          <w:pgMar w:left="360" w:top="985" w:right="359" w:bottom="1440" w:gutter="0" w:footer="0" w:header="0"/>
        </w:sect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85" w:right="35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Lucid Group, Inc. (“Lucid”) is a technology and automotive company focused on designing, developing, manufacturing, and selling the next generation of electric vehicles (“EV”), EV powertrains and battery systems.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w:t>
      </w:r>
    </w:p>
    <w:p>
      <w:pPr>
        <w:spacing w:after="0" w:line="176"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devotes its efforts to business planning, selling and servicing of vehicles, research and development, construction and expansion of manufacturing facilities, expansion of retail studios and service center capacities, recruiting of management and technical staff, acquiring operating assets, and raising capital.</w:t>
      </w:r>
    </w:p>
    <w:p>
      <w:pPr>
        <w:spacing w:after="0" w:line="1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 xml:space="preserve">From inception through March 31, 2023, the Company had incurred operating losses and negative cash flows from operating activities. For the three months </w:t>
      </w:r>
      <w:r>
        <w:rPr>
          <w:rFonts w:ascii="Arial" w:cs="Arial" w:eastAsia="Arial" w:hAnsi="Arial"/>
          <w:sz w:val="18"/>
          <w:szCs w:val="18"/>
          <w:color w:val="242424"/>
        </w:rPr>
        <w:t>ended</w:t>
      </w:r>
      <w:r>
        <w:rPr>
          <w:rFonts w:ascii="Arial" w:cs="Arial" w:eastAsia="Arial" w:hAnsi="Arial"/>
          <w:sz w:val="18"/>
          <w:szCs w:val="18"/>
          <w:color w:val="auto"/>
        </w:rPr>
        <w:t xml:space="preserve"> March 31, 2023 and 2022, the Company has incurred net losses of $779.5 million and $81.3 million, respectively. The Company had an accumulated deficit of $8.1 billion as of March 31, 2023.</w:t>
      </w:r>
    </w:p>
    <w:p>
      <w:pPr>
        <w:spacing w:after="0" w:line="1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2021, the Company completed the first phase of the construction of its Advanced Manufacturing Plant 1 in Casa Grande, Arizona (“AMP-1”). The Company began commercial production of its first vehicle, the Lucid Air, in September 2021 and delivered its first vehicles in late October 2021. The Company continues to expand AMP-1, construct its planned Advanced Manufacturing Plant 2 in Saudi Arabia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existing sources of liquidity include cash, cash equivalents, investments, credit facilities and equity offering.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principal amount of $2,012.5 million of 1.25% convertible senior notes due in December 2026.</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2022, the Company entered into a loan agreement with the Saudi Industrial Development Fund (“SIDF”) with an aggregate principal amount of up to approximately $1.4 billion, a new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2023, the Company amended the GIB Facility Agreement (together with the GIB Facility Agreement, the “Amended GIB Facility Agreement”) to combine the Bridge Facility and the Working Capital Facility into a committed $266.4 million revolving credit facility (the “GIB Credit Facility”), which will bear interest at a rate of 1.40% per annum over SAIBOR (based on the term of borrowing) and associated fees. See Note 6 “Debt” for more information.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ind w:right="100"/>
        <w:spacing w:after="0" w:line="290" w:lineRule="auto"/>
        <w:rPr>
          <w:sz w:val="20"/>
          <w:szCs w:val="20"/>
          <w:color w:val="auto"/>
        </w:rPr>
      </w:pPr>
      <w:r>
        <w:rPr>
          <w:rFonts w:ascii="Arial" w:cs="Arial" w:eastAsia="Arial" w:hAnsi="Arial"/>
          <w:sz w:val="16"/>
          <w:szCs w:val="16"/>
          <w:color w:val="auto"/>
        </w:rPr>
        <w:t>On November 8,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Subscription Agreement for $915.0 million. No shares remain available for sale under the Equity Distribution Agreement. See Note 8 “Stockholders’ Equity” for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expanding production and manufacturing at existing manufacturing facilities in Casa Grande, Arizona, (iv) phase 2 of construction at AMP-1 in Casa Grande, Arizona, (v) construction of AMP-2 in Saudi Arabia, and (vi) expansion of its retail studios and service centers capabilities throughout North America and across the globe. The Company is subject to the risks associated with such activities, including the need to further develop its technology, its marketing, and distribution channels; further develop its supply chain and manufacturing; and hire additional management and other key employees. Successful completion of the Company’s development program and, ultimately, the attainment of profitable operations are dependent upon future events, including our ability to access potential markets, and secure long-term financing.</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spacing w:after="0" w:line="215" w:lineRule="exact"/>
        <w:rPr>
          <w:sz w:val="20"/>
          <w:szCs w:val="20"/>
          <w:color w:val="auto"/>
        </w:rPr>
      </w:pPr>
    </w:p>
    <w:p>
      <w:pPr>
        <w:jc w:val="both"/>
        <w:ind w:right="360"/>
        <w:spacing w:after="0" w:line="287" w:lineRule="auto"/>
        <w:rPr>
          <w:sz w:val="20"/>
          <w:szCs w:val="20"/>
          <w:color w:val="auto"/>
        </w:rPr>
      </w:pPr>
      <w:r>
        <w:rPr>
          <w:rFonts w:ascii="Arial" w:cs="Arial" w:eastAsia="Arial" w:hAnsi="Arial"/>
          <w:sz w:val="16"/>
          <w:szCs w:val="16"/>
          <w:color w:val="auto"/>
        </w:rPr>
        <w:t>A global economic recession or other downturn, whether due to inflation, ongoing conflict in Ukraine or other geopolitical events, COVID-19 or other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w:t>
      </w:r>
    </w:p>
    <w:p>
      <w:pPr>
        <w:spacing w:after="0" w:line="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Adverse economic conditions as well as uncertainty about the current and future global economic conditions may cause the Company’s customers to defer purchases or cancel their reservations and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global credit markets may limit the Company’s ability to obtain external financing to fund its operations and capital expenditures on terms favorable to the Company, if at all. See “Risk Factors” in Part II, Item 1A of this Quarterly Report on Form 10-Q (the “Quarterly Report”) for more information regarding risks associated with a global economic recession, including under the caption “</w:t>
      </w:r>
      <w:r>
        <w:rPr>
          <w:rFonts w:ascii="Arial" w:cs="Arial" w:eastAsia="Arial" w:hAnsi="Arial"/>
          <w:sz w:val="17"/>
          <w:szCs w:val="17"/>
          <w:i w:val="1"/>
          <w:iCs w:val="1"/>
          <w:color w:val="231F20"/>
        </w:rPr>
        <w:t>A global economic recession, government closures of banks and liquidity</w:t>
      </w:r>
      <w:r>
        <w:rPr>
          <w:rFonts w:ascii="Arial" w:cs="Arial" w:eastAsia="Arial" w:hAnsi="Arial"/>
          <w:sz w:val="17"/>
          <w:szCs w:val="17"/>
          <w:color w:val="auto"/>
        </w:rPr>
        <w:t xml:space="preserve"> </w:t>
      </w:r>
      <w:r>
        <w:rPr>
          <w:rFonts w:ascii="Arial" w:cs="Arial" w:eastAsia="Arial" w:hAnsi="Arial"/>
          <w:sz w:val="17"/>
          <w:szCs w:val="17"/>
          <w:i w:val="1"/>
          <w:iCs w:val="1"/>
          <w:color w:val="231F20"/>
        </w:rPr>
        <w:t>concerns at other financial institutions, or other downturn may have a material adverse impact on our business, prospects, results of operations and financial condition</w:t>
      </w:r>
      <w:r>
        <w:rPr>
          <w:rFonts w:ascii="Arial" w:cs="Arial" w:eastAsia="Arial" w:hAnsi="Arial"/>
          <w:sz w:val="17"/>
          <w:szCs w:val="17"/>
          <w:i w:val="1"/>
          <w:iCs w:val="1"/>
          <w:color w:val="000000"/>
        </w:rPr>
        <w:t>.</w:t>
      </w:r>
      <w:r>
        <w:rPr>
          <w:rFonts w:ascii="Arial" w:cs="Arial" w:eastAsia="Arial" w:hAnsi="Arial"/>
          <w:sz w:val="17"/>
          <w:szCs w:val="17"/>
          <w:color w:val="000000"/>
        </w:rPr>
        <w:t>”</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COVID-19 pandemic has impacted the global economy and caused significant macroeconomic uncertainty. Infection rates vary across the jurisdictions in which the Company operates. Broader impacts of the pandemic have included inflationary pressure as well as ongoing, industry-wide challenges in logistics and supply chains, such as increased supplier lead times and ongoing constraints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impact its cost structure as well as its ability and the ability of its suppliers to obtain parts, components and manufacturing equipment on a timely basis for the foreseeable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jc w:val="both"/>
        <w:ind w:right="140"/>
        <w:spacing w:after="0" w:line="301" w:lineRule="auto"/>
        <w:rPr>
          <w:sz w:val="20"/>
          <w:szCs w:val="20"/>
          <w:color w:val="auto"/>
        </w:rPr>
      </w:pPr>
      <w:r>
        <w:rPr>
          <w:rFonts w:ascii="Arial" w:cs="Arial" w:eastAsia="Arial" w:hAnsi="Arial"/>
          <w:sz w:val="16"/>
          <w:szCs w:val="16"/>
          <w:color w:val="auto"/>
        </w:rPr>
        <w:t>In the current circumstances, any impact on the Company’s financial condition, results of operations or cash flows in the future continues to be difficult to estimate and predict, as it depends on future events that are highly uncertain and cannot be predicted with accuracy. See “Risk Factors” in Part II, Item 1A of this Quarterly Report for additional information regarding risks associated with the COVID-19 pandemic, including under the caption “</w:t>
      </w:r>
      <w:r>
        <w:rPr>
          <w:rFonts w:ascii="Arial" w:cs="Arial" w:eastAsia="Arial" w:hAnsi="Arial"/>
          <w:sz w:val="16"/>
          <w:szCs w:val="16"/>
          <w:i w:val="1"/>
          <w:iCs w:val="1"/>
          <w:color w:val="auto"/>
        </w:rPr>
        <w:t>The COVID-19</w:t>
      </w:r>
      <w:r>
        <w:rPr>
          <w:rFonts w:ascii="Arial" w:cs="Arial" w:eastAsia="Arial" w:hAnsi="Arial"/>
          <w:sz w:val="16"/>
          <w:szCs w:val="16"/>
          <w:color w:val="auto"/>
        </w:rPr>
        <w:t xml:space="preserve"> </w:t>
      </w:r>
      <w:r>
        <w:rPr>
          <w:rFonts w:ascii="Arial" w:cs="Arial" w:eastAsia="Arial" w:hAnsi="Arial"/>
          <w:sz w:val="16"/>
          <w:szCs w:val="16"/>
          <w:i w:val="1"/>
          <w:iCs w:val="1"/>
          <w:color w:val="auto"/>
        </w:rPr>
        <w:t>pandemic has adversely affected, and we cannot predict its ultimate impact on, our business, prospects, results of operations and financial condition.</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28, 2023.</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March 31, 2023 and the results of operations for the three months ended March 31, 2023 and 2022. The results of operations for the three months ended March 31, 2023 are not necessarily indicative of the results to be expected for the full year ending December 31, 2023 or any other future interim or annual period.</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estimates of residual value guarantee (“RVG”) liability and deferred revenue related to over-the-air (“OTA”) software updates, fair value of common stock prior to the Merger and other assumptions used to measure stock-based compensation expense, and estimated incremental borrowing rates for assessing operating and financing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prior period balances have been reclassified to conform to the current period presentation in the condensed consolidated financial statements and the accompanying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with an original maturity at the date of purchase of three months or less to be cash equivalents.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Restricted cash in other current assets and other noncurrent assets is primarily related to letters of credit issued to the landlords for certain of the Company’s leased facilities.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amounts shown in the statements of cash flows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2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900,038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5,391,844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6,262,905</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901,595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1,737,320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5,430,988</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6,298,020</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 places its cash primarily with domestic financial institutions that are federally insured within statutory limits, but at times its deposits may exceed federally 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Supply Risk</w:t>
      </w:r>
    </w:p>
    <w:p>
      <w:pPr>
        <w:spacing w:after="0" w:line="229"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 without Residual Value Guarantee</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4 years.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At the time of revenue recognition, we reduce the transaction price and record a sales return reserve against revenue for estimated variable consideration related to future product returns. Such return rate estimates are based on historical experience and were not material for the three months ended March 31,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 with Residual Value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an RVG to its commercial banking partner in connection with its vehicle leasing program. Vehicle sales with RVG totaled</w:t>
      </w:r>
    </w:p>
    <w:p>
      <w:pPr>
        <w:spacing w:after="0" w:line="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$18.7 million and nil during the three months ended March 31, 2023 and 2022.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w:t>
      </w:r>
      <w:r>
        <w:rPr>
          <w:rFonts w:ascii="Arial" w:cs="Arial" w:eastAsia="Arial" w:hAnsi="Arial"/>
          <w:sz w:val="18"/>
          <w:szCs w:val="18"/>
          <w:color w:val="333333"/>
        </w:rPr>
        <w:t>OTA</w:t>
      </w:r>
      <w:r>
        <w:rPr>
          <w:rFonts w:ascii="Arial" w:cs="Arial" w:eastAsia="Arial" w:hAnsi="Arial"/>
          <w:sz w:val="18"/>
          <w:szCs w:val="18"/>
          <w:color w:val="auto"/>
        </w:rPr>
        <w:t xml:space="preserve"> software updates and remarketing activities, in proportion to the standalone selling price of the Company’s performance obligations.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residual value guarantee liability. As of March 31, 2023 and December 31, 2022, the RVG liability was not material.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Deferred revenue related to OTA and remarketing activities for vehicle sales were $18.5 million and $15.4 million as of March 31, 2023 and December 31,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Other consists of revenue from non-warranty after-sales vehicle services and parts, sales of battery pack system, powertrain kits and retail merchandise.</w:t>
      </w:r>
    </w:p>
    <w:p>
      <w:pPr>
        <w:sectPr>
          <w:pgSz w:w="11900" w:h="16838" w:orient="portrait"/>
          <w:cols w:equalWidth="0" w:num="1">
            <w:col w:w="11240"/>
          </w:cols>
          <w:pgMar w:left="320" w:top="989" w:right="33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restructuring charges primarily consist of severance payments, employee benefits, employee transition and stock-based compensation expenses associated with management-approved restructuring plan. One-time employee termination benefits are recognized at the time of communication to employees, unless future service is required, in which case the costs are recognized over the future service period. Ongoing employee termination benefits are recognized when payments are probable and amounts are reasonably estimable. Other costs are recognized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Except for the policy described above, there have been no significant changes to accounting policies during the three months ended March 31,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RESTRUCTURING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28, 2023, the Company announced a restructuring plan (the “Restructuring Plan”) intended to reduce operating expenses in response to evolving business needs and productivity improvement through a reduction in workforce. The Company expects to substantially complete the Restructuring Plan by the end of the second quarter of 2023, subject to local law and consultation requirements. As a result of the Restructuring Plan, the Company expects to record total restructuring charges of approximately $24 million, primarily related to severance payments, employee benefits, employee transition and stock-based compensation.</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three months ended March 31, 2023, the Company recorded charges of $22.5 million related to severance payments, employee benefits and stock-based compensation, net of a reversal of previously recognized stock-based compensation expense. These charges were recorded within restructuring charges on the condensed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restructuring liabilities associated with the Restructuring Plan was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57"/>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9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March 31, 2023</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liabilities -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Restructuring charges excluding non-cash items</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23,939</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liabilities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8"/>
        <w:spacing w:after="0" w:line="278" w:lineRule="auto"/>
        <w:tabs>
          <w:tab w:leader="none" w:pos="145"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Excluded non-cash items of $1.4 million, which was net of accelerated stock-based compensation expense of $3.4 million and a reversal of $4.8 million related to previously recognized stock-based compensation expenses for unvested restricted stock awards.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2023, the restructuring liabilities of $23.9 million associated with the Restructuring Plan were included in accrued compensation on the condensed consolidated balance sheet. No payments were made during the three months ended March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March 31, 2023 and December 31, 2022 was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464,731</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34,311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411,103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335,359</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1,017,570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834,401</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Inventory was comprised of raw materials, work in progress related to the production of vehicles for sale and finished goods inventory including new vehicles available for sale and vehicles in transit to fulfill customer orders. During the three months ended March 31, 2023 and 2022, the Company recorded write-downs of $227.0 million and $96.4 million, respectively, to reduce our inventories to their net realizable values, for any excess or obsolete inventories, and losses from firm purchase commitments.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as of March 31, 2023 and December 31, 2022 was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64,677</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250,403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197,406</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Tooling and Vehicles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743,006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48,899</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182,904</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27,803</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97,992</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1,175,910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1,077,179</w:t>
            </w:r>
          </w:p>
        </w:tc>
      </w:tr>
      <w:tr>
        <w:trPr>
          <w:trHeight w:val="223"/>
        </w:trPr>
        <w:tc>
          <w:tcPr>
            <w:tcW w:w="8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Property, plant and equipment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2,646,770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2,439,866</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(323,886)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(273,090)</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2,322,884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2,166,776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installation of the asset, and bringing it to the location in the condition necessary for its intended use. No depreciation is provided for construction in progress until such time as the asset is completed and is ready for its intended use. Construction in progress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Machinery and tooling</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515,662</w:t>
            </w:r>
          </w:p>
        </w:tc>
      </w:tr>
      <w:tr>
        <w:trPr>
          <w:trHeight w:val="229"/>
        </w:trPr>
        <w:tc>
          <w:tcPr>
            <w:tcW w:w="8600" w:type="dxa"/>
            <w:vAlign w:val="bottom"/>
          </w:tcPr>
          <w:p>
            <w:pPr>
              <w:ind w:left="20"/>
              <w:spacing w:after="0" w:line="230" w:lineRule="exact"/>
              <w:rPr>
                <w:sz w:val="20"/>
                <w:szCs w:val="20"/>
                <w:color w:val="auto"/>
              </w:rPr>
            </w:pPr>
            <w:r>
              <w:rPr>
                <w:rFonts w:ascii="Arial" w:cs="Arial" w:eastAsia="Arial" w:hAnsi="Arial"/>
                <w:sz w:val="18"/>
                <w:szCs w:val="18"/>
                <w:color w:val="auto"/>
              </w:rPr>
              <w:t>Construction of AMP-1 and AMP-2</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518,169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526,720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34,797</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construction in progress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1,175,910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1,077,179</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40" w:firstLine="8"/>
        <w:spacing w:after="0" w:line="293" w:lineRule="auto"/>
        <w:tabs>
          <w:tab w:leader="none" w:pos="132" w:val="left"/>
        </w:tabs>
        <w:numPr>
          <w:ilvl w:val="0"/>
          <w:numId w:val="6"/>
        </w:numPr>
        <w:rPr>
          <w:rFonts w:ascii="Arial" w:cs="Arial" w:eastAsia="Arial" w:hAnsi="Arial"/>
          <w:sz w:val="9"/>
          <w:szCs w:val="9"/>
          <w:color w:val="auto"/>
        </w:rPr>
      </w:pPr>
      <w:r>
        <w:rPr>
          <w:rFonts w:ascii="Arial" w:cs="Arial" w:eastAsia="Arial" w:hAnsi="Arial"/>
          <w:sz w:val="14"/>
          <w:szCs w:val="14"/>
          <w:color w:val="auto"/>
        </w:rPr>
        <w:t>As of March 31, 2023 and December 31, 2022, $50.8 million and $33.3 million of capital expenditure support received from Ministry of Investment of Saudi Arabia (“MISA”) was recorded as a deduction to the AMP-2 construction in progress balance, respectively. See Note 15 “Related Party Transactions” for more information.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was $49.8 million and $38.2 million for the three months ended March 31, 2023 and 2022, respectively. The amount of interest capitalized on construction in progress related to significant capital asset construction was $1.8 million and nil for the three months ended March 31, 2023 and 2022,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as of March 31, 2023 and December 31, 2022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design, and testing accrual</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155,764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167,462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Accrued purchases</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157,162</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Retail leasehold improvements accrual</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professional services accrual</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Tooling liability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21,714</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11,269</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Reserve for loss on firm commitments</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22,640</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Accrued warranty liability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161,525</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634,567</w:t>
            </w:r>
          </w:p>
        </w:tc>
        <w:tc>
          <w:tcPr>
            <w:tcW w:w="0" w:type="dxa"/>
            <w:vAlign w:val="bottom"/>
          </w:tcPr>
          <w:p>
            <w:pPr>
              <w:spacing w:after="0"/>
              <w:rPr>
                <w:sz w:val="1"/>
                <w:szCs w:val="1"/>
                <w:color w:val="auto"/>
              </w:rPr>
            </w:pPr>
          </w:p>
        </w:tc>
      </w:tr>
      <w:tr>
        <w:trPr>
          <w:trHeight w:val="21"/>
        </w:trPr>
        <w:tc>
          <w:tcPr>
            <w:tcW w:w="8580" w:type="dxa"/>
            <w:vAlign w:val="bottom"/>
            <w:vMerge w:val="restart"/>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Primarily represent accruals for inventory related purchases and transportation charges that had not been invoiced.</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580" w:type="dxa"/>
            <w:vAlign w:val="bottom"/>
          </w:tcPr>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Primarily represent reserve for losses on firm inventory purchase commitments.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Other long-term liabilities as of March 31, 2023 and December 31, 2022 were as follows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243,843</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3"/>
                <w:szCs w:val="23"/>
                <w:color w:val="auto"/>
                <w:vertAlign w:val="superscript"/>
              </w:rPr>
              <w:t>(1)</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121,182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134,369</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360,770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378,212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40" w:firstLine="8"/>
        <w:spacing w:after="0" w:line="351" w:lineRule="auto"/>
        <w:tabs>
          <w:tab w:leader="none" w:pos="132"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As of March 31, 2023 and December 31, 2022, $46.5 million and $64.0 million of capital expenditure support received from MISA was recorded as deferred liability within other long-term liabilities, respectively. See Note 15 “Related Party Transactions” for more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warranty activities consisted of the following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March 31, 2023</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warranty -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8"/>
              </w:rPr>
              <w:t>22,949</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160" w:type="dxa"/>
            <w:vAlign w:val="bottom"/>
          </w:tcPr>
          <w:p>
            <w:pPr>
              <w:spacing w:after="0"/>
              <w:rPr>
                <w:sz w:val="19"/>
                <w:szCs w:val="19"/>
                <w:color w:val="auto"/>
              </w:rPr>
            </w:pPr>
          </w:p>
        </w:tc>
        <w:tc>
          <w:tcPr>
            <w:tcW w:w="1540" w:type="dxa"/>
            <w:vAlign w:val="bottom"/>
          </w:tcPr>
          <w:p>
            <w:pPr>
              <w:ind w:left="980"/>
              <w:spacing w:after="0"/>
              <w:rPr>
                <w:sz w:val="20"/>
                <w:szCs w:val="20"/>
                <w:color w:val="auto"/>
              </w:rPr>
            </w:pPr>
            <w:r>
              <w:rPr>
                <w:rFonts w:ascii="Arial" w:cs="Arial" w:eastAsia="Arial" w:hAnsi="Arial"/>
                <w:sz w:val="18"/>
                <w:szCs w:val="18"/>
                <w:color w:val="auto"/>
                <w:w w:val="94"/>
              </w:rPr>
              <w:t>(8,260)</w:t>
            </w:r>
          </w:p>
        </w:tc>
      </w:tr>
      <w:tr>
        <w:trPr>
          <w:trHeight w:val="229"/>
        </w:trPr>
        <w:tc>
          <w:tcPr>
            <w:tcW w:w="9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Provision for warranty</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8"/>
              </w:rPr>
              <w:t>11,186</w:t>
            </w:r>
          </w:p>
        </w:tc>
      </w:tr>
      <w:tr>
        <w:trPr>
          <w:trHeight w:val="223"/>
        </w:trPr>
        <w:tc>
          <w:tcPr>
            <w:tcW w:w="95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Accrued warranty - end of period</w:t>
            </w:r>
            <w:r>
              <w:rPr>
                <w:rFonts w:ascii="Arial" w:cs="Arial" w:eastAsia="Arial" w:hAnsi="Arial"/>
                <w:sz w:val="23"/>
                <w:szCs w:val="23"/>
                <w:b w:val="1"/>
                <w:bCs w:val="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8"/>
              </w:rPr>
              <w:t>25,875</w:t>
            </w:r>
          </w:p>
        </w:tc>
      </w:tr>
      <w:tr>
        <w:trPr>
          <w:trHeight w:val="20"/>
        </w:trPr>
        <w:tc>
          <w:tcPr>
            <w:tcW w:w="9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Accrued warranty balance as of March 31, 2023 included estimated costs related to the recalls identified.</w:t>
      </w:r>
    </w:p>
    <w:p>
      <w:pPr>
        <w:spacing w:after="0" w:line="5" w:lineRule="exact"/>
        <w:rPr>
          <w:rFonts w:ascii="Arial" w:cs="Arial" w:eastAsia="Arial" w:hAnsi="Arial"/>
          <w:sz w:val="16"/>
          <w:szCs w:val="16"/>
          <w:color w:val="auto"/>
          <w:vertAlign w:val="superscript"/>
        </w:rPr>
      </w:pPr>
    </w:p>
    <w:p>
      <w:pPr>
        <w:ind w:right="140" w:firstLine="8"/>
        <w:spacing w:after="0"/>
        <w:tabs>
          <w:tab w:leader="none" w:pos="132"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Accrued warranty balance of $10.8 million and $15.1 million were recorded within other current liabilities and other long-term liabilities, respectively, on our condensed consolidated balance sheet as of March 31, 2023.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 FAIR VALUE MEASUREMENTS AND FINANCIAL INSTRUMENTS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9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cash equivalents and investments are reported at their respective fair values on the Company's consolidated balance sheets. The Company's short-term and long-term investments are classified as available-for-sale securities.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subject to fair value measurements on a recurring basis by level within the fair value hierarchy as of March 31, 2023 and December 31, 2022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8"/>
              </w:rPr>
              <w:t>Gross</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 Fair</w:t>
            </w:r>
          </w:p>
        </w:tc>
        <w:tc>
          <w:tcPr>
            <w:tcW w:w="10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06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356,602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356,602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1,767,064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1,761,417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1,443,875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257,766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2,201,906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2,196,259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1,443,875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257,766</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110,151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418,602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196,039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183,961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867,281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634,502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183,961</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3,427,679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3,420,142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900,038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2,078,377</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441,727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0"/>
                <w:szCs w:val="10"/>
                <w:color w:val="auto"/>
              </w:rPr>
            </w:pPr>
          </w:p>
        </w:tc>
        <w:tc>
          <w:tcPr>
            <w:tcW w:w="840" w:type="dxa"/>
            <w:vAlign w:val="bottom"/>
          </w:tcPr>
          <w:p>
            <w:pPr>
              <w:jc w:val="center"/>
              <w:ind w:right="34"/>
              <w:spacing w:after="0" w:line="126"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Estimated Fair</w:t>
            </w: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40" w:type="dxa"/>
            <w:vAlign w:val="bottom"/>
          </w:tcPr>
          <w:p>
            <w:pPr>
              <w:jc w:val="center"/>
              <w:ind w:right="34"/>
              <w:spacing w:after="0" w:line="14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7"/>
                <w:szCs w:val="17"/>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1,377,540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1,377,540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1,377,540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1,861,449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1,852,169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1,570,591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281,578</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3,238,989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3,229,709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1,377,540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1,570,591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281,578</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173,972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438,148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170,759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248,396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891,594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606,640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248,396</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4,454,542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4,442,970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1,735,765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2,177,231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529,974</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March 31, 2023 and 2022, there were immaterial and no realized gains or losses on the sale of available-for-sale securities, respectively. Accrued interest receivable excluded from both the fair value and amortized cost basis of the available-for-sale securities was $5.8 million and $7.5 million as of March 31, 2023 and December 31, 2022, respectively, and was recorded in other current assets on our condensed consolidated balance sheets. As of March 31, 2023 and December 31, 2022, no allowance for credit losses was recorded related to an impairment of available-for-sale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available-for-sale securities by contractual maturity: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5"/>
        </w:trPr>
        <w:tc>
          <w:tcPr>
            <w:tcW w:w="9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918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96"/>
        </w:trPr>
        <w:tc>
          <w:tcPr>
            <w:tcW w:w="9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9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2,083,917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2,078,377</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one year through three years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441,727</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2,527,640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2,520,104</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3 liabilities consist of common stock warrant liability of which the fair value was measured upon issuance and is remeasured at each reporting date. Level 3 liabilities also consist of residual value guarantee liabilities, of which the fair value measurement is nonrecurring and measured upon delivery of vehicles. The valuation methodology and underlying assumptions are discussed further in Note 2 “Summary of Significant Accounting Policies” and Note 7 “Common Stock Warrant Liability”. Significant increases (decreases) in the unobservable inputs used in determining the fair value would result in a significantly higher (lower) fair value measurement. The following table presents a reconciliation of the common stock warrant liability measured and recorded at fair value on a recurring basis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1,394,808</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value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(523,330)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871,478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ectPr>
          <w:pgSz w:w="11900" w:h="16838" w:orient="portrait"/>
          <w:cols w:equalWidth="0" w:num="1">
            <w:col w:w="11240"/>
          </w:cols>
          <w:pgMar w:left="320" w:top="1021"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18" w:name="page19"/>
    <w:bookmarkEnd w:id="18"/>
    <w:p>
      <w:pPr>
        <w:ind w:right="60"/>
        <w:spacing w:after="0" w:line="269" w:lineRule="auto"/>
        <w:rPr>
          <w:sz w:val="20"/>
          <w:szCs w:val="20"/>
          <w:color w:val="auto"/>
        </w:rPr>
      </w:pPr>
      <w:r>
        <w:rPr>
          <w:rFonts w:ascii="Arial" w:cs="Arial" w:eastAsia="Arial" w:hAnsi="Arial"/>
          <w:sz w:val="17"/>
          <w:szCs w:val="17"/>
          <w:color w:val="auto"/>
        </w:rPr>
        <w:t>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16" w:lineRule="exact"/>
        <w:rPr>
          <w:sz w:val="20"/>
          <w:szCs w:val="20"/>
          <w:color w:val="auto"/>
        </w:rPr>
      </w:pPr>
    </w:p>
    <w:p>
      <w:pPr>
        <w:ind w:left="660" w:right="28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or</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70"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49"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The Company accounted for the issuance of the 2026 Notes as a single liability measured at its amortized cost, as no other embedded features require bifurcation and recognition as derivatives. The following is a summary of the 2026 Notes as of March 31, 2023 and December 31, 2022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2022</w:t>
            </w:r>
          </w:p>
        </w:tc>
      </w:tr>
      <w:tr>
        <w:trPr>
          <w:trHeight w:val="25"/>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(Level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for the convertible note is 1.5%. The components of interest expense related to the 2026 Notes were as follows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6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6"/>
                <w:szCs w:val="16"/>
                <w:color w:val="auto"/>
              </w:rPr>
            </w:pPr>
          </w:p>
        </w:tc>
      </w:tr>
      <w:tr>
        <w:trPr>
          <w:trHeight w:val="25"/>
        </w:trPr>
        <w:tc>
          <w:tcPr>
            <w:tcW w:w="8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9"/>
        </w:trPr>
        <w:tc>
          <w:tcPr>
            <w:tcW w:w="8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discounts and debt issuance costs</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2026 Notes were not eligible for conversion as of March 31, 2023 and December 31, 2022. No sinking fund is provided for the 2026 Notes, which means that the Company is not required to redeem or retire them periodically. As of March 31, 2023 and December 31, 2022, the Company was in compliance with applicable covenants under the indenture governing the 2026 Notes.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SIDF Loan Agreement</w:t>
      </w:r>
    </w:p>
    <w:p>
      <w:pPr>
        <w:spacing w:after="0" w:line="225"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350 million (approximately $93.2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73"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SIDF Loans will not bear interest. Instead, Lucid LLC will be required to pay SIDF service fees, consisting of follow-up and technical evaluation fees, ranging, in aggregate, from SAR 415 million (approximately $110.6 million) to SAR 1.77 billion (approximately $471.5 million), over the term of the SIDF Loans. SIDF Loans will be secured by security interests in the equipment, machines and assets funded thereby.</w:t>
      </w:r>
    </w:p>
    <w:p>
      <w:pPr>
        <w:spacing w:after="0" w:line="165"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Arial" w:cs="Arial" w:eastAsia="Arial" w:hAnsi="Arial"/>
          <w:sz w:val="16"/>
          <w:szCs w:val="16"/>
          <w:color w:val="242424"/>
        </w:rPr>
        <w:t>As of</w:t>
      </w:r>
      <w:r>
        <w:rPr>
          <w:rFonts w:ascii="Arial" w:cs="Arial" w:eastAsia="Arial" w:hAnsi="Arial"/>
          <w:sz w:val="16"/>
          <w:szCs w:val="16"/>
          <w:color w:val="auto"/>
        </w:rPr>
        <w:t xml:space="preserve"> March 31, 2023 and December 31, 2022, no amount </w:t>
      </w:r>
      <w:r>
        <w:rPr>
          <w:rFonts w:ascii="Arial" w:cs="Arial" w:eastAsia="Arial" w:hAnsi="Arial"/>
          <w:sz w:val="16"/>
          <w:szCs w:val="16"/>
          <w:color w:val="242424"/>
        </w:rPr>
        <w:t>was outstanding under the SIDF Loan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GIB Facility Agreement</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April 29, 2022, Lucid LLC entered into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Loans under the Bridge Facility and the Working Capital Facility had a maturity of no more than 12 months. The Bridge Facility beared interest at a rate of 1.25% per annum over 3-month SAIBOR and the Working Capital Facility beared interest at a rate of 1.70% per annum over 1~3-month SAIBOR and associated fees.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12, 2023, Lucid LLC entered into the Amended GIB Facility Agreement to combine the Bridge Facility and the Working Capital Facility into a committed SAR 1 billion (approximately $266.4 million)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March 31, 2023, the Company had outstanding borrowings of SAR 36 million (approximately $9.6 million) with interest rate of 7.20%. As of March 31, 2023, availability under the GIB Credit Facility was SAR 963 million (approximately $256.7 million), after giving effect to the outstanding letters of credit. As of December 31, 2022, the Company had outstanding borrowings of SAR 36 million (approximately $9.6 million) with interest rate of 6.40% from the Working Capital Facility. As of December 31, 2022, available borrowings were SAR 650 million (approximately $173.0 million) and SAR 314 million (approximately $83.5 million) under the Bridge Facility and Working Capital Facility, respectively. The outstanding borrowings were recorded within other current liabilities on the condensed consolidated balance sheets. As of March 31, 2023 and December 31, 2022, the Company was in compliance with applicable covenants under the Amended GIB Facility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ABL Credit Facility</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March 31, 2023 and December 31, 2022, the Company was in compliance with applicable covenants under the ABL Credit Facility.</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of March 31, 2023 and December 31, 2022, the Company had no outstanding borrowings under the ABL Credit Facility. Outstanding letters of credit under the ABL Credit Facility were $37.9 million and $37.4 million as of March 31, 2023 and December 31, 2022, respectively. Availability under the ABL Credit Facility was $483.8 million (including $39.7 million cash and cash equivalents) and $441.4 million (including $37.3 million cash and cash equivalents) as of March 31, 2023 and December 31, 2022, respectively, after giving effect to the borrowing base and the outstanding letters of credit. The Company incurred issuance costs of $6.3 million to obtain the ABL Credit Facility, which was capitalized within other noncurrent assets on condensed consolidated balance sheets and amortized over the facility term using the straight-line method. During the three months ended March 31, 2023, amortization of the deferred issuance costs and commitment fee were immaterial.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WARRANT LIABILITY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$140.6 million as of December 31, 2022. The Private Placement Warrants remained unexercised and were remeasured to fair value of $181.4 million as of March 31, 2023. The Company recognized a loss of $40.8 million and a gain of $523.3 million for the three months ended March 31, 2023 and 2022, respectively, in the condensed consolidated statements of operations and comprehensive loss.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Private Placement Warrants that are not subject to the contingent forfeiture provisions was estimated using a Black-Scholes option pricing model, and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December 31, 2022</w:t>
            </w:r>
          </w:p>
        </w:tc>
      </w:tr>
      <w:tr>
        <w:trPr>
          <w:trHeight w:val="25"/>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Private Placement Warrants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bl>
    <w:p>
      <w:pPr>
        <w:spacing w:after="0" w:line="310"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Assumptions used in the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Black-Scholes option pricing models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2023</w:t>
            </w:r>
          </w:p>
        </w:tc>
        <w:tc>
          <w:tcPr>
            <w:tcW w:w="160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366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4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80.00 %</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3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53"/>
        </w:trPr>
        <w:tc>
          <w:tcPr>
            <w:tcW w:w="3660" w:type="dxa"/>
            <w:vAlign w:val="bottom"/>
          </w:tcPr>
          <w:p>
            <w:pPr>
              <w:spacing w:after="0"/>
              <w:rPr>
                <w:sz w:val="24"/>
                <w:szCs w:val="24"/>
                <w:color w:val="auto"/>
              </w:rPr>
            </w:pPr>
          </w:p>
        </w:tc>
        <w:tc>
          <w:tcPr>
            <w:tcW w:w="4320" w:type="dxa"/>
            <w:vAlign w:val="bottom"/>
          </w:tcPr>
          <w:p>
            <w:pPr>
              <w:jc w:val="right"/>
              <w:ind w:right="2170"/>
              <w:spacing w:after="0"/>
              <w:rPr>
                <w:sz w:val="20"/>
                <w:szCs w:val="20"/>
                <w:color w:val="auto"/>
              </w:rPr>
            </w:pPr>
            <w:r>
              <w:rPr>
                <w:rFonts w:ascii="Arial" w:cs="Arial" w:eastAsia="Arial" w:hAnsi="Arial"/>
                <w:sz w:val="18"/>
                <w:szCs w:val="18"/>
                <w:color w:val="auto"/>
              </w:rPr>
              <w:t>21</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29"/>
        </w:trPr>
        <w:tc>
          <w:tcPr>
            <w:tcW w:w="3660" w:type="dxa"/>
            <w:vAlign w:val="bottom"/>
            <w:tcBorders>
              <w:bottom w:val="single" w:sz="8" w:color="9A9A9A"/>
            </w:tcBorders>
          </w:tcPr>
          <w:p>
            <w:pPr>
              <w:spacing w:after="0"/>
              <w:rPr>
                <w:sz w:val="11"/>
                <w:szCs w:val="11"/>
                <w:color w:val="auto"/>
              </w:rPr>
            </w:pPr>
          </w:p>
        </w:tc>
        <w:tc>
          <w:tcPr>
            <w:tcW w:w="432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March 31, 2023 and December 31, 2022, there were no issued and 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2022, the Company entered into the Equity Distribution Agreement with BofA Securities, Inc., Barclays Capital Inc. and Citigroup Global Markets Inc., under which the Company could offer and sell shares of its common stock having an aggregate offering price up to $600.0 million. During the year ended December 31, 2022, the Company issued 56,203,334 shares at a weighted average price per share of $10.68 and received net proceeds of $594.3 million after deducting commissions and other issuance costs of approximately $5.7 million. No shares remain available for sale under the Equity Distribution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8, 2022, the Company also entered into the Subscription Agreement, pursuant to which Ayar agreed to purchase from the Company, up to $915.0 million of shares of its common stock in one or more private placements through March 31, 2023. In December 2022, the Company issued 85,712,679 shares to Ayar pursuant to the Subscription Agreement at a weighted average price per share of $10.68, and received aggregate proceeds of $915.0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three months ended March 31, 2023 and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reserved for future issuances as of March 31, 2023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648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Placement Warrants to purchase common stock</w:t>
            </w:r>
          </w:p>
        </w:tc>
        <w:tc>
          <w:tcPr>
            <w:tcW w:w="52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Stock options outstanding</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36,450,296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w:t>
            </w: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46,154,593</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Shares available for future grants under equity plans</w:t>
            </w:r>
          </w:p>
        </w:tc>
        <w:tc>
          <w:tcPr>
            <w:tcW w:w="6480" w:type="dxa"/>
            <w:vAlign w:val="bottom"/>
            <w:gridSpan w:val="2"/>
          </w:tcPr>
          <w:p>
            <w:pPr>
              <w:jc w:val="right"/>
              <w:spacing w:after="0"/>
              <w:rPr>
                <w:sz w:val="20"/>
                <w:szCs w:val="20"/>
                <w:color w:val="auto"/>
              </w:rPr>
            </w:pPr>
            <w:r>
              <w:rPr>
                <w:rFonts w:ascii="Arial" w:cs="Arial" w:eastAsia="Arial" w:hAnsi="Arial"/>
                <w:sz w:val="18"/>
                <w:szCs w:val="18"/>
                <w:color w:val="auto"/>
              </w:rPr>
              <w:t>19,807,360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If-converted common shares from convertible note</w:t>
            </w:r>
          </w:p>
        </w:tc>
        <w:tc>
          <w:tcPr>
            <w:tcW w:w="6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 shares of common stock reserved</w:t>
            </w:r>
          </w:p>
        </w:tc>
        <w:tc>
          <w:tcPr>
            <w:tcW w:w="52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183,500,034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200" w:type="dxa"/>
            <w:vAlign w:val="bottom"/>
            <w:vMerge w:val="restart"/>
          </w:tcPr>
          <w:p>
            <w:pPr>
              <w:jc w:val="right"/>
              <w:ind w:right="4153"/>
              <w:spacing w:after="0"/>
              <w:rPr>
                <w:sz w:val="20"/>
                <w:szCs w:val="20"/>
                <w:color w:val="auto"/>
              </w:rPr>
            </w:pPr>
            <w:r>
              <w:rPr>
                <w:rFonts w:ascii="Arial" w:cs="Arial" w:eastAsia="Arial" w:hAnsi="Arial"/>
                <w:sz w:val="18"/>
                <w:szCs w:val="18"/>
                <w:color w:val="auto"/>
              </w:rPr>
              <w:t>22</w:t>
            </w: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7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9A9A9A"/>
            </w:tcBorders>
          </w:tcPr>
          <w:p>
            <w:pPr>
              <w:spacing w:after="0"/>
              <w:rPr>
                <w:sz w:val="12"/>
                <w:szCs w:val="12"/>
                <w:color w:val="auto"/>
              </w:rPr>
            </w:pPr>
          </w:p>
        </w:tc>
        <w:tc>
          <w:tcPr>
            <w:tcW w:w="52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three months ended March 31, 2023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4"/>
          </w:tcPr>
          <w:p>
            <w:pPr>
              <w:ind w:left="960"/>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0"/>
        </w:trPr>
        <w:tc>
          <w:tcPr>
            <w:tcW w:w="5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2"/>
        </w:trPr>
        <w:tc>
          <w:tcPr>
            <w:tcW w:w="5240" w:type="dxa"/>
            <w:vAlign w:val="bottom"/>
          </w:tcPr>
          <w:p>
            <w:pPr>
              <w:spacing w:after="0"/>
              <w:rPr>
                <w:sz w:val="14"/>
                <w:szCs w:val="14"/>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Weighted Average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Remaining Contractual</w:t>
            </w:r>
          </w:p>
        </w:tc>
        <w:tc>
          <w:tcPr>
            <w:tcW w:w="180" w:type="dxa"/>
            <w:vAlign w:val="bottom"/>
          </w:tcPr>
          <w:p>
            <w:pPr>
              <w:spacing w:after="0"/>
              <w:rPr>
                <w:sz w:val="14"/>
                <w:szCs w:val="14"/>
                <w:color w:val="auto"/>
              </w:rPr>
            </w:pPr>
          </w:p>
        </w:tc>
        <w:tc>
          <w:tcPr>
            <w:tcW w:w="138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Intrinsic Value (in</w:t>
            </w:r>
          </w:p>
        </w:tc>
      </w:tr>
      <w:tr>
        <w:trPr>
          <w:trHeight w:val="186"/>
        </w:trPr>
        <w:tc>
          <w:tcPr>
            <w:tcW w:w="5240" w:type="dxa"/>
            <w:vAlign w:val="bottom"/>
          </w:tcPr>
          <w:p>
            <w:pPr>
              <w:spacing w:after="0"/>
              <w:rPr>
                <w:sz w:val="16"/>
                <w:szCs w:val="16"/>
                <w:color w:val="auto"/>
              </w:rPr>
            </w:pPr>
          </w:p>
        </w:tc>
        <w:tc>
          <w:tcPr>
            <w:tcW w:w="1180" w:type="dxa"/>
            <w:vAlign w:val="bottom"/>
          </w:tcPr>
          <w:p>
            <w:pPr>
              <w:jc w:val="right"/>
              <w:ind w:right="25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6"/>
                <w:szCs w:val="16"/>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thousands)</w:t>
            </w:r>
          </w:p>
        </w:tc>
      </w:tr>
      <w:tr>
        <w:trPr>
          <w:trHeight w:val="26"/>
        </w:trPr>
        <w:tc>
          <w:tcPr>
            <w:tcW w:w="5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39,011,116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224,721</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180" w:type="dxa"/>
            <w:vAlign w:val="bottom"/>
          </w:tcPr>
          <w:p>
            <w:pPr>
              <w:jc w:val="right"/>
              <w:spacing w:after="0"/>
              <w:rPr>
                <w:sz w:val="20"/>
                <w:szCs w:val="20"/>
                <w:color w:val="auto"/>
              </w:rPr>
            </w:pPr>
            <w:r>
              <w:rPr>
                <w:rFonts w:ascii="Arial" w:cs="Arial" w:eastAsia="Arial" w:hAnsi="Arial"/>
                <w:sz w:val="18"/>
                <w:szCs w:val="18"/>
                <w:color w:val="auto"/>
              </w:rPr>
              <w:t>(2,200,365)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 canceled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(360,455)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Balance as of March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36,450,296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253,828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7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March 31,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29,237,493</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206,986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March 31, 2023, unrecognized stock-based compensation cost related to outstanding unvested stock options that are expected to vest was $4.7 million, which is expected to be recognized over a weighted-average period of 1.4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RSUs activity for the three months ended March 31, 2023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Restricted Stock Units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Performance-Based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Time-Based Shares</w:t>
            </w:r>
          </w:p>
        </w:tc>
        <w:tc>
          <w:tcPr>
            <w:tcW w:w="1360" w:type="dxa"/>
            <w:vAlign w:val="bottom"/>
            <w:gridSpan w:val="2"/>
            <w:vMerge w:val="continue"/>
          </w:tcPr>
          <w:p>
            <w:pPr>
              <w:spacing w:after="0"/>
              <w:rPr>
                <w:sz w:val="12"/>
                <w:szCs w:val="12"/>
                <w:color w:val="auto"/>
              </w:rPr>
            </w:pPr>
          </w:p>
        </w:tc>
        <w:tc>
          <w:tcPr>
            <w:tcW w:w="12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38,570,298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42424"/>
              </w:rPr>
              <w:t>2,090,140</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42424"/>
              </w:rPr>
              <w:t>40,660,438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9,280,865</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9,280,865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42424"/>
              </w:rPr>
              <w:t>8.42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(2,601,943)</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(2,601,943)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22.09</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280" w:type="dxa"/>
            <w:vAlign w:val="bottom"/>
          </w:tcPr>
          <w:p>
            <w:pPr>
              <w:jc w:val="right"/>
              <w:spacing w:after="0"/>
              <w:rPr>
                <w:sz w:val="20"/>
                <w:szCs w:val="20"/>
                <w:color w:val="auto"/>
              </w:rPr>
            </w:pPr>
            <w:r>
              <w:rPr>
                <w:rFonts w:ascii="Arial" w:cs="Arial" w:eastAsia="Arial" w:hAnsi="Arial"/>
                <w:sz w:val="18"/>
                <w:szCs w:val="18"/>
                <w:color w:val="auto"/>
              </w:rPr>
              <w:t>(1,184,767)</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(1,184,767)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42424"/>
              </w:rPr>
              <w:t>18.64</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44,064,453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2,090,140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46,154,593</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42424"/>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42424"/>
              </w:rPr>
              <w:t>17.04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2023, unrecognized stock-based compensation cost related to outstanding unvested time-based RSUs that are expected to vest was $525.6 million, which is expected to be recognized over a weighted-average period of 2.8 years.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performance-based RSUs granted to the CEO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volatility</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4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488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recognizes compensation expense using a graded vesting attribution method over the derived service period for the CEO performance-based awards. Stock-based compensation expense is recognized when the relevant performance condition is considered probable of achievement for the performance-based award. During the year ended December 31, 2022, the market condition was met for the CEO performance-based awards for four of the five tranches and certified by the Board of Directors, representing an aggregate of 13,934,271 performance RSUs. We recorded stock-based compensation expense of $85.4 million for the four tranches during the year ended December 31, 2022. As of March 31, 2023, the unamortized expense for the fifth tranche, representing 2,090,140 RSUs, was $5.4 million which will be recognized over a period of 0.5 years. For the three months ended March 31, 2023 and 2022, the Company withheld approximately 0.5 million and 8.0 million shares, respectively, of common stock by net settlement to meet the related tax withholding requirements related to the CEO time-based and performance-based RSUs.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March 31, 2023, unrecognized stock-based compensation cost related to the ESPP was $33.3 million, which is expected to be recognized over a weighted-average period of 1.7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employee and nonemployee stock-based compensation expense for the three months ended March 31, 2023 and 2022, was classified in the condensed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49,756</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116,196</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entered into various non-cancellable operating and finance lease agreements for certain of the Company’s offices, manufacturing and warehouse facilities, retail and service locations, equipment and vehicles, worldwide.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March 31, 2023 and December 31, 2022, assets associated with the finance lease were $79.3 million. As of March 31, 2023 and December 31, 2022, liabilities associated with the finance lease were $74.7 million and $81.1 million, respectively.</w:t>
      </w:r>
    </w:p>
    <w:p>
      <w:pPr>
        <w:spacing w:after="0" w:line="19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the sales proceeds received as a financial liability within other long-term liabilities on our condensed consolidated balance sheets as of March 31, 2023 and December 31, 2022.</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condensed consolidated balance sheets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213,193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215,160</w:t>
            </w:r>
          </w:p>
        </w:tc>
      </w:tr>
      <w:tr>
        <w:trPr>
          <w:trHeight w:val="270"/>
        </w:trPr>
        <w:tc>
          <w:tcPr>
            <w:tcW w:w="8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15,753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11,269</w:t>
            </w: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243,843</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255,341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255,112</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90,386</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finance lease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88,982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90,386</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Finance lease liabilities, current portion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10,239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10,586</w:t>
            </w: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 liabilities, net of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81,336</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91,922</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lease expense were as follows within the Company’s condensed consolidated statements of operations and comprehensive loss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expense: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600" w:type="dxa"/>
            <w:vAlign w:val="bottom"/>
          </w:tcPr>
          <w:p>
            <w:pPr>
              <w:ind w:left="240"/>
              <w:spacing w:after="0" w:line="230"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12,815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9,578</w:t>
            </w: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Variable lease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56"/>
        </w:trPr>
        <w:tc>
          <w:tcPr>
            <w:tcW w:w="8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Amortization of leased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8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finance lease expense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48"/>
        </w:trPr>
        <w:tc>
          <w:tcPr>
            <w:tcW w:w="8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lease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Excluded short-term leases, which were immaterial.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where the Company is the lessee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w:t>
            </w:r>
          </w:p>
        </w:tc>
        <w:tc>
          <w:tcPr>
            <w:tcW w:w="142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720" w:type="dxa"/>
            <w:vAlign w:val="bottom"/>
          </w:tcPr>
          <w:p>
            <w:pPr>
              <w:spacing w:after="0"/>
              <w:rPr>
                <w:sz w:val="16"/>
                <w:szCs w:val="16"/>
                <w:color w:val="auto"/>
              </w:rPr>
            </w:pPr>
          </w:p>
        </w:tc>
        <w:tc>
          <w:tcPr>
            <w:tcW w:w="502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r>
      <w:tr>
        <w:trPr>
          <w:trHeight w:val="215"/>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6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4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7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3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10.55 %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10.52 %</w:t>
            </w:r>
          </w:p>
        </w:tc>
      </w:tr>
      <w:tr>
        <w:trPr>
          <w:trHeight w:val="230"/>
        </w:trPr>
        <w:tc>
          <w:tcPr>
            <w:tcW w:w="4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5.57 %</w:t>
            </w:r>
          </w:p>
        </w:tc>
      </w:tr>
      <w:tr>
        <w:trPr>
          <w:trHeight w:val="554"/>
        </w:trPr>
        <w:tc>
          <w:tcPr>
            <w:tcW w:w="4720" w:type="dxa"/>
            <w:vAlign w:val="bottom"/>
          </w:tcPr>
          <w:p>
            <w:pPr>
              <w:spacing w:after="0"/>
              <w:rPr>
                <w:sz w:val="24"/>
                <w:szCs w:val="24"/>
                <w:color w:val="auto"/>
              </w:rPr>
            </w:pPr>
          </w:p>
        </w:tc>
        <w:tc>
          <w:tcPr>
            <w:tcW w:w="3620" w:type="dxa"/>
            <w:vAlign w:val="bottom"/>
          </w:tcPr>
          <w:p>
            <w:pPr>
              <w:jc w:val="right"/>
              <w:ind w:right="2533"/>
              <w:spacing w:after="0"/>
              <w:rPr>
                <w:sz w:val="20"/>
                <w:szCs w:val="20"/>
                <w:color w:val="auto"/>
              </w:rPr>
            </w:pPr>
            <w:r>
              <w:rPr>
                <w:rFonts w:ascii="Arial" w:cs="Arial" w:eastAsia="Arial" w:hAnsi="Arial"/>
                <w:sz w:val="18"/>
                <w:szCs w:val="18"/>
                <w:color w:val="auto"/>
              </w:rPr>
              <w:t>25</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42"/>
        </w:trPr>
        <w:tc>
          <w:tcPr>
            <w:tcW w:w="4720" w:type="dxa"/>
            <w:vAlign w:val="bottom"/>
            <w:tcBorders>
              <w:bottom w:val="single" w:sz="8" w:color="9A9A9A"/>
            </w:tcBorders>
          </w:tcPr>
          <w:p>
            <w:pPr>
              <w:spacing w:after="0"/>
              <w:rPr>
                <w:sz w:val="12"/>
                <w:szCs w:val="12"/>
                <w:color w:val="auto"/>
              </w:rPr>
            </w:pPr>
          </w:p>
        </w:tc>
        <w:tc>
          <w:tcPr>
            <w:tcW w:w="36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As of March 31, 2023, the maturities of the Company’s operating and finance lease liabilities (excluding short-term leases) were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Finance Leases</w:t>
            </w:r>
          </w:p>
        </w:tc>
      </w:tr>
      <w:tr>
        <w:trPr>
          <w:trHeight w:val="26"/>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(remainder of the year)</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82,488</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104,457</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(126,662)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89,084</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 of lease obligations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239,588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2023, the Company entered into additional leases for facilities and equipment that have not yet commenced with undiscounted future lease payments of $26.8 million. The leases are expected to commence over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March 31, 2023 and December 31, 2022, the Company had $534.0 million and $593.9 million, respectively, in commitments related to AMP-1 and AMP-2 plant and equipment. These commitments represent future expected payments on open purchase orders entered into as of March 31, 2023 and December 31, 2022.</w:t>
      </w:r>
    </w:p>
    <w:p>
      <w:pPr>
        <w:spacing w:after="0" w:line="181" w:lineRule="exact"/>
        <w:rPr>
          <w:sz w:val="20"/>
          <w:szCs w:val="20"/>
          <w:color w:val="auto"/>
        </w:rPr>
      </w:pPr>
    </w:p>
    <w:p>
      <w:pPr>
        <w:ind w:right="500"/>
        <w:spacing w:after="0" w:line="242"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Company’s non-cancellable long-term commitments primarily related to certain inventory component purchases. The estimated future payments</w:t>
      </w:r>
      <w:r>
        <w:rPr>
          <w:rFonts w:ascii="Arial" w:cs="Arial" w:eastAsia="Arial" w:hAnsi="Arial"/>
          <w:sz w:val="20"/>
          <w:szCs w:val="20"/>
          <w:color w:val="auto"/>
        </w:rPr>
        <w:t xml:space="preserve"> </w:t>
      </w:r>
      <w:r>
        <w:rPr>
          <w:rFonts w:ascii="Arial" w:cs="Arial" w:eastAsia="Arial" w:hAnsi="Arial"/>
          <w:sz w:val="17"/>
          <w:szCs w:val="17"/>
          <w:color w:val="auto"/>
        </w:rPr>
        <w:t>having a remaining term in excess of one year as of March 31, 2023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45"/>
        </w:trPr>
        <w:tc>
          <w:tcPr>
            <w:tcW w:w="9960" w:type="dxa"/>
            <w:vAlign w:val="bottom"/>
            <w:vMerge w:val="restart"/>
          </w:tcPr>
          <w:p>
            <w:pPr>
              <w:ind w:left="20"/>
              <w:spacing w:after="0"/>
              <w:rPr>
                <w:sz w:val="20"/>
                <w:szCs w:val="20"/>
                <w:color w:val="auto"/>
              </w:rPr>
            </w:pPr>
            <w:r>
              <w:rPr>
                <w:rFonts w:ascii="Arial" w:cs="Arial" w:eastAsia="Arial" w:hAnsi="Arial"/>
                <w:sz w:val="18"/>
                <w:szCs w:val="18"/>
                <w:color w:val="auto"/>
              </w:rPr>
              <w:t>Years ended December 31,</w:t>
            </w:r>
          </w:p>
        </w:tc>
        <w:tc>
          <w:tcPr>
            <w:tcW w:w="140" w:type="dxa"/>
            <w:vAlign w:val="bottom"/>
          </w:tcPr>
          <w:p>
            <w:pPr>
              <w:spacing w:after="0"/>
              <w:rPr>
                <w:sz w:val="12"/>
                <w:szCs w:val="12"/>
                <w:color w:val="auto"/>
              </w:rPr>
            </w:pPr>
          </w:p>
        </w:tc>
        <w:tc>
          <w:tcPr>
            <w:tcW w:w="114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201"/>
        </w:trPr>
        <w:tc>
          <w:tcPr>
            <w:tcW w:w="99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5"/>
              <w:spacing w:after="0" w:line="201" w:lineRule="exact"/>
              <w:rPr>
                <w:sz w:val="20"/>
                <w:szCs w:val="20"/>
                <w:color w:val="auto"/>
              </w:rPr>
            </w:pPr>
            <w:r>
              <w:rPr>
                <w:rFonts w:ascii="Arial" w:cs="Arial" w:eastAsia="Arial" w:hAnsi="Arial"/>
                <w:sz w:val="14"/>
                <w:szCs w:val="14"/>
                <w:b w:val="1"/>
                <w:bCs w:val="1"/>
                <w:color w:val="auto"/>
                <w:w w:val="91"/>
              </w:rPr>
              <w:t>Commitment</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223"/>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(remainder of the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138,209</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372,242</w:t>
            </w:r>
          </w:p>
        </w:tc>
        <w:tc>
          <w:tcPr>
            <w:tcW w:w="0" w:type="dxa"/>
            <w:vAlign w:val="bottom"/>
          </w:tcPr>
          <w:p>
            <w:pPr>
              <w:spacing w:after="0"/>
              <w:rPr>
                <w:sz w:val="1"/>
                <w:szCs w:val="1"/>
                <w:color w:val="auto"/>
              </w:rPr>
            </w:pPr>
          </w:p>
        </w:tc>
      </w:tr>
      <w:tr>
        <w:trPr>
          <w:trHeight w:val="230"/>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431,710</w:t>
            </w:r>
          </w:p>
        </w:tc>
        <w:tc>
          <w:tcPr>
            <w:tcW w:w="0" w:type="dxa"/>
            <w:vAlign w:val="bottom"/>
          </w:tcPr>
          <w:p>
            <w:pPr>
              <w:spacing w:after="0"/>
              <w:rPr>
                <w:sz w:val="1"/>
                <w:szCs w:val="1"/>
                <w:color w:val="auto"/>
              </w:rPr>
            </w:pPr>
          </w:p>
        </w:tc>
      </w:tr>
      <w:tr>
        <w:trPr>
          <w:trHeight w:val="229"/>
        </w:trPr>
        <w:tc>
          <w:tcPr>
            <w:tcW w:w="996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703,715</w:t>
            </w:r>
          </w:p>
        </w:tc>
        <w:tc>
          <w:tcPr>
            <w:tcW w:w="0" w:type="dxa"/>
            <w:vAlign w:val="bottom"/>
          </w:tcPr>
          <w:p>
            <w:pPr>
              <w:spacing w:after="0"/>
              <w:rPr>
                <w:sz w:val="1"/>
                <w:szCs w:val="1"/>
                <w:color w:val="auto"/>
              </w:rPr>
            </w:pPr>
          </w:p>
        </w:tc>
      </w:tr>
      <w:tr>
        <w:trPr>
          <w:trHeight w:val="230"/>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703,205</w:t>
            </w:r>
          </w:p>
        </w:tc>
        <w:tc>
          <w:tcPr>
            <w:tcW w:w="0" w:type="dxa"/>
            <w:vAlign w:val="bottom"/>
          </w:tcPr>
          <w:p>
            <w:pPr>
              <w:spacing w:after="0"/>
              <w:rPr>
                <w:sz w:val="1"/>
                <w:szCs w:val="1"/>
                <w:color w:val="auto"/>
              </w:rPr>
            </w:pPr>
          </w:p>
        </w:tc>
      </w:tr>
      <w:tr>
        <w:trPr>
          <w:trHeight w:val="230"/>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2,709,174</w:t>
            </w:r>
          </w:p>
        </w:tc>
        <w:tc>
          <w:tcPr>
            <w:tcW w:w="0" w:type="dxa"/>
            <w:vAlign w:val="bottom"/>
          </w:tcPr>
          <w:p>
            <w:pPr>
              <w:spacing w:after="0"/>
              <w:rPr>
                <w:sz w:val="1"/>
                <w:szCs w:val="1"/>
                <w:color w:val="auto"/>
              </w:rPr>
            </w:pPr>
          </w:p>
        </w:tc>
      </w:tr>
      <w:tr>
        <w:trPr>
          <w:trHeight w:val="248"/>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5,058,255</w:t>
            </w:r>
          </w:p>
        </w:tc>
        <w:tc>
          <w:tcPr>
            <w:tcW w:w="0" w:type="dxa"/>
            <w:vAlign w:val="bottom"/>
          </w:tcPr>
          <w:p>
            <w:pPr>
              <w:spacing w:after="0"/>
              <w:rPr>
                <w:sz w:val="1"/>
                <w:szCs w:val="1"/>
                <w:color w:val="auto"/>
              </w:rPr>
            </w:pP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Included minimum purchase commitment of approximately $4.9 billion of battery cells from Panasonic Energy Co., Ltd. and certain of its affiliates.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ind w:right="40"/>
        <w:spacing w:after="0" w:line="268" w:lineRule="auto"/>
        <w:rPr>
          <w:sz w:val="20"/>
          <w:szCs w:val="20"/>
          <w:color w:val="auto"/>
        </w:rPr>
      </w:pPr>
      <w:r>
        <w:rPr>
          <w:rFonts w:ascii="Arial" w:cs="Arial" w:eastAsia="Arial" w:hAnsi="Arial"/>
          <w:sz w:val="17"/>
          <w:szCs w:val="17"/>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and that motion was granted on January 11, 2023, with Plaintiffs being provided the ability to seek leave to amend. On January 30, 2023, Plaintiffs filed a Motion for Leave to Amend which is currently pending before the court.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December 3, 2021, the Company received a subpoena from the SEC requesting the production of certain documents related to an investigation by the SEC related to the business combination between the Company (f/k/a Churchill Capital Corp IV) and Legacy Lucid and certain projections and statements. The Company responded and fully cooperated with the SEC in its review. On April 27, 2023, SEC staff informed the Company that the SEC has concluded this matter and it does not intend to recommend an enforcement action by the SEC against the Company.</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w:t>
      </w:r>
      <w:r>
        <w:rPr>
          <w:rFonts w:ascii="Arial" w:cs="Arial" w:eastAsia="Arial" w:hAnsi="Arial"/>
          <w:sz w:val="16"/>
          <w:szCs w:val="16"/>
          <w:i w:val="1"/>
          <w:iCs w:val="1"/>
          <w:color w:val="auto"/>
        </w:rPr>
        <w:t>Zsata Williams-Spinks v. Peter Rawlinson, et al.</w:t>
      </w:r>
      <w:r>
        <w:rPr>
          <w:rFonts w:ascii="Arial" w:cs="Arial" w:eastAsia="Arial" w:hAnsi="Arial"/>
          <w:sz w:val="16"/>
          <w:szCs w:val="16"/>
          <w:color w:val="auto"/>
        </w:rPr>
        <w:t>,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7"/>
          <w:szCs w:val="17"/>
          <w:i w:val="1"/>
          <w:iCs w:val="1"/>
          <w:color w:val="auto"/>
        </w:rPr>
        <w:t>Victor W. Mangino v. Lucid Group, Inc., et al.</w:t>
      </w:r>
      <w:r>
        <w:rPr>
          <w:rFonts w:ascii="Arial" w:cs="Arial" w:eastAsia="Arial" w:hAnsi="Arial"/>
          <w:sz w:val="17"/>
          <w:szCs w:val="17"/>
          <w:color w:val="auto"/>
        </w:rPr>
        <w:t xml:space="preserve">, Case No. 3:22-cv-02094-JD, and </w:t>
      </w:r>
      <w:r>
        <w:rPr>
          <w:rFonts w:ascii="Arial" w:cs="Arial" w:eastAsia="Arial" w:hAnsi="Arial"/>
          <w:sz w:val="17"/>
          <w:szCs w:val="17"/>
          <w:i w:val="1"/>
          <w:iCs w:val="1"/>
          <w:color w:val="auto"/>
        </w:rPr>
        <w:t>Anant Goel v. Lucid Group, Inc., et al.</w:t>
      </w:r>
      <w:r>
        <w:rPr>
          <w:rFonts w:ascii="Arial" w:cs="Arial" w:eastAsia="Arial" w:hAnsi="Arial"/>
          <w:sz w:val="17"/>
          <w:szCs w:val="17"/>
          <w:color w:val="auto"/>
        </w:rPr>
        <w:t xml:space="preserve">, Case No. 3:22-cv-03176-JD. The two matters were consolidated into one action, entitled </w:t>
      </w:r>
      <w:r>
        <w:rPr>
          <w:rFonts w:ascii="Arial" w:cs="Arial" w:eastAsia="Arial" w:hAnsi="Arial"/>
          <w:sz w:val="17"/>
          <w:szCs w:val="17"/>
          <w:i w:val="1"/>
          <w:iCs w:val="1"/>
          <w:color w:val="auto"/>
        </w:rPr>
        <w:t>In re Lucid Group,</w:t>
      </w:r>
      <w:r>
        <w:rPr>
          <w:rFonts w:ascii="Arial" w:cs="Arial" w:eastAsia="Arial" w:hAnsi="Arial"/>
          <w:sz w:val="17"/>
          <w:szCs w:val="17"/>
          <w:color w:val="auto"/>
        </w:rPr>
        <w:t xml:space="preserve"> </w:t>
      </w:r>
      <w:r>
        <w:rPr>
          <w:rFonts w:ascii="Arial" w:cs="Arial" w:eastAsia="Arial" w:hAnsi="Arial"/>
          <w:sz w:val="17"/>
          <w:szCs w:val="17"/>
          <w:i w:val="1"/>
          <w:iCs w:val="1"/>
          <w:color w:val="auto"/>
        </w:rPr>
        <w:t>Inc. Securities Litigation</w:t>
      </w:r>
      <w:r>
        <w:rPr>
          <w:rFonts w:ascii="Arial" w:cs="Arial" w:eastAsia="Arial" w:hAnsi="Arial"/>
          <w:sz w:val="17"/>
          <w:szCs w:val="17"/>
          <w:color w:val="auto"/>
        </w:rPr>
        <w:t>, Case No. 22-cv-02094-JD. The complaints name as defendants Lucid Group, Inc. and the Company’s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filed a Motion to Dismiss on February 23, 2023, which is pending before the court.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7"/>
          <w:szCs w:val="17"/>
          <w:i w:val="1"/>
          <w:iCs w:val="1"/>
          <w:color w:val="auto"/>
        </w:rPr>
        <w:t>Floyd Taylor v. Glenn August, et al.</w:t>
      </w:r>
      <w:r>
        <w:rPr>
          <w:rFonts w:ascii="Arial" w:cs="Arial" w:eastAsia="Arial" w:hAnsi="Arial"/>
          <w:sz w:val="17"/>
          <w:szCs w:val="17"/>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7"/>
          <w:szCs w:val="17"/>
          <w:i w:val="1"/>
          <w:iCs w:val="1"/>
          <w:color w:val="auto"/>
        </w:rPr>
        <w:t>In re Lucid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Group, Inc. Securities Litigation </w:t>
      </w:r>
      <w:r>
        <w:rPr>
          <w:rFonts w:ascii="Arial" w:cs="Arial" w:eastAsia="Arial" w:hAnsi="Arial"/>
          <w:sz w:val="17"/>
          <w:szCs w:val="17"/>
          <w:color w:val="auto"/>
        </w:rPr>
        <w:t>action, the</w:t>
      </w:r>
      <w:r>
        <w:rPr>
          <w:rFonts w:ascii="Arial" w:cs="Arial" w:eastAsia="Arial" w:hAnsi="Arial"/>
          <w:sz w:val="17"/>
          <w:szCs w:val="17"/>
          <w:i w:val="1"/>
          <w:iCs w:val="1"/>
          <w:color w:val="auto"/>
        </w:rPr>
        <w:t xml:space="preserve"> Taylor </w:t>
      </w:r>
      <w:r>
        <w:rPr>
          <w:rFonts w:ascii="Arial" w:cs="Arial" w:eastAsia="Arial" w:hAnsi="Arial"/>
          <w:sz w:val="17"/>
          <w:szCs w:val="17"/>
          <w:color w:val="auto"/>
        </w:rPr>
        <w:t>complaint asserts claims for breach of fiduciary duty, unjust enrichment, waste of corporate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aiding and abetting breach of fiduciary duty. The complaint seeks compensatory damages, punitive damages, interest, and attorneys’ fees and expenses. The Company is advancing defendants’ fees and expenses incurred in their defense of the actions.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$54.1 million and $52.5 million as of March 31, 2023 and December 31, 2022, respectively, for which no liabilities are recorded on the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The Company's provision from income taxes for interim periods is determined using its effective tax rate that </w:t>
      </w:r>
      <w:r>
        <w:rPr>
          <w:rFonts w:ascii="Arial" w:cs="Arial" w:eastAsia="Arial" w:hAnsi="Arial"/>
          <w:sz w:val="18"/>
          <w:szCs w:val="18"/>
          <w:color w:val="000000"/>
        </w:rPr>
        <w:t>arise during the period. The Company's</w:t>
      </w:r>
      <w:r>
        <w:rPr>
          <w:rFonts w:ascii="Arial" w:cs="Arial" w:eastAsia="Arial" w:hAnsi="Arial"/>
          <w:sz w:val="18"/>
          <w:szCs w:val="18"/>
          <w:color w:val="231F20"/>
        </w:rPr>
        <w:t xml:space="preserve"> </w:t>
      </w:r>
      <w:r>
        <w:rPr>
          <w:rFonts w:ascii="Arial" w:cs="Arial" w:eastAsia="Arial" w:hAnsi="Arial"/>
          <w:sz w:val="18"/>
          <w:szCs w:val="18"/>
          <w:color w:val="000000"/>
        </w:rPr>
        <w:t>quarterly tax provision is subject to variation due to several factors, including variability in pre-tax income (or loss), the mix of jurisdictions to which such income relates, changes in how the Company does business, and tax law developments.</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effective tax rate for the three months ended March 31, 2023 and 2022 was 0.0% and (0.4)%, respectively, due to minimal profits in foreign jurisdictions and U.S. losses for which no benefit will be realized.</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material changes to the Company’s unrecognized tax benefits during the three months ended March 31, 2023, and the Company does not expect to have any significant changes to unrecognized tax benefits through the end of the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6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Change in fair value of dilutive warrants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(523,330)</w:t>
            </w:r>
          </w:p>
        </w:tc>
      </w:tr>
      <w:tr>
        <w:trPr>
          <w:trHeight w:val="248"/>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(604,616)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basic</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1,831,725,009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1,654,322,379</w:t>
            </w:r>
          </w:p>
        </w:tc>
      </w:tr>
      <w:tr>
        <w:trPr>
          <w:trHeight w:val="257"/>
        </w:trPr>
        <w:tc>
          <w:tcPr>
            <w:tcW w:w="8600" w:type="dxa"/>
            <w:vAlign w:val="bottom"/>
          </w:tcPr>
          <w:p>
            <w:pPr>
              <w:ind w:left="20"/>
              <w:spacing w:after="0"/>
              <w:rPr>
                <w:sz w:val="20"/>
                <w:szCs w:val="20"/>
                <w:color w:val="auto"/>
              </w:rPr>
            </w:pPr>
            <w:r>
              <w:rPr>
                <w:rFonts w:ascii="Arial" w:cs="Arial" w:eastAsia="Arial" w:hAnsi="Arial"/>
                <w:sz w:val="18"/>
                <w:szCs w:val="18"/>
                <w:color w:val="auto"/>
              </w:rPr>
              <w:t>Private Placement Warrants using the treasury stock method</w:t>
            </w:r>
          </w:p>
        </w:tc>
        <w:tc>
          <w:tcPr>
            <w:tcW w:w="1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27,223,480</w:t>
            </w:r>
          </w:p>
        </w:tc>
      </w:tr>
      <w:tr>
        <w:trPr>
          <w:trHeight w:val="248"/>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1,831,725,009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1,681,545,859</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1700" w:type="dxa"/>
            <w:vAlign w:val="bottom"/>
            <w:gridSpan w:val="3"/>
          </w:tcPr>
          <w:p>
            <w:pPr>
              <w:ind w:left="1040"/>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Excluded Securities</w:t>
            </w: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54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Placement Warrants to purchase common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Options outstanding to purchase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36,450,296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50,700,238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outstanding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44,064,453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34,235,618</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20" w:type="dxa"/>
            <w:vAlign w:val="bottom"/>
          </w:tcPr>
          <w:p>
            <w:pPr>
              <w:jc w:val="right"/>
              <w:spacing w:after="0"/>
              <w:rPr>
                <w:sz w:val="20"/>
                <w:szCs w:val="20"/>
                <w:color w:val="auto"/>
              </w:rPr>
            </w:pPr>
            <w:r>
              <w:rPr>
                <w:rFonts w:ascii="Arial" w:cs="Arial" w:eastAsia="Arial" w:hAnsi="Arial"/>
                <w:sz w:val="18"/>
                <w:szCs w:val="18"/>
                <w:color w:val="auto"/>
              </w:rPr>
              <w:t>10,251,959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If-converted common shares from convertible note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36,737,785</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171,854,493</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121,673,641</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8" w:name="page29"/>
    <w:bookmarkEnd w:id="28"/>
    <w:p>
      <w:pPr>
        <w:ind w:right="600"/>
        <w:spacing w:after="0" w:line="277" w:lineRule="auto"/>
        <w:rPr>
          <w:sz w:val="20"/>
          <w:szCs w:val="20"/>
          <w:color w:val="auto"/>
        </w:rPr>
      </w:pPr>
      <w:r>
        <w:rPr>
          <w:rFonts w:ascii="Arial" w:cs="Arial" w:eastAsia="Arial" w:hAnsi="Arial"/>
          <w:sz w:val="18"/>
          <w:szCs w:val="18"/>
          <w:color w:val="auto"/>
        </w:rPr>
        <w:t>The 2,090,140 shares of common stock equivalents subject to RSUs are excluded from the anti-dilutive table above as the underlying shares remain contingently issuable since the market conditions have not been satisfied as of March 31,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months ended March 31, 2023 and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July 2021, we entered into an agreement with PIF, which is an affiliate of Ayar,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The program ended during the year ended December 31, 2022. No expenses were incurred under the agreement during the three months ended March 31, 2023 and 2022, respectively. The amount due from PIF was nil and $1 million as of March 31, 2023 and December 31,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February 2022, we entered into a lease agreement with KAEC, a related party of PIF, which is an affiliate of Ayar, for our first international manufacturing plant in Saudi Arabia. The lease has an initial term of 25 years expiring in Year 2047. The right-of-use assets related to this lease was $4.8 million as of March 31, 2023 and December 31, 2022. The lease liabilities were $5.5 million and $5.4 million as of March 31, 2022 and December 31, 2022, respectively. The lease expense recorded for the three months ended March 31, 2023 and 2022 were immaterial.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SIDF Loan 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“Debt”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Ministry of Investment of Saudi Arabia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MISA”) Agreements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completely-built-up (“CBU”) operations at AMP-2 at the latest.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2022, the Company received support of SAR 366 million (approximately $97.3 million) in cash. The Company recorded $46.5 million and $64.0 million as deferred liability within other long-term liabilities on the condensed consolidated balance sheets as of March 31, 2023 and December 31, 2022, respectively. The Company also recorded $50.8 million and $33.3 million as a deduction in calculating the carrying amount of the related assets on the condensed consolidated balance sheets as of March 31, 2023 and December 31, 2022, respectively. There were no unfulfilled conditions and contingencies attached to the payments received. In 2022, payment receipts were classified as investing cash inflows on the condensed consolidated statements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GIB Facility Agreement</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April 2022, Lucid LLC entered into the GIB Facility Agreement with GIB. GIB is a related party of PIF, which is an affiliate of Ayar. The GIB Facility Agreement provided for two committed revolving credit facilities in an aggregate principal amount of SAR 1 billion (approximately $266.1 million).</w:t>
      </w:r>
    </w:p>
    <w:p>
      <w:pPr>
        <w:sectPr>
          <w:pgSz w:w="11900" w:h="16838" w:orient="portrait"/>
          <w:cols w:equalWidth="0" w:num="1">
            <w:col w:w="11240"/>
          </w:cols>
          <w:pgMar w:left="320" w:top="989" w:right="3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9" w:name="page30"/>
    <w:bookmarkEnd w:id="29"/>
    <w:p>
      <w:pPr>
        <w:jc w:val="both"/>
        <w:ind w:right="40"/>
        <w:spacing w:after="0" w:line="263" w:lineRule="auto"/>
        <w:rPr>
          <w:sz w:val="20"/>
          <w:szCs w:val="20"/>
          <w:color w:val="auto"/>
        </w:rPr>
      </w:pPr>
      <w:r>
        <w:rPr>
          <w:rFonts w:ascii="Arial" w:cs="Arial" w:eastAsia="Arial" w:hAnsi="Arial"/>
          <w:sz w:val="18"/>
          <w:szCs w:val="18"/>
          <w:color w:val="auto"/>
        </w:rPr>
        <w:t>On March 12, 2023, Lucid LLC entered into an amendment of the GIB Facility Agreement to combine the Bridge Facility and the Working Capital Facility into a committed SAR 1 billion (approximately $266.4 million) GIB Credit Facility which may be used for general corporate purposes. See Note 6 “Debt”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Service Contract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Lucid LLC entered into agreements with Al Bawani Company Limited (“Al Bawani”), an affiliate of PIF, which is an affiliate of Ayar, for certain design and construction services in connection with the development of AMP-2. The capital expenditures incurred under these agreements were SAR 62.1 million (approximately $16.6 million) for the three months ended March 31, 2023, and not material for the three months ended March 31, 2022. Amounts due to Al Bawani under these agreements were SAR 21.2 million (approximately $5.6 million) as of March 31, 2023, and SAR 42.1 million (approximately $11.2 million) as of December 31,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8, 2022, the Company entered into the Subscription Agreement with Ayar, pursuant to which Ayar agreed to purchase from the Company, up to $915.0 million shares of its common stock in one or more private placements through March 31, 2023. In December 2022, the Company issued 85,712,679 shares at a weighted average price per share of $10.68, and received aggregate proceeds of $915.0 million. See Note 8 “Stockholders’ Equity” for more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(the “Quarterly Report”) and our Annual Report on Form 10-K for the year ended December 31, 2022, filed with the SEC on February 28, 2023.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are a technology and automotive company with a mission to inspire the adoption of sustainable energy by creating advanced technologies and the most captivating luxury electric vehicles, centered around the human experience. Our focus on in-house technology innovation, vertical integration, and a “clean sheet” approach to engineering and design have led to the development of the award-winning Lucid Air.</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on-brand and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began delivering the Lucid Air to customers in October 2021. We expect to launch additional vehicles over the coming decade. We have already commenced design and engineering work for the Lucid Gravity, a luxury sports utility vehicle (“SUV”) that is expected to leverage and expand the technological advancements from the Lucid Air. We expect to begin production of the Lucid Gravity SUV in 2024. After the Lucid Air and the Lucid Gravity SUV, we plan to leverage and expand our technological and manufacturing advancements to develop and manufacture progressively higher-volume vehicle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Impact of an Economic Downturn on our Business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 global economic recession or other downturn, whether due to inflation, ongoing conflict in Ukraine or other geopolitical events, COVID-19 or other public health crises, interest rate increases or other policy actions by major central banks, </w:t>
      </w:r>
      <w:r>
        <w:rPr>
          <w:rFonts w:ascii="Arial" w:cs="Arial" w:eastAsia="Arial" w:hAnsi="Arial"/>
          <w:sz w:val="16"/>
          <w:szCs w:val="16"/>
          <w:color w:val="231F20"/>
        </w:rPr>
        <w:t>government closures of banks and liquidity concerns at other</w:t>
      </w:r>
      <w:r>
        <w:rPr>
          <w:rFonts w:ascii="Arial" w:cs="Arial" w:eastAsia="Arial" w:hAnsi="Arial"/>
          <w:sz w:val="16"/>
          <w:szCs w:val="16"/>
          <w:color w:val="auto"/>
        </w:rPr>
        <w:t xml:space="preserve"> </w:t>
      </w:r>
      <w:r>
        <w:rPr>
          <w:rFonts w:ascii="Arial" w:cs="Arial" w:eastAsia="Arial" w:hAnsi="Arial"/>
          <w:sz w:val="16"/>
          <w:szCs w:val="16"/>
          <w:color w:val="231F20"/>
        </w:rPr>
        <w:t xml:space="preserve">financial institutions, </w:t>
      </w:r>
      <w:r>
        <w:rPr>
          <w:rFonts w:ascii="Arial" w:cs="Arial" w:eastAsia="Arial" w:hAnsi="Arial"/>
          <w:sz w:val="16"/>
          <w:szCs w:val="16"/>
          <w:color w:val="000000"/>
        </w:rPr>
        <w:t>or other factors, may have an adverse impact on our business, prospects, financial condition and results of operations. Adverse</w:t>
      </w:r>
      <w:r>
        <w:rPr>
          <w:rFonts w:ascii="Arial" w:cs="Arial" w:eastAsia="Arial" w:hAnsi="Arial"/>
          <w:sz w:val="16"/>
          <w:szCs w:val="16"/>
          <w:color w:val="231F20"/>
        </w:rPr>
        <w:t xml:space="preserve"> </w:t>
      </w:r>
      <w:r>
        <w:rPr>
          <w:rFonts w:ascii="Arial" w:cs="Arial" w:eastAsia="Arial" w:hAnsi="Arial"/>
          <w:sz w:val="16"/>
          <w:szCs w:val="16"/>
          <w:color w:val="000000"/>
        </w:rPr>
        <w:t xml:space="preserve">economic conditions as well as uncertainty about the current and future global economic conditions may cause our customers to defer purchases or cancel their reservations and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Part II, Item 1A of this Quarterly Report for more information regarding risks associated with a global economic recession, including under the caption </w:t>
      </w:r>
      <w:r>
        <w:rPr>
          <w:rFonts w:ascii="Arial" w:cs="Arial" w:eastAsia="Arial" w:hAnsi="Arial"/>
          <w:sz w:val="16"/>
          <w:szCs w:val="16"/>
          <w:i w:val="1"/>
          <w:iCs w:val="1"/>
          <w:color w:val="000000"/>
        </w:rPr>
        <w:t>“A global economic recession, government closures of banks and liquidity concerns at other financial</w:t>
      </w:r>
      <w:r>
        <w:rPr>
          <w:rFonts w:ascii="Arial" w:cs="Arial" w:eastAsia="Arial" w:hAnsi="Arial"/>
          <w:sz w:val="16"/>
          <w:szCs w:val="16"/>
          <w:color w:val="000000"/>
        </w:rPr>
        <w:t xml:space="preserve"> </w:t>
      </w:r>
      <w:r>
        <w:rPr>
          <w:rFonts w:ascii="Arial" w:cs="Arial" w:eastAsia="Arial" w:hAnsi="Arial"/>
          <w:sz w:val="16"/>
          <w:szCs w:val="16"/>
          <w:i w:val="1"/>
          <w:iCs w:val="1"/>
          <w:color w:val="000000"/>
        </w:rPr>
        <w:t>institutions, or other downturn may have a material adverse impact on our business, prospects, results of operations and financial condition.”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COVID-19 pandemic has impacted the global economy and caused significant macroeconomic uncertainty. Infection rates vary across the jurisdictions in which we operate. Broader impacts of the pandemic have included inflationary pressure as well as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impact our cost structure as well as our ability and the ability of our suppliers to obtain parts, components and manufacturing equipment on a timely basis for the foreseeable future.</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the current circumstances, any impact on our financial condition, results of operations or cash flows in the future continues to be difficult to estimate and predict, as it depends on future events that are highly uncertain and cannot be predicted with accuracy. See “Risk Factors” in Part II, Item 1A of this Quarterly Report for more information regarding risks associated with the COVID-19 pandemic, including under the caption “</w:t>
      </w:r>
      <w:r>
        <w:rPr>
          <w:rFonts w:ascii="Arial" w:cs="Arial" w:eastAsia="Arial" w:hAnsi="Arial"/>
          <w:sz w:val="16"/>
          <w:szCs w:val="16"/>
          <w:i w:val="1"/>
          <w:iCs w:val="1"/>
          <w:color w:val="auto"/>
        </w:rPr>
        <w:t>The COVID-19 pandemic</w:t>
      </w:r>
      <w:r>
        <w:rPr>
          <w:rFonts w:ascii="Arial" w:cs="Arial" w:eastAsia="Arial" w:hAnsi="Arial"/>
          <w:sz w:val="16"/>
          <w:szCs w:val="16"/>
          <w:color w:val="auto"/>
        </w:rPr>
        <w:t xml:space="preserve"> </w:t>
      </w:r>
      <w:r>
        <w:rPr>
          <w:rFonts w:ascii="Arial" w:cs="Arial" w:eastAsia="Arial" w:hAnsi="Arial"/>
          <w:sz w:val="16"/>
          <w:szCs w:val="16"/>
          <w:i w:val="1"/>
          <w:iCs w:val="1"/>
          <w:color w:val="auto"/>
        </w:rPr>
        <w:t>has adversely affected, and we cannot predict its ultimate impact on, our business, prospects, results of operations and financial condition.</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that we are positioned to be a leader in the electric vehicle market by unlocking the potential for advanced, high-performance, and long-range electric vehicles to co-exist. The Lucid Air is designed with race-proven battery and powertrain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March 31, 2023, we have opened forty studios and service centers that are customer-facing, thirty-one in the United States (ten in California, three in each of Florida and New York, two in each of Arizona, Illinois, Massachusetts, Texas, Virginia and Washington, and one in each of Colorado, Michigan and New Jersey), four in Canada, one in Germany, one in Netherlands, one in Norway, one in Switzerland, and one in Saudi Arabia. We also expect to hire additional sales, customer service, and service center personnel. We believe that investing in our direct-to-consumer sales and service model will be critical to deliver and service the Lucid electric vehicles we plan to manufacture and sell.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expansion of AMP-1 and construction of planned Advanced Manufacturing Plant 2 in Saudi Arabia (“AMP-2”).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the Lucid Gravity SUV, and future generations of our electric vehicles and other products.</w:t>
      </w:r>
    </w:p>
    <w:p>
      <w:pPr>
        <w:sectPr>
          <w:pgSz w:w="11900" w:h="16838" w:orient="portrait"/>
          <w:cols w:equalWidth="0" w:num="1">
            <w:col w:w="11200"/>
          </w:cols>
          <w:pgMar w:left="320" w:top="985" w:right="379" w:bottom="1440" w:gutter="0" w:footer="0" w:header="0"/>
        </w:sectPr>
      </w:pP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material and infrastructure equipment prices and cost of construction labor have led to higher capital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3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6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149,432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57,675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91,757</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recognize vehicle sales when the customer obtains control of the vehicle, which is upon delivery. We also generate revenue from non-warranty after-sales vehicle services and parts, sales of battery pack system, powertrain kits and retail merchandise.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 increased by $91.8 million for the three months ended March 31, 2023, as compared to the same period in the prior year, primarily driven by an increase in deliveries of the Lucid Air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cost of revenue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3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6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500,524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245,970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254,554</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Cost of other revenue includes direct parts, material and labor costs, manufacturing overhead, including amortized tooling costs, shipping and logistic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other revenue also includes costs associated with providing non-warranty after-sales services and costs for retail merchandise.</w:t>
      </w:r>
    </w:p>
    <w:p>
      <w:pPr>
        <w:spacing w:after="0" w:line="2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Cost of revenue increased by $254.6 million for the three months ended March 31, 2023, as compared to the same period in the prior year, primarily due to the increase in the manufacture and sale of the Lucid Air vehicles in 2023. We incurred significant personnel and overhead costs to operate our large-scale manufacturing facilities while ramping up production. In the near term, we expect our production volume of vehicles to continue to be significantly less than our manufacturing capacity. Additionally, we recorded write-downs of $227.0 million and $96.4 million in the three months ended March 31, 2023 and 2022, respectively, to reduce our inventories to their net realizable values, for any excess or obsolete inventories, and losses from firm purchase commitments. We expect inventory write-downs could negatively affect our costs of vehicle sales in upcoming periods in the near term as we ramp production volumes up toward our manufacturing capacity.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3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9"/>
              </w:rPr>
              <w:t>43,727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168,770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223,159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left="281"/>
              <w:spacing w:after="0"/>
              <w:rPr>
                <w:sz w:val="20"/>
                <w:szCs w:val="20"/>
                <w:color w:val="auto"/>
              </w:rPr>
            </w:pPr>
            <w:r>
              <w:rPr>
                <w:rFonts w:ascii="Arial" w:cs="Arial" w:eastAsia="Arial" w:hAnsi="Arial"/>
                <w:sz w:val="16"/>
                <w:szCs w:val="16"/>
                <w:color w:val="auto"/>
                <w:w w:val="93"/>
              </w:rPr>
              <w:t>(54,389)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9"/>
              </w:rPr>
              <w:t>22,496</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421,069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409,235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center"/>
              <w:ind w:left="321"/>
              <w:spacing w:after="0"/>
              <w:rPr>
                <w:sz w:val="20"/>
                <w:szCs w:val="20"/>
                <w:color w:val="auto"/>
              </w:rPr>
            </w:pPr>
            <w:r>
              <w:rPr>
                <w:rFonts w:ascii="Arial" w:cs="Arial" w:eastAsia="Arial" w:hAnsi="Arial"/>
                <w:sz w:val="16"/>
                <w:szCs w:val="16"/>
                <w:color w:val="auto"/>
                <w:w w:val="89"/>
              </w:rPr>
              <w:t>11,834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Our research and development efforts have primarily focused on the development of our battery and powertrain technology, the Lucid Air, the Lucid Gravity SUV,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 increased by $43.7 million, or 23% for the three months ended March 31, 2023, as compared to the same period in the prior year. The increase was primarily attributable to an increase of $43.6 million for prototype material, engineering, design and testing services, partially offset by lower personnel-related expenses of $3.6 million ($20.8 million lower stock-based compensation expenses, offset by $17.2 million increase due to our growth in headcount).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incurring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Selling, general, and administrative expense decreased by $54.4 million, or 24% for the three months ended March 31, 2023, as compared to the same period in the prior year. The decrease was primarily attributable to lower personnel related expenses of $74.7 million ($89.5 million lower stock-based compensation expense mainly driven by the vesting of the four tranches of CEO performance-based awards during the three months ended March 31, 2022, offset by $14.8 million increase due to our growth in headcount), partially offset by increases in allocated facilities costs of $10.9 million, other general corporate expenses of $4.5 million, and higher utilization of contractors and professional fees of $4.4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28, 2023, we announced a restructuring plan (the “Restructuring Plan”) intended to reduce operating expenses in response to evolving business needs and productivity improvement through a reduction in workforce. We expect to substantially complete the Restructuring Plan by the end of the second quarter of 2023, subject to local law and consultation requirements. As a result of the Restructuring Plan, we expect to record total restructuring charges of approximately $24 million, primarily related to severance payments, employee benefits, employee transition and stock-based compensation.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Restructuring charges of $22.5 million for the three months ended March 31, 2023 primarily related to severance payments, employee benefits and stock-based compensation, net of a reversal of previously recognized stock-based compensation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other income (expense), net for the periods presented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3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Change in fair value of common stock warrant liability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(40,802)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523,330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(564,132)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516,567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(523,805)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Common Stock Warrant Liability</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31F20"/>
        </w:rPr>
        <w:t>Our common stock warrant liability relates to the privately placed common stock warrants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condensed consolidated statements of operations and comprehensive loss.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Private Placement Warrants remained unexercised as of March 31, 2023. The liability was remeasured to fair value, resulting in a loss of $40.8 million and a gain of $523.3 million for the three months ended March 31, 2023 and 2022, respectively, and was classified within change in fair value of common stock warrant liability in the condensed consolidated statements of operations and comprehensive loss . See Note 7 “Common Stock Warrant Liability” to our condensed consolidated financial statements included elsewhere in this Quarterly Report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1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Interest income of $40.0 million for the three months ended March 31, 2023 primarily consisted of interest, as well as amortization and accretion of purchase premiums and discounts on our investments of available-for-sale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Interest expense consists primarily of contractual interest and amortization of debt discounts and debt issuance costs incurred related to the 2026 Notes issued in December 2021, interest and commitment fee as well as amortization of issuance costs incurred associated with ABL Credit Facility and GIB Credit Agreement, and interest on our finance leases.</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Interest expense decreased by $0.6 million for the three months ended March 31, 2023, as compared to the same period in the prior year, primarily due to an increase in interest capitalized on construction in progress related to significant capital asset construction, partially offset by an increase in commitment fees from the five-year senior secured asset-based revolving credit facility (“ABL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Other income (expense), net primarily consists of foreign currency gains and losses and dividend income from our investments.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did not significantly fluctuate during the three months ended March 31, 2023 as compared to the same period in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4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6220" w:type="dxa"/>
            <w:vAlign w:val="bottom"/>
            <w:vMerge w:val="continue"/>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2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6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5" w:name="page36"/>
    <w:bookmarkEnd w:id="35"/>
    <w:p>
      <w:pPr>
        <w:jc w:val="both"/>
        <w:ind w:right="320"/>
        <w:spacing w:after="0" w:line="263" w:lineRule="auto"/>
        <w:rPr>
          <w:sz w:val="20"/>
          <w:szCs w:val="20"/>
          <w:color w:val="auto"/>
        </w:rPr>
      </w:pPr>
      <w:r>
        <w:rPr>
          <w:rFonts w:ascii="Arial" w:cs="Arial" w:eastAsia="Arial" w:hAnsi="Arial"/>
          <w:sz w:val="18"/>
          <w:szCs w:val="18"/>
          <w:color w:val="auto"/>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84"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The provision for income taxes decreased by $0.2 million for the three months ended March 31, 2023, as compared to the same period in the prior year, primarily due to changes in the mix of jurisdictional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As of March 31, 2023, Lucid had approximately $3.4 billion of cash, cash equivalents and investments. Our sources of cash are predominantly from proceeds received upon the completion of the Merger, the issuance of convertible debt and proceeds from equity offerings.</w:t>
      </w:r>
    </w:p>
    <w:p>
      <w:pPr>
        <w:spacing w:after="0" w:line="1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expanding production and manufacturing at existing manufacturing facilities in Casa Grande, Arizona, (iv) Phase 2 of construction at AMP-1 in Casa Grande, Arizona, (v) construction of AMP-2, (vi) expansion of retail studios and service centers, and (vii) other initiatives related to the sale of vehicles and/ or technology.</w:t>
      </w:r>
    </w:p>
    <w:p>
      <w:pPr>
        <w:spacing w:after="0" w:line="188"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anticipate our cumulative spending on capital expenditures to be in the range of $1.4 billion to $1.6 billion for the fiscal year 2023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In addition, we expect our operating expenses to increase in order to grow and support the operations of a global automotive company targeting volumes in line with Lucid’s aspirations.</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March 31, 2023, our total minimum lease payments are $486.5 million, of which $35.1 million is due in 2023. We also have non-cancellable long-term commitments of $5.1 billion, primarily relating to certain inventory component purchases. For details regarding these obligations, refer to Note 10 “Leases” and Note 11 “Commitments and Contingencies” to the condensed consolidated financial statements included elsewhere in this Quarterly Report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2021, Lucid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March 31, 2023 and December 31, 2022, we were in compliance with applicable covenants under the indenture governing the 2026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Manufacturing Expansion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27, 2022, we announced that we had selected King Abdullah Economic City (“KAEC”) in Saudi Arabia as the location of our first international manufacturing plant and signed related agreements with the Ministry of Investment of Saudi Arabia, the Saudi Industrial Development Fund, and the Economic City at KAEC. The operations at the new plant would initially consist of re-assembly of the Lucid Air vehicle “kits” pre-manufactured in the U.S. and, over time, production of complete vehicles.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Saudi Industrial Development Fund (“SIDF”) Loan Agreement</w:t>
      </w:r>
    </w:p>
    <w:p>
      <w:pPr>
        <w:spacing w:after="0" w:line="225"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350 million (approximately $93.2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73"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SIDF Loans will not bear interest. Instead, Lucid LLC will be required to pay SIDF service fees, consisting of follow-up and technical evaluation fees, ranging, in aggregate, from SAR 415 million (approximately $110.6 million) to SAR 1.77 billion (approximately $471.5 million), over the term of the SIDF Loans. SIDF Loans will be secured by security interests in the equipment, machines and assets funded thereby.</w:t>
      </w:r>
    </w:p>
    <w:p>
      <w:pPr>
        <w:spacing w:after="0" w:line="1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March 31, 2023 and December 31, 2022, no amount was outstanding under the SIDF Loan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Ministry of Investment of Saudi Arabia </w:t>
      </w:r>
      <w:r>
        <w:rPr>
          <w:rFonts w:ascii="Arial" w:cs="Arial" w:eastAsia="Arial" w:hAnsi="Arial"/>
          <w:sz w:val="18"/>
          <w:szCs w:val="18"/>
          <w:color w:val="auto"/>
        </w:rPr>
        <w:t>(“</w:t>
      </w:r>
      <w:r>
        <w:rPr>
          <w:rFonts w:ascii="Arial" w:cs="Arial" w:eastAsia="Arial" w:hAnsi="Arial"/>
          <w:sz w:val="18"/>
          <w:szCs w:val="18"/>
          <w:i w:val="1"/>
          <w:iCs w:val="1"/>
          <w:color w:val="auto"/>
        </w:rPr>
        <w:t>MISA”) Agreements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completely-built-up (“CBU”) operations at AMP-2 at the latest.</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2022, we received support of SAR 366 million (approximately $97.3 million) in cash. We recorded $46.5 million and $64.0 million as deferred liability within other long-term liabilities on the condensed consolidated balance sheets as of March 31, 2023 and December 31, 2022, respectively. We also recorded $50.8 million and $33.3 million as a deduction in calculating the carrying amount of the related assets on the condensed consolidated balance sheets as of March 31, 2023 and December 31, 2022, respectively. There were no unfulfilled conditions and contingencies attached to the payments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42424"/>
        </w:rPr>
        <w:t>Gulf International Bank (“GIB”) Facility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29, 2022, Lucid LLC entered into a revolving credit facility agreement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beared interest at a rate of 1.25% per annum over 3-month SAIBOR and the Working Capital Facility beared interest at a rate of 1.70% per annum over 1~3-month SAIBOR and associated fees.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ind w:right="60"/>
        <w:spacing w:after="0" w:line="257" w:lineRule="auto"/>
        <w:rPr>
          <w:sz w:val="20"/>
          <w:szCs w:val="20"/>
          <w:color w:val="auto"/>
        </w:rPr>
      </w:pPr>
      <w:r>
        <w:rPr>
          <w:rFonts w:ascii="Arial" w:cs="Arial" w:eastAsia="Arial" w:hAnsi="Arial"/>
          <w:sz w:val="18"/>
          <w:szCs w:val="18"/>
          <w:color w:val="auto"/>
        </w:rPr>
        <w:t>On March 12, 2023, Lucid LLC entered into an amendment of the GIB Facility Agreement (together with the GIB Facility Agreement, the “Amended GIB Facility Agreement”) to combine the Bridge Facility and the Working Capital Facility into a committed SAR 1 billion (approximately $266.4 million) revolving credit facility (the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March 31, 2023, we had outstanding borrowings of SAR 36 million (approximately $9.6 million) with interest rate of 7.20%. As of March 31, 2023, availability under the GIB Credit Facility was SAR 963 million (approximately $256.7 million), after giving effect to the outstanding letters of credit. As of December 31, 2022, we had outstanding borrowings of SAR 36 million (approximately $9.6 million) with interest rate of 6.40% from the Working Capital Facility. As of December 31, 2022, available borrowings were SAR 650 million (approximately $173.0 million) and SAR 314 million (approximately $83.5 million) under the Bridge Facility and Working Capital Facility, respectively. The outstanding borrowings were recorded within other current liabilities on the condensed consolidated balance sheets. As of March 31, 2023 and December 31, 2022, we were in compliance with applicable covenants under the Amended GIB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(“FCCR”) financial covenant, in each case on terms set forth in the credit agreement governing the ABL Credit Facility. As of March 31, 2023 and December 31, 2022, we were in compliance with applicable covenants under the ABL Credit Facility.</w:t>
      </w:r>
    </w:p>
    <w:p>
      <w:pPr>
        <w:spacing w:after="0" w:line="195"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As of March 31, 2023 and December 31, 2022, we had no outstanding borrowings under the ABL Credit Facility. Outstanding letters of credit under the ABL Credit Facility were $37.9 million and $37.4 million as of March 31, 2023 and December 31, 2022, respectively. Availability under the ABL Credit Facility was $483.8 million (including $39.7 million cash and cash equivalents) and $441.4 million (including $37.3 million cash and cash equivalents) as of March 31, 2023 and December 31, 2022, respectively, after giving effect to the borrowing base and the outstanding letters of credit.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and Subscription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Subscription Agreement”) pursuant to the Subscription Agreement for $915.0 million. See Note 8 “Stockholders’ Equity” to the condensed consolidated financial statements included elsewhere in this Quarterly Report, for more information.</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have generated significant losses from our operations as reflected in our accumulated deficit of $8.1 billion and $7.4 billion as of March 31, 2023 and December 31, 2022, respectively. Additionally, we have generated significant negative cash flows from operations and investing activities as we continue to support the growth of our business.</w:t>
      </w:r>
    </w:p>
    <w:p>
      <w:pPr>
        <w:spacing w:after="0" w:line="18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Part II, Item 1A of this Quarterly Report.</w:t>
      </w:r>
    </w:p>
    <w:p>
      <w:pPr>
        <w:sectPr>
          <w:pgSz w:w="11900" w:h="16838" w:orient="portrait"/>
          <w:cols w:equalWidth="0" w:num="1">
            <w:col w:w="11240"/>
          </w:cols>
          <w:pgMar w:left="320" w:top="989"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(801,264)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(494,649)</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(185,082)</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(187,301)</w:t>
            </w:r>
          </w:p>
        </w:tc>
      </w:tr>
      <w:tr>
        <w:trPr>
          <w:trHeight w:val="210"/>
        </w:trPr>
        <w:tc>
          <w:tcPr>
            <w:tcW w:w="86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(835,725)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(867,032)</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8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Net cash used in operating activities increased by $306.6 million to $801.3 million during the three months ended March 31, 2023 compared to the same period in the prior year. The increase was primarily due to the increase in net loss excluding non-cash expenses and gains of $128.4 million and an overall increase in net operating assets and liabilities of $178.2 million. The change in net operating assets and liabilities was mainly attributable to decreases in other current liabilities and accounts payable due to timing of payments, partially offset by an increase in other current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flows from investing activities primarily relate to purchases of investments and capital expenditures to support our growth. We continue to experience negative cash flows from investing activities as we expand our business and continue to build our infrastructure.</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Net cash used in investing activities decreased by $156.4 million to $28.7 million during the three months ended March 31, 2023 compared to the same period in the prior year. The decrease was primarily attributable to proceeds from maturities of investments of $1,041.2 million, partially offset by purchases of investments of $842.5 million, and an increase in capital expenditures of $56.7 million during the three months ended March 31, 2023 compared to the same period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equity securities, including the At-the-Market Offering, the private placement to Ayar, convertible preferred stock, the proceeds of the Merger, and the 2026 Notes.</w:t>
      </w:r>
    </w:p>
    <w:p>
      <w:pPr>
        <w:spacing w:after="0" w:line="19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Net cash used in financing activities decreased by $181.6 million to $5.7 million during the three months ended March 31, 2023 compared to the same period in the prior year. The decrease was primarily attributable to $180.6 million of remittance for tax withholding obligations in connection with vesting of the CEO time-based and performance-based RSUs through net settlement during the three months ended March 31, 2022, and a decrease in proceeds from the exercises of stock options of $6.9 million during the three months ended March 31, 2023 compared to the same period in the prior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a description of our critical accounting policies and estimates, refer to Part II, Item 7, Critical Accounting Policies and Estimates in our Annual Report on Form 10-K for the year ended December 31, 2022 and Note 2 “Summary of Significant Accounting Policies” to our condensed consolidated financial statements in Item 1 of Part I of this Quarterly Report. There have been no material changes to our critical accounting policies and estimates since our Annual Report on Form 10-K for the year ended December 31, 2022.</w:t>
      </w:r>
    </w:p>
    <w:p>
      <w:pPr>
        <w:sectPr>
          <w:pgSz w:w="11900" w:h="16838" w:orient="portrait"/>
          <w:cols w:equalWidth="0" w:num="1">
            <w:col w:w="11240"/>
          </w:cols>
          <w:pgMar w:left="320" w:top="98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inflationary pressure.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exposed to market risk for changes in interest rates applicable to our Cash and cash equivalents, restricted cash, and investments. We had cash, cash equivalents, restricted cash, and investments totaling approximately $3.4 billion as of March 31, 2023.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March 31, 2023, a hypothetical 100 basis point increase in interest rates would result in approximately $12.3 million incremental decline in the fair market value of our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Risk</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dependent on its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their evaluation, our principal executive officer and principal financial officer concluded that as of March 31, 2023,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fiscal quarter ended March 31, 2023,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a description of our legal proceedings, see the description set forth in the “Legal Matters” section in Note 11 “Commitments and Contingencies” to our condensed consolidated financial statements in Item 1 of Part I of this Quarterly Report, which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49" w:lineRule="exact"/>
        <w:rPr>
          <w:sz w:val="20"/>
          <w:szCs w:val="20"/>
          <w:color w:val="auto"/>
        </w:rPr>
      </w:pPr>
    </w:p>
    <w:p>
      <w:pPr>
        <w:ind w:left="660" w:right="200" w:hanging="328"/>
        <w:spacing w:after="0" w:line="277" w:lineRule="auto"/>
        <w:tabs>
          <w:tab w:leader="none" w:pos="655"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limited operating history makes evaluating our business and future prospects difficult and may increase the risk of investing in our common stock.</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3"/>
        </w:numPr>
        <w:rPr>
          <w:rFonts w:ascii="Arial" w:cs="Arial" w:eastAsia="Arial" w:hAnsi="Arial"/>
          <w:sz w:val="16"/>
          <w:szCs w:val="16"/>
          <w:color w:val="231F20"/>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140" w:lineRule="exact"/>
        <w:rPr>
          <w:rFonts w:ascii="Arial" w:cs="Arial" w:eastAsia="Arial" w:hAnsi="Arial"/>
          <w:sz w:val="16"/>
          <w:szCs w:val="16"/>
          <w:color w:val="231F20"/>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We may be unable to adequately control the substantial costs associated with our operations.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Reservations and orders for our vehicles are cancellable.</w:t>
      </w:r>
    </w:p>
    <w:p>
      <w:pPr>
        <w:spacing w:after="0" w:line="117" w:lineRule="exact"/>
        <w:rPr>
          <w:rFonts w:ascii="Arial" w:cs="Arial" w:eastAsia="Arial" w:hAnsi="Arial"/>
          <w:sz w:val="18"/>
          <w:szCs w:val="18"/>
          <w:color w:val="231F20"/>
        </w:rPr>
      </w:pPr>
    </w:p>
    <w:p>
      <w:pPr>
        <w:ind w:left="660" w:right="260" w:hanging="328"/>
        <w:spacing w:after="0" w:line="277" w:lineRule="auto"/>
        <w:tabs>
          <w:tab w:leader="none" w:pos="655"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 global economic recession, government closures of banks and liquidity concerns at other financial institutions, or other downturn may have a material adverse impact on our business, prospects, results of operation and financial condition.</w:t>
      </w:r>
    </w:p>
    <w:p>
      <w:pPr>
        <w:spacing w:after="0" w:line="62" w:lineRule="exact"/>
        <w:rPr>
          <w:rFonts w:ascii="Arial" w:cs="Arial" w:eastAsia="Arial" w:hAnsi="Arial"/>
          <w:sz w:val="18"/>
          <w:szCs w:val="18"/>
          <w:color w:val="231F20"/>
        </w:rPr>
      </w:pPr>
    </w:p>
    <w:p>
      <w:pPr>
        <w:ind w:left="660" w:right="160" w:hanging="328"/>
        <w:spacing w:after="0" w:line="277" w:lineRule="auto"/>
        <w:tabs>
          <w:tab w:leader="none" w:pos="655"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We currently depend on revenue generated from a single model and in the foreseeable future will be significantly dependent on a limited number of models.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business and prospects depend significantly on our brand.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We will not have a third-party retail product distribution and full-service network.</w:t>
      </w:r>
    </w:p>
    <w:p>
      <w:pPr>
        <w:spacing w:after="0" w:line="117" w:lineRule="exact"/>
        <w:rPr>
          <w:rFonts w:ascii="Arial" w:cs="Arial" w:eastAsia="Arial" w:hAnsi="Arial"/>
          <w:sz w:val="18"/>
          <w:szCs w:val="18"/>
          <w:color w:val="231F20"/>
        </w:rPr>
      </w:pPr>
    </w:p>
    <w:p>
      <w:pPr>
        <w:ind w:left="660" w:right="880" w:hanging="328"/>
        <w:spacing w:after="0" w:line="277" w:lineRule="auto"/>
        <w:tabs>
          <w:tab w:leader="none" w:pos="655"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If we fail to manage our future growth effectively, we may not be able to develop, manufacture, distribute, market and sell our vehicles successfully.</w:t>
      </w:r>
    </w:p>
    <w:p>
      <w:pPr>
        <w:spacing w:after="0" w:line="62" w:lineRule="exact"/>
        <w:rPr>
          <w:rFonts w:ascii="Arial" w:cs="Arial" w:eastAsia="Arial" w:hAnsi="Arial"/>
          <w:sz w:val="18"/>
          <w:szCs w:val="18"/>
          <w:color w:val="231F20"/>
        </w:rPr>
      </w:pPr>
    </w:p>
    <w:p>
      <w:pPr>
        <w:ind w:left="660" w:right="100" w:hanging="328"/>
        <w:spacing w:after="0" w:line="277" w:lineRule="auto"/>
        <w:tabs>
          <w:tab w:leader="none" w:pos="655"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We face risks associated with international operations, including unfavorable regulatory, political, tax and labor conditions, which could harm our business.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3"/>
        </w:numPr>
        <w:rPr>
          <w:rFonts w:ascii="Arial" w:cs="Arial" w:eastAsia="Arial" w:hAnsi="Arial"/>
          <w:sz w:val="17"/>
          <w:szCs w:val="17"/>
          <w:color w:val="231F20"/>
        </w:rPr>
      </w:pPr>
      <w:r>
        <w:rPr>
          <w:rFonts w:ascii="Arial" w:cs="Arial" w:eastAsia="Arial" w:hAnsi="Arial"/>
          <w:sz w:val="17"/>
          <w:szCs w:val="17"/>
          <w:color w:val="auto"/>
        </w:rPr>
        <w:t>The automotive industry has significant barriers to entry that we must overcome in order to manufacture and sell electric vehicles at scale.</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automotive market is highly competitive, and we may not be successful in competing in this industry.</w:t>
      </w:r>
    </w:p>
    <w:p>
      <w:pPr>
        <w:spacing w:after="0" w:line="117" w:lineRule="exact"/>
        <w:rPr>
          <w:rFonts w:ascii="Arial" w:cs="Arial" w:eastAsia="Arial" w:hAnsi="Arial"/>
          <w:sz w:val="18"/>
          <w:szCs w:val="18"/>
          <w:color w:val="231F20"/>
        </w:rPr>
      </w:pPr>
    </w:p>
    <w:p>
      <w:pPr>
        <w:ind w:left="660" w:right="620" w:hanging="328"/>
        <w:spacing w:after="0" w:line="277" w:lineRule="auto"/>
        <w:tabs>
          <w:tab w:leader="none" w:pos="655"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We have experienced and may in the future experience significant delays in the design, manufacture, launch and financing of our vehicles, including the Lucid Air and the Lucid Gravity SUV, which could harm our business and prospects.</w:t>
      </w:r>
    </w:p>
    <w:p>
      <w:pPr>
        <w:spacing w:after="0" w:line="62" w:lineRule="exact"/>
        <w:rPr>
          <w:rFonts w:ascii="Arial" w:cs="Arial" w:eastAsia="Arial" w:hAnsi="Arial"/>
          <w:sz w:val="18"/>
          <w:szCs w:val="18"/>
          <w:color w:val="231F20"/>
        </w:rPr>
      </w:pPr>
    </w:p>
    <w:p>
      <w:pPr>
        <w:ind w:left="660" w:right="80" w:hanging="328"/>
        <w:spacing w:after="0" w:line="263" w:lineRule="auto"/>
        <w:tabs>
          <w:tab w:leader="none" w:pos="655"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75" w:lineRule="exact"/>
        <w:rPr>
          <w:rFonts w:ascii="Arial" w:cs="Arial" w:eastAsia="Arial" w:hAnsi="Arial"/>
          <w:sz w:val="18"/>
          <w:szCs w:val="18"/>
          <w:color w:val="231F20"/>
        </w:rPr>
      </w:pPr>
    </w:p>
    <w:p>
      <w:pPr>
        <w:ind w:left="660" w:right="320" w:hanging="328"/>
        <w:spacing w:after="0" w:line="301" w:lineRule="auto"/>
        <w:tabs>
          <w:tab w:leader="none" w:pos="655" w:val="left"/>
        </w:tabs>
        <w:numPr>
          <w:ilvl w:val="0"/>
          <w:numId w:val="13"/>
        </w:numPr>
        <w:rPr>
          <w:rFonts w:ascii="Arial" w:cs="Arial" w:eastAsia="Arial" w:hAnsi="Arial"/>
          <w:sz w:val="16"/>
          <w:szCs w:val="16"/>
          <w:color w:val="231F20"/>
        </w:rPr>
      </w:pPr>
      <w:r>
        <w:rPr>
          <w:rFonts w:ascii="Arial" w:cs="Arial" w:eastAsia="Arial" w:hAnsi="Arial"/>
          <w:sz w:val="16"/>
          <w:szCs w:val="16"/>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ind w:left="660" w:right="440" w:hanging="328"/>
        <w:spacing w:after="0" w:line="277"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Increases in costs, disruption of supply or shortage of materials, in particular for lithium-ion battery cells or semiconductors, could harm our business.</w:t>
      </w:r>
    </w:p>
    <w:p>
      <w:pPr>
        <w:spacing w:after="0" w:line="62" w:lineRule="exact"/>
        <w:rPr>
          <w:rFonts w:ascii="Arial" w:cs="Arial" w:eastAsia="Arial" w:hAnsi="Arial"/>
          <w:sz w:val="18"/>
          <w:szCs w:val="18"/>
          <w:color w:val="231F20"/>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If we fail to successfully construct or tool our manufacturing facilities or if our manufacturing facilities become inoperable, we will be unable to produce our vehicles and our business will be harmed.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We have limited experience in high volume manufacture of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We face challenges providing charging solutions for our vehicles, both domestically and internationally.</w:t>
      </w:r>
    </w:p>
    <w:p>
      <w:pPr>
        <w:spacing w:after="0" w:line="117" w:lineRule="exact"/>
        <w:rPr>
          <w:rFonts w:ascii="Arial" w:cs="Arial" w:eastAsia="Arial" w:hAnsi="Arial"/>
          <w:sz w:val="18"/>
          <w:szCs w:val="18"/>
          <w:color w:val="231F20"/>
        </w:rPr>
      </w:pPr>
    </w:p>
    <w:p>
      <w:pPr>
        <w:ind w:left="660" w:right="600" w:hanging="328"/>
        <w:spacing w:after="0" w:line="342" w:lineRule="auto"/>
        <w:tabs>
          <w:tab w:leader="none" w:pos="655" w:val="left"/>
        </w:tabs>
        <w:numPr>
          <w:ilvl w:val="0"/>
          <w:numId w:val="14"/>
        </w:numPr>
        <w:rPr>
          <w:rFonts w:ascii="Arial" w:cs="Arial" w:eastAsia="Arial" w:hAnsi="Arial"/>
          <w:sz w:val="16"/>
          <w:szCs w:val="16"/>
          <w:color w:val="231F20"/>
        </w:rPr>
      </w:pPr>
      <w:r>
        <w:rPr>
          <w:rFonts w:ascii="Arial" w:cs="Arial" w:eastAsia="Arial" w:hAnsi="Arial"/>
          <w:sz w:val="16"/>
          <w:szCs w:val="16"/>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5" w:lineRule="exact"/>
        <w:rPr>
          <w:rFonts w:ascii="Arial" w:cs="Arial" w:eastAsia="Arial" w:hAnsi="Arial"/>
          <w:sz w:val="16"/>
          <w:szCs w:val="16"/>
          <w:color w:val="231F20"/>
        </w:rPr>
      </w:pPr>
    </w:p>
    <w:p>
      <w:pPr>
        <w:ind w:left="660" w:right="340" w:hanging="328"/>
        <w:spacing w:after="0" w:line="308" w:lineRule="auto"/>
        <w:tabs>
          <w:tab w:leader="none" w:pos="655"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38" w:lineRule="exact"/>
        <w:rPr>
          <w:rFonts w:ascii="Arial" w:cs="Arial" w:eastAsia="Arial" w:hAnsi="Arial"/>
          <w:sz w:val="17"/>
          <w:szCs w:val="17"/>
          <w:color w:val="231F20"/>
        </w:rPr>
      </w:pPr>
    </w:p>
    <w:p>
      <w:pPr>
        <w:ind w:left="660" w:hanging="328"/>
        <w:spacing w:after="0" w:line="263"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75" w:lineRule="exact"/>
        <w:rPr>
          <w:rFonts w:ascii="Arial" w:cs="Arial" w:eastAsia="Arial" w:hAnsi="Arial"/>
          <w:sz w:val="18"/>
          <w:szCs w:val="18"/>
          <w:color w:val="231F20"/>
        </w:rPr>
      </w:pPr>
    </w:p>
    <w:p>
      <w:pPr>
        <w:jc w:val="both"/>
        <w:ind w:left="660" w:right="60" w:hanging="328"/>
        <w:spacing w:after="0" w:line="263"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75" w:lineRule="exact"/>
        <w:rPr>
          <w:rFonts w:ascii="Arial" w:cs="Arial" w:eastAsia="Arial" w:hAnsi="Arial"/>
          <w:sz w:val="18"/>
          <w:szCs w:val="18"/>
          <w:color w:val="231F20"/>
        </w:rPr>
      </w:pPr>
    </w:p>
    <w:p>
      <w:pPr>
        <w:ind w:left="660" w:right="20" w:hanging="328"/>
        <w:spacing w:after="0" w:line="263"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The loss of key employees or an inability to attract, retain and motivate qualified personnel may impair our ability to expand our business.</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We are highly dependent on the services of Peter Rawlinson, our Chief Executive Officer and Chief Technology Officer.</w:t>
      </w:r>
    </w:p>
    <w:p>
      <w:pPr>
        <w:spacing w:after="0" w:line="117" w:lineRule="exact"/>
        <w:rPr>
          <w:rFonts w:ascii="Arial" w:cs="Arial" w:eastAsia="Arial" w:hAnsi="Arial"/>
          <w:sz w:val="18"/>
          <w:szCs w:val="18"/>
          <w:color w:val="231F20"/>
        </w:rPr>
      </w:pPr>
    </w:p>
    <w:p>
      <w:pPr>
        <w:ind w:left="660" w:right="40" w:hanging="328"/>
        <w:spacing w:after="0" w:line="263"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75" w:lineRule="exact"/>
        <w:rPr>
          <w:rFonts w:ascii="Arial" w:cs="Arial" w:eastAsia="Arial" w:hAnsi="Arial"/>
          <w:sz w:val="18"/>
          <w:szCs w:val="18"/>
          <w:color w:val="231F20"/>
        </w:rPr>
      </w:pPr>
    </w:p>
    <w:p>
      <w:pPr>
        <w:ind w:left="660" w:right="560" w:hanging="328"/>
        <w:spacing w:after="0" w:line="277"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62" w:lineRule="exact"/>
        <w:rPr>
          <w:rFonts w:ascii="Arial" w:cs="Arial" w:eastAsia="Arial" w:hAnsi="Arial"/>
          <w:sz w:val="18"/>
          <w:szCs w:val="18"/>
          <w:color w:val="231F20"/>
        </w:rPr>
      </w:pPr>
    </w:p>
    <w:p>
      <w:pPr>
        <w:ind w:left="660" w:right="100" w:hanging="328"/>
        <w:spacing w:after="0" w:line="263"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6"/>
          <w:szCs w:val="16"/>
          <w:color w:val="231F20"/>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140" w:lineRule="exact"/>
        <w:rPr>
          <w:rFonts w:ascii="Arial" w:cs="Arial" w:eastAsia="Arial" w:hAnsi="Arial"/>
          <w:sz w:val="16"/>
          <w:szCs w:val="16"/>
          <w:color w:val="231F20"/>
        </w:rPr>
      </w:pPr>
    </w:p>
    <w:p>
      <w:pPr>
        <w:ind w:left="660" w:right="200" w:hanging="328"/>
        <w:spacing w:after="0" w:line="263"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75" w:lineRule="exact"/>
        <w:rPr>
          <w:rFonts w:ascii="Arial" w:cs="Arial" w:eastAsia="Arial" w:hAnsi="Arial"/>
          <w:sz w:val="18"/>
          <w:szCs w:val="18"/>
          <w:color w:val="231F20"/>
        </w:rPr>
      </w:pPr>
    </w:p>
    <w:p>
      <w:pPr>
        <w:jc w:val="both"/>
        <w:ind w:left="660" w:right="600" w:hanging="328"/>
        <w:spacing w:after="0" w:line="263" w:lineRule="auto"/>
        <w:tabs>
          <w:tab w:leader="none" w:pos="655"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PIF and Ayar beneficially own a significant equity interest in us and may take actions that conflict with other shareholder interests.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limited operating history makes evaluating our business and future prospects difficult and may increase the risk of your investment.</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We are an early-stage company with a limited operating history, operating in a rapidly evolving and highly regulated market. Furthermore, we have only released one commercially available vehicle, and we have limited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231F20"/>
        </w:rPr>
        <w:t>We have encountered and expect to continue to encounter risks and uncertainties frequently experienced by early-stage companies in rapidly changing markets, including risks relating to our ability to, among other things:</w:t>
      </w:r>
    </w:p>
    <w:p>
      <w:pPr>
        <w:spacing w:after="0" w:line="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hire, integrate and retain professional and technical talent, including key members of management;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continue to make significant investments in research, development, manufacturing, marketing and sales;</w:t>
      </w:r>
    </w:p>
    <w:p>
      <w:pPr>
        <w:spacing w:after="0" w:line="117" w:lineRule="exact"/>
        <w:rPr>
          <w:rFonts w:ascii="Arial" w:cs="Arial" w:eastAsia="Arial" w:hAnsi="Arial"/>
          <w:sz w:val="18"/>
          <w:szCs w:val="18"/>
          <w:color w:val="231F20"/>
        </w:rPr>
      </w:pPr>
    </w:p>
    <w:p>
      <w:pPr>
        <w:ind w:left="660" w:right="620" w:hanging="328"/>
        <w:spacing w:after="0" w:line="277"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successfully obtain, maintain, protect and enforce our intellectual property and defend against claims of intellectual property infringement, misappropriation or other violation;</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build a well-recognized and respected brand;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 implement, refine and scale our commercial manufacturing capabilities and distribution infrastructure;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 and maintain satisfactory arrangements with third-party suppliers;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 and expand a customer base;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navigate an evolving and complex regulatory environment;</w:t>
      </w:r>
    </w:p>
    <w:p>
      <w:pPr>
        <w:spacing w:after="0" w:line="117" w:lineRule="exact"/>
        <w:rPr>
          <w:rFonts w:ascii="Arial" w:cs="Arial" w:eastAsia="Arial" w:hAnsi="Arial"/>
          <w:sz w:val="18"/>
          <w:szCs w:val="18"/>
          <w:color w:val="231F20"/>
        </w:rPr>
      </w:pPr>
    </w:p>
    <w:p>
      <w:pPr>
        <w:ind w:left="660" w:right="340" w:hanging="328"/>
        <w:spacing w:after="0" w:line="277" w:lineRule="auto"/>
        <w:tabs>
          <w:tab w:leader="none" w:pos="655"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anticipate and adapt to changing market conditions, including consumer demand for certain vehicle types, models or trim levels, technological developments and changes in competitive landscape;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successfully design, build, manufacture and market new variants and models of electric vehicles, such as the Lucid Gravity SUV.</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We have incurred net losses each year since our inception and expect to incur increasing expenses and substantial losses for the foreseeable future.</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We have incurred net losses each year since our inception, including net loss of a</w:t>
      </w:r>
      <w:r>
        <w:rPr>
          <w:rFonts w:ascii="Arial" w:cs="Arial" w:eastAsia="Arial" w:hAnsi="Arial"/>
          <w:sz w:val="18"/>
          <w:szCs w:val="18"/>
          <w:color w:val="242424"/>
        </w:rPr>
        <w:t>pprox</w:t>
      </w:r>
      <w:r>
        <w:rPr>
          <w:rFonts w:ascii="Arial" w:cs="Arial" w:eastAsia="Arial" w:hAnsi="Arial"/>
          <w:sz w:val="18"/>
          <w:szCs w:val="18"/>
          <w:color w:val="000000"/>
        </w:rPr>
        <w:t>imately $0.8 billion for the three months ended March 31, 2023. As</w:t>
      </w:r>
      <w:r>
        <w:rPr>
          <w:rFonts w:ascii="Arial" w:cs="Arial" w:eastAsia="Arial" w:hAnsi="Arial"/>
          <w:sz w:val="18"/>
          <w:szCs w:val="18"/>
          <w:color w:val="231F20"/>
        </w:rPr>
        <w:t xml:space="preserve"> </w:t>
      </w:r>
      <w:r>
        <w:rPr>
          <w:rFonts w:ascii="Arial" w:cs="Arial" w:eastAsia="Arial" w:hAnsi="Arial"/>
          <w:sz w:val="18"/>
          <w:szCs w:val="18"/>
          <w:color w:val="000000"/>
        </w:rPr>
        <w:t>of March 31, 2023, our accumulated deficit was approximately $8.1 billion. We expec</w:t>
      </w:r>
      <w:r>
        <w:rPr>
          <w:rFonts w:ascii="Arial" w:cs="Arial" w:eastAsia="Arial" w:hAnsi="Arial"/>
          <w:sz w:val="18"/>
          <w:szCs w:val="18"/>
          <w:color w:val="242424"/>
        </w:rPr>
        <w:t>t to continue to inc</w:t>
      </w:r>
      <w:r>
        <w:rPr>
          <w:rFonts w:ascii="Arial" w:cs="Arial" w:eastAsia="Arial" w:hAnsi="Arial"/>
          <w:sz w:val="18"/>
          <w:szCs w:val="18"/>
          <w:color w:val="000000"/>
        </w:rPr>
        <w:t>ur substantial losses and increasing expenses in the foreseeable future as we:</w:t>
      </w:r>
    </w:p>
    <w:p>
      <w:pPr>
        <w:spacing w:after="0" w:line="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continue to design, develop and manufacture our vehicles;</w:t>
      </w:r>
    </w:p>
    <w:p>
      <w:pPr>
        <w:spacing w:after="0" w:line="117" w:lineRule="exact"/>
        <w:rPr>
          <w:rFonts w:ascii="Arial" w:cs="Arial" w:eastAsia="Arial" w:hAnsi="Arial"/>
          <w:sz w:val="18"/>
          <w:szCs w:val="18"/>
          <w:color w:val="231F20"/>
        </w:rPr>
      </w:pPr>
    </w:p>
    <w:p>
      <w:pPr>
        <w:ind w:left="660" w:right="260" w:hanging="328"/>
        <w:spacing w:after="0" w:line="277" w:lineRule="auto"/>
        <w:tabs>
          <w:tab w:leader="none" w:pos="655"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equip and expand our research, service, battery, powertrain, and manufacturing facilities to produce our vehicles in Arizona and in international locations such as Saudi Arabia;</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build up inventories of parts and components for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manufacture and store an available inventory of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develop and deploy geographically dispersed vehicle charging partnerships;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expand our design, research, development, maintenance and repair capabilities and facilities;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increase our sales and marketing activities and develop our distribution infrastructure;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expand our general and administrative functions to support our growing operations and status as a public company.</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231F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unable to adequately control the substantial costs associated with our operations.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 xml:space="preserve">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have limited historical experience forecasting and budgeting for any of these expenses, and these expenses could be significantly higher than we currently anticipate. </w:t>
      </w:r>
      <w:r>
        <w:rPr>
          <w:rFonts w:ascii="Arial" w:cs="Arial" w:eastAsia="Arial" w:hAnsi="Arial"/>
          <w:sz w:val="16"/>
          <w:szCs w:val="16"/>
          <w:color w:val="000000"/>
        </w:rPr>
        <w:t>While we have announced the Restructuring Plan intended to</w:t>
      </w:r>
      <w:r>
        <w:rPr>
          <w:rFonts w:ascii="Arial" w:cs="Arial" w:eastAsia="Arial" w:hAnsi="Arial"/>
          <w:sz w:val="16"/>
          <w:szCs w:val="16"/>
          <w:color w:val="231F20"/>
        </w:rPr>
        <w:t xml:space="preserve"> </w:t>
      </w:r>
      <w:r>
        <w:rPr>
          <w:rFonts w:ascii="Arial" w:cs="Arial" w:eastAsia="Arial" w:hAnsi="Arial"/>
          <w:sz w:val="16"/>
          <w:szCs w:val="16"/>
          <w:color w:val="000000"/>
        </w:rPr>
        <w:t xml:space="preserve">reduce our operating expenses, there is no guarantee that the Restructuring Plan will generate its intended benefits and the charges and expenditures associated with the Restructuring Plan may be greater than anticipated. If we are unable to realize the expected operational efficiencies and cost savings, our operating results and financial condition may be materially and adversely affected. </w:t>
      </w:r>
      <w:r>
        <w:rPr>
          <w:rFonts w:ascii="Arial" w:cs="Arial" w:eastAsia="Arial" w:hAnsi="Arial"/>
          <w:sz w:val="16"/>
          <w:szCs w:val="16"/>
          <w:color w:val="231F20"/>
        </w:rPr>
        <w:t>In addition, any disruption to our manufacturing operations,</w:t>
      </w:r>
      <w:r>
        <w:rPr>
          <w:rFonts w:ascii="Arial" w:cs="Arial" w:eastAsia="Arial" w:hAnsi="Arial"/>
          <w:sz w:val="16"/>
          <w:szCs w:val="16"/>
          <w:color w:val="000000"/>
        </w:rPr>
        <w:t xml:space="preserve"> </w:t>
      </w:r>
      <w:r>
        <w:rPr>
          <w:rFonts w:ascii="Arial" w:cs="Arial" w:eastAsia="Arial" w:hAnsi="Arial"/>
          <w:sz w:val="16"/>
          <w:szCs w:val="16"/>
          <w:color w:val="231F20"/>
        </w:rPr>
        <w:t>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ectPr>
          <w:pgSz w:w="11900" w:h="16838" w:orient="portrait"/>
          <w:cols w:equalWidth="0" w:num="1">
            <w:col w:w="11240"/>
          </w:cols>
          <w:pgMar w:left="320" w:top="989" w:right="3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3" w:name="page44"/>
    <w:bookmarkEnd w:id="43"/>
    <w:p>
      <w:pPr>
        <w:ind w:right="100"/>
        <w:spacing w:after="0" w:line="259" w:lineRule="auto"/>
        <w:rPr>
          <w:sz w:val="20"/>
          <w:szCs w:val="20"/>
          <w:color w:val="auto"/>
        </w:rPr>
      </w:pPr>
      <w:r>
        <w:rPr>
          <w:rFonts w:ascii="Arial" w:cs="Arial" w:eastAsia="Arial" w:hAnsi="Arial"/>
          <w:sz w:val="18"/>
          <w:szCs w:val="18"/>
          <w:color w:val="231F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Reservations and orders for our vehicles are cancellable.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customers may cancel their reservations without penalty and for any reason until they place an order for their vehicle. In addition, our customers may also cancel their orders, but will lose their deposit. Delays in customer deliveries, delays in the availability of options, potential changes in customer preferences, competitive developments and other factors could result in significant customer cancellations or cause delays in conversions of reservations to orders. In addition, customers who placed orders prior to the enactment of the Inflation Reduction Act of 2022 in an effort to maintain eligibility for a federal tax credit, may decide to cancel their orders based upon the initial guidance provided by the Internal Revenue Service that could negatively affect our customers’ ability to receive tax credits for those orders. Any event or incident which generates negative media coverage about us or the safety or quality of our vehicles could also result in significant customer cancellations. No assurance can be given that reservations or orders will not be cancelled and will ultimately result in the final purchase, delivery and sale or lease of vehicles. Accordingly, the number of reservations and orders have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spacing w:after="0" w:line="1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31F20"/>
        </w:rPr>
        <w:t>A global economic recession, government closures of banks and liquidity concerns at other financial institutions, or other downturn may have a material adverse impact on our business, prospects, results of operations and financial condition.</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 global economic recession or other downturn, whether due to inflation, ongoing conflict in Ukraine or other geopolitical events, COVID-19 or other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w:t>
      </w:r>
      <w:r>
        <w:rPr>
          <w:rFonts w:ascii="Arial" w:cs="Arial" w:eastAsia="Arial" w:hAnsi="Arial"/>
          <w:sz w:val="16"/>
          <w:szCs w:val="16"/>
          <w:color w:val="231F20"/>
        </w:rPr>
        <w:t>fluctuations in foreign currency</w:t>
      </w:r>
      <w:r>
        <w:rPr>
          <w:rFonts w:ascii="Arial" w:cs="Arial" w:eastAsia="Arial" w:hAnsi="Arial"/>
          <w:sz w:val="16"/>
          <w:szCs w:val="16"/>
          <w:color w:val="auto"/>
        </w:rPr>
        <w:t xml:space="preserve"> </w:t>
      </w:r>
      <w:r>
        <w:rPr>
          <w:rFonts w:ascii="Arial" w:cs="Arial" w:eastAsia="Arial" w:hAnsi="Arial"/>
          <w:sz w:val="16"/>
          <w:szCs w:val="16"/>
          <w:color w:val="231F20"/>
        </w:rPr>
        <w:t xml:space="preserve">exchange rates, </w:t>
      </w:r>
      <w:r>
        <w:rPr>
          <w:rFonts w:ascii="Arial" w:cs="Arial" w:eastAsia="Arial" w:hAnsi="Arial"/>
          <w:sz w:val="16"/>
          <w:szCs w:val="16"/>
          <w:color w:val="000000"/>
        </w:rPr>
        <w:t>and weakened consumer confidence. Reduced demand for our products may result in significant decreases in our product sales, which in</w:t>
      </w:r>
      <w:r>
        <w:rPr>
          <w:rFonts w:ascii="Arial" w:cs="Arial" w:eastAsia="Arial" w:hAnsi="Arial"/>
          <w:sz w:val="16"/>
          <w:szCs w:val="16"/>
          <w:color w:val="231F20"/>
        </w:rPr>
        <w:t xml:space="preserve"> </w:t>
      </w:r>
      <w:r>
        <w:rPr>
          <w:rFonts w:ascii="Arial" w:cs="Arial" w:eastAsia="Arial" w:hAnsi="Arial"/>
          <w:sz w:val="16"/>
          <w:szCs w:val="16"/>
          <w:color w:val="000000"/>
        </w:rPr>
        <w:t xml:space="preserve">turn would have a material adverse impact on our business, prospects, financial condition and results of operations. </w:t>
      </w:r>
      <w:r>
        <w:rPr>
          <w:rFonts w:ascii="Arial" w:cs="Arial" w:eastAsia="Arial" w:hAnsi="Arial"/>
          <w:sz w:val="16"/>
          <w:szCs w:val="16"/>
          <w:color w:val="231F20"/>
        </w:rPr>
        <w:t>Because of our premium brand</w:t>
      </w:r>
      <w:r>
        <w:rPr>
          <w:rFonts w:ascii="Arial" w:cs="Arial" w:eastAsia="Arial" w:hAnsi="Arial"/>
          <w:sz w:val="16"/>
          <w:szCs w:val="16"/>
          <w:color w:val="000000"/>
        </w:rPr>
        <w:t xml:space="preserve"> </w:t>
      </w:r>
      <w:r>
        <w:rPr>
          <w:rFonts w:ascii="Arial" w:cs="Arial" w:eastAsia="Arial" w:hAnsi="Arial"/>
          <w:sz w:val="16"/>
          <w:szCs w:val="16"/>
          <w:color w:val="231F20"/>
        </w:rPr>
        <w:t>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Arial" w:cs="Arial" w:eastAsia="Arial" w:hAnsi="Arial"/>
          <w:sz w:val="17"/>
          <w:szCs w:val="17"/>
          <w:i w:val="1"/>
          <w:iCs w:val="1"/>
          <w:color w:val="auto"/>
        </w:rPr>
        <w:t>We will require additional capital to support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growth, and this capital might not be available on commercially reasonable terms, or at all</w:t>
      </w:r>
      <w:r>
        <w:rPr>
          <w:rFonts w:ascii="Arial" w:cs="Arial" w:eastAsia="Arial" w:hAnsi="Arial"/>
          <w:sz w:val="17"/>
          <w:szCs w:val="17"/>
          <w:color w:val="auto"/>
        </w:rPr>
        <w:t>.”</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We currently depend on revenue generated from a single model and in the foreseeable future will be significantly dependent on a limited number of models.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 xml:space="preserve">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or future models is delayed or reduced, or if the Lucid Air or future models are not well-received by the market for any reason, our revenue and cash flow would be adversely affected, we may need to seek additional financing earlier than we expect, and such financing may not be available to us on commercially </w:t>
      </w:r>
      <w:r>
        <w:rPr>
          <w:rFonts w:ascii="Arial" w:cs="Arial" w:eastAsia="Arial" w:hAnsi="Arial"/>
          <w:sz w:val="16"/>
          <w:szCs w:val="16"/>
          <w:color w:val="242424"/>
        </w:rPr>
        <w:t>reasonable terms, or at all.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spacing w:after="0" w:line="275" w:lineRule="auto"/>
        <w:rPr>
          <w:sz w:val="20"/>
          <w:szCs w:val="20"/>
          <w:color w:val="auto"/>
        </w:rPr>
      </w:pPr>
      <w:r>
        <w:rPr>
          <w:rFonts w:ascii="Arial" w:cs="Arial" w:eastAsia="Arial" w:hAnsi="Arial"/>
          <w:sz w:val="17"/>
          <w:szCs w:val="17"/>
          <w:color w:val="231F20"/>
        </w:rPr>
        <w:t xml:space="preserve">In addition, on April 20, 2022, we entered into an agreement with the Ministry of Finance of Saudi Arabia, under which the Government of Saudi Arabia and its entities and corporate subsidiaries undertook to purchase up to 100,000 vehicles over a ten-year period, </w:t>
      </w:r>
      <w:r>
        <w:rPr>
          <w:rFonts w:ascii="Arial" w:cs="Arial" w:eastAsia="Arial" w:hAnsi="Arial"/>
          <w:sz w:val="17"/>
          <w:szCs w:val="17"/>
          <w:color w:val="000000"/>
        </w:rPr>
        <w:t>with an initial commitment to purchase</w:t>
      </w:r>
      <w:r>
        <w:rPr>
          <w:rFonts w:ascii="Arial" w:cs="Arial" w:eastAsia="Arial" w:hAnsi="Arial"/>
          <w:sz w:val="17"/>
          <w:szCs w:val="17"/>
          <w:color w:val="231F20"/>
        </w:rPr>
        <w:t xml:space="preserve"> </w:t>
      </w:r>
      <w:r>
        <w:rPr>
          <w:rFonts w:ascii="Arial" w:cs="Arial" w:eastAsia="Arial" w:hAnsi="Arial"/>
          <w:sz w:val="17"/>
          <w:szCs w:val="17"/>
          <w:color w:val="000000"/>
        </w:rPr>
        <w:t xml:space="preserve">50,000 vehicles and </w:t>
      </w:r>
      <w:r>
        <w:rPr>
          <w:rFonts w:ascii="Arial" w:cs="Arial" w:eastAsia="Arial" w:hAnsi="Arial"/>
          <w:sz w:val="17"/>
          <w:szCs w:val="17"/>
          <w:color w:val="231F20"/>
        </w:rPr>
        <w:t>an option to purchase up to an additional 50,000 vehicles over the same period. The purchase price is determined by the lower of (i) the</w:t>
      </w:r>
      <w:r>
        <w:rPr>
          <w:rFonts w:ascii="Arial" w:cs="Arial" w:eastAsia="Arial" w:hAnsi="Arial"/>
          <w:sz w:val="17"/>
          <w:szCs w:val="17"/>
          <w:color w:val="000000"/>
        </w:rPr>
        <w:t xml:space="preserve"> </w:t>
      </w:r>
      <w:r>
        <w:rPr>
          <w:rFonts w:ascii="Arial" w:cs="Arial" w:eastAsia="Arial" w:hAnsi="Arial"/>
          <w:sz w:val="17"/>
          <w:szCs w:val="17"/>
          <w:color w:val="231F20"/>
        </w:rPr>
        <w:t>standard retail price for the applicable vehicle in Saudi Arabia; and (ii) the standard retail price for the applicable vehicle in the United States, plus actual cost of logistics, importing, and other actual costs of delivering and homologating vehicles to Saudi Arabian regulations.</w:t>
      </w:r>
    </w:p>
    <w:p>
      <w:pPr>
        <w:spacing w:after="0" w:line="17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231F20"/>
        </w:rPr>
        <w:t>If we experience delays in manufacturing and delivering vehicles ordered by the Government of Saudi Arabia, fail to or experience delays in homologating vehicles to comply with Saudi Arabian regulations, or fail to set the appropriate purchase price for such vehicles, our revenue, cash flow and results of operations and financial condition could be adversely affected. Furthermore, if the Government of Saudi Arabia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Our business and prospects depend significantly on our brand.</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242424"/>
        </w:rPr>
        <w:t>Our business and prospects will heavily depend on our ability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42424"/>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42424"/>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42424"/>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42424"/>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traditional automotive manufacturers now producing electric vehicles go out of business, discontinue production of electric vehicles,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242424"/>
        </w:rPr>
        <w:t>We will not have a third-party retail product distribution and full-service network.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242424"/>
        </w:rPr>
        <w:t>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Our ability to generate meaningful product revenue will depend on consumer adoption of electric vehicles.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242424"/>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42424"/>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w:t>
      </w:r>
      <w:r>
        <w:rPr>
          <w:rFonts w:ascii="Arial" w:cs="Arial" w:eastAsia="Arial" w:hAnsi="Arial"/>
          <w:sz w:val="17"/>
          <w:szCs w:val="17"/>
          <w:color w:val="231F20"/>
        </w:rPr>
        <w:t>les of vehicles in the automotive industry tend to be cyclical in many markets, which may expose us to increased volatility, especially as we</w:t>
      </w:r>
      <w:r>
        <w:rPr>
          <w:rFonts w:ascii="Arial" w:cs="Arial" w:eastAsia="Arial" w:hAnsi="Arial"/>
          <w:sz w:val="17"/>
          <w:szCs w:val="17"/>
          <w:color w:val="242424"/>
        </w:rPr>
        <w:t xml:space="preserve"> </w:t>
      </w:r>
      <w:r>
        <w:rPr>
          <w:rFonts w:ascii="Arial" w:cs="Arial" w:eastAsia="Arial" w:hAnsi="Arial"/>
          <w:sz w:val="17"/>
          <w:szCs w:val="17"/>
          <w:color w:val="231F20"/>
        </w:rPr>
        <w:t>expand and adjust our operations and retail strategies. Specifically, it is uncertain how such macroeconomic factors will impact us as a new entrant in an industry that has globally been experiencing a recent decline in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231F20"/>
        </w:rPr>
        <w:t>Other factors that may influence the adoption of electric vehicles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perceptions about electric vehicle quality, safety, design, performance and cost;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perceptions about the limited range over which electric vehicles may be driven on a single battery charge;</w:t>
      </w:r>
    </w:p>
    <w:p>
      <w:pPr>
        <w:spacing w:after="0" w:line="117" w:lineRule="exact"/>
        <w:rPr>
          <w:rFonts w:ascii="Arial" w:cs="Arial" w:eastAsia="Arial" w:hAnsi="Arial"/>
          <w:sz w:val="18"/>
          <w:szCs w:val="18"/>
          <w:color w:val="231F20"/>
        </w:rPr>
      </w:pPr>
    </w:p>
    <w:p>
      <w:pPr>
        <w:ind w:left="660" w:right="200" w:hanging="328"/>
        <w:spacing w:after="0" w:line="342" w:lineRule="auto"/>
        <w:tabs>
          <w:tab w:leader="none" w:pos="655"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5" w:lineRule="exact"/>
        <w:rPr>
          <w:rFonts w:ascii="Arial" w:cs="Arial" w:eastAsia="Arial" w:hAnsi="Arial"/>
          <w:sz w:val="16"/>
          <w:szCs w:val="16"/>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concerns about electric grid capacity and reliability;</w:t>
      </w:r>
    </w:p>
    <w:p>
      <w:pPr>
        <w:spacing w:after="0" w:line="117" w:lineRule="exact"/>
        <w:rPr>
          <w:rFonts w:ascii="Arial" w:cs="Arial" w:eastAsia="Arial" w:hAnsi="Arial"/>
          <w:sz w:val="18"/>
          <w:szCs w:val="18"/>
          <w:color w:val="231F20"/>
        </w:rPr>
      </w:pPr>
    </w:p>
    <w:p>
      <w:pPr>
        <w:ind w:left="660" w:right="360" w:hanging="328"/>
        <w:spacing w:after="0" w:line="277" w:lineRule="auto"/>
        <w:tabs>
          <w:tab w:leader="none" w:pos="65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availability of other alternative fuel vehicles, including plug-in hybrid electric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improvements in the fuel economy of the internal combustion engine;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quality and availability of service for electric vehicles, especially in international markets;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volatility in the cost of oil and gasoline;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government regulations and economic incentives promoting fuel efficiency and alternate forms of energy;</w:t>
      </w:r>
    </w:p>
    <w:p>
      <w:pPr>
        <w:spacing w:after="0" w:line="117" w:lineRule="exact"/>
        <w:rPr>
          <w:rFonts w:ascii="Arial" w:cs="Arial" w:eastAsia="Arial" w:hAnsi="Arial"/>
          <w:sz w:val="18"/>
          <w:szCs w:val="18"/>
          <w:color w:val="231F20"/>
        </w:rPr>
      </w:pPr>
    </w:p>
    <w:p>
      <w:pPr>
        <w:ind w:left="660" w:right="740" w:hanging="328"/>
        <w:spacing w:after="0" w:line="277" w:lineRule="auto"/>
        <w:tabs>
          <w:tab w:leader="none" w:pos="65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access to charging stations and cost to charge an electric vehicle, especially in international markets, and related infrastructure costs and standardization;</w:t>
      </w:r>
    </w:p>
    <w:p>
      <w:pPr>
        <w:spacing w:after="0" w:line="62" w:lineRule="exact"/>
        <w:rPr>
          <w:rFonts w:ascii="Arial" w:cs="Arial" w:eastAsia="Arial" w:hAnsi="Arial"/>
          <w:sz w:val="18"/>
          <w:szCs w:val="18"/>
          <w:color w:val="231F20"/>
        </w:rPr>
      </w:pPr>
    </w:p>
    <w:p>
      <w:pPr>
        <w:ind w:left="660" w:right="160" w:hanging="328"/>
        <w:spacing w:after="0" w:line="277" w:lineRule="auto"/>
        <w:tabs>
          <w:tab w:leader="none" w:pos="65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availability of tax and other governmental incentives to purchase and operate electric vehicles or future regulation requiring increased use of nonpolluting vehicles;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macroeconomic factors.</w:t>
      </w:r>
    </w:p>
    <w:p>
      <w:pPr>
        <w:sectPr>
          <w:pgSz w:w="11900" w:h="16838" w:orient="portrait"/>
          <w:cols w:equalWidth="0" w:num="1">
            <w:col w:w="11180"/>
          </w:cols>
          <w:pgMar w:left="320" w:top="989" w:right="39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type w:val="continuous"/>
        </w:sectPr>
      </w:pPr>
    </w:p>
    <w:bookmarkStart w:id="46" w:name="page47"/>
    <w:bookmarkEnd w:id="46"/>
    <w:p>
      <w:pPr>
        <w:ind w:right="200"/>
        <w:spacing w:after="0" w:line="342" w:lineRule="auto"/>
        <w:rPr>
          <w:sz w:val="20"/>
          <w:szCs w:val="20"/>
          <w:color w:val="auto"/>
        </w:rPr>
      </w:pPr>
      <w:r>
        <w:rPr>
          <w:rFonts w:ascii="Arial" w:cs="Arial" w:eastAsia="Arial" w:hAnsi="Arial"/>
          <w:sz w:val="16"/>
          <w:szCs w:val="16"/>
          <w:color w:val="231F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fail to manage our future growth effectively, we may not be able to develop, manufacture, distribute, market and sell our vehicles successfully.</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231F20"/>
        </w:rPr>
        <w:t>Any failure to manage our growth effectively could materially and adversely affect our business, prospects, results of operations and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We are expanding our operations significantly and our current and future expansion plans include:</w:t>
      </w:r>
    </w:p>
    <w:p>
      <w:pPr>
        <w:spacing w:after="0" w:line="10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expanding our management team;</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hiring and training new personnel;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establishing or expanding design, manufacturing, distribution, sales and service facilities;</w:t>
      </w:r>
    </w:p>
    <w:p>
      <w:pPr>
        <w:spacing w:after="0" w:line="117" w:lineRule="exact"/>
        <w:rPr>
          <w:rFonts w:ascii="Arial" w:cs="Arial" w:eastAsia="Arial" w:hAnsi="Arial"/>
          <w:sz w:val="18"/>
          <w:szCs w:val="18"/>
          <w:color w:val="231F20"/>
        </w:rPr>
      </w:pPr>
    </w:p>
    <w:p>
      <w:pPr>
        <w:ind w:left="660" w:right="380" w:hanging="328"/>
        <w:spacing w:after="0" w:line="277" w:lineRule="auto"/>
        <w:tabs>
          <w:tab w:leader="none" w:pos="655"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implementing and enhancing administrative and business infrastructure, governance, systems and processes, including in connection with our maturation as a public company; and</w:t>
      </w:r>
    </w:p>
    <w:p>
      <w:pPr>
        <w:spacing w:after="0" w:line="62" w:lineRule="exact"/>
        <w:rPr>
          <w:rFonts w:ascii="Arial" w:cs="Arial" w:eastAsia="Arial" w:hAnsi="Arial"/>
          <w:sz w:val="18"/>
          <w:szCs w:val="18"/>
          <w:color w:val="231F20"/>
        </w:rPr>
      </w:pPr>
    </w:p>
    <w:p>
      <w:pPr>
        <w:ind w:left="660" w:right="600" w:hanging="328"/>
        <w:spacing w:after="0" w:line="277" w:lineRule="auto"/>
        <w:tabs>
          <w:tab w:leader="none" w:pos="655"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expanding into new markets and establishing sales, service, administrative, distribution, and/or manufacturing operations in many of those markets.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require qualified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the Restructuring Plan, which involves the reduction of our employee workforce, may adversely affect our internal programs and initiatives as well as our ability to recruit and retain skilled and motivated personnel. The Restructuring Plan may also be distracting to employees and management and may negatively impact our business operations, reputation, or ability to serve customers. We also cannot provide any assurances that we will not have to undertake additional workforce reductions in the future. The failure to identify, attract, integrate, train, motivate and retain these employees could seriously harm our business and pros</w:t>
      </w:r>
      <w:r>
        <w:rPr>
          <w:rFonts w:ascii="Arial" w:cs="Arial" w:eastAsia="Arial" w:hAnsi="Arial"/>
          <w:sz w:val="16"/>
          <w:szCs w:val="16"/>
          <w:color w:val="000000"/>
        </w:rPr>
        <w:t>pects. In addition, our employee equity program is a key factor in our ability to attract and retain talent and continue to support the growth of the</w:t>
      </w:r>
      <w:r>
        <w:rPr>
          <w:rFonts w:ascii="Arial" w:cs="Arial" w:eastAsia="Arial" w:hAnsi="Arial"/>
          <w:sz w:val="16"/>
          <w:szCs w:val="16"/>
          <w:color w:val="231F20"/>
        </w:rPr>
        <w:t xml:space="preserve"> </w:t>
      </w:r>
      <w:r>
        <w:rPr>
          <w:rFonts w:ascii="Arial" w:cs="Arial" w:eastAsia="Arial" w:hAnsi="Arial"/>
          <w:sz w:val="16"/>
          <w:szCs w:val="16"/>
          <w:color w:val="000000"/>
        </w:rPr>
        <w:t xml:space="preserve">company. If </w:t>
      </w:r>
      <w:r>
        <w:rPr>
          <w:rFonts w:ascii="Arial" w:cs="Arial" w:eastAsia="Arial" w:hAnsi="Arial"/>
          <w:sz w:val="16"/>
          <w:szCs w:val="16"/>
          <w:color w:val="231F20"/>
        </w:rPr>
        <w:t>we are unable to grant equity awards, or if we are forced to reduce the value of equity awards to be received by the employees for any reason,</w:t>
      </w:r>
      <w:r>
        <w:rPr>
          <w:rFonts w:ascii="Arial" w:cs="Arial" w:eastAsia="Arial" w:hAnsi="Arial"/>
          <w:sz w:val="16"/>
          <w:szCs w:val="16"/>
          <w:color w:val="000000"/>
        </w:rPr>
        <w:t xml:space="preserve"> </w:t>
      </w:r>
      <w:r>
        <w:rPr>
          <w:rFonts w:ascii="Arial" w:cs="Arial" w:eastAsia="Arial" w:hAnsi="Arial"/>
          <w:sz w:val="16"/>
          <w:szCs w:val="16"/>
          <w:color w:val="231F20"/>
        </w:rPr>
        <w:t>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spacing w:after="0" w:line="16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231F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7" w:name="page48"/>
    <w:bookmarkEnd w:id="47"/>
    <w:p>
      <w:pPr>
        <w:ind w:right="360"/>
        <w:spacing w:after="0" w:line="277" w:lineRule="auto"/>
        <w:rPr>
          <w:sz w:val="20"/>
          <w:szCs w:val="20"/>
          <w:color w:val="auto"/>
        </w:rPr>
      </w:pPr>
      <w:r>
        <w:rPr>
          <w:rFonts w:ascii="Arial" w:cs="Arial" w:eastAsia="Arial" w:hAnsi="Arial"/>
          <w:sz w:val="18"/>
          <w:szCs w:val="18"/>
          <w:b w:val="1"/>
          <w:bCs w:val="1"/>
          <w:i w:val="1"/>
          <w:iCs w:val="1"/>
          <w:color w:val="231F20"/>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231F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have also started the construction of AMP-2 in Saudi Arabia and may continue to further expand our manufacturing activities outside the United States. However, we have no experience to date manufacturing our vehicles outside of the United States, and such expansion will require us to make significant expenditures, including the hiring of local employees and establishing facilities and related systems and processes,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conforming our vehicles to various international regulatory and homologation requirements where our vehicles are sold;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establishing localized supply chains and managing international supply chain and logistics costs;</w:t>
      </w:r>
    </w:p>
    <w:p>
      <w:pPr>
        <w:spacing w:after="0" w:line="117" w:lineRule="exact"/>
        <w:rPr>
          <w:rFonts w:ascii="Arial" w:cs="Arial" w:eastAsia="Arial" w:hAnsi="Arial"/>
          <w:sz w:val="18"/>
          <w:szCs w:val="18"/>
          <w:color w:val="231F20"/>
        </w:rPr>
      </w:pPr>
    </w:p>
    <w:p>
      <w:pPr>
        <w:ind w:left="660" w:right="52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establishing sufficient charging points for our customers in those jurisdictions, via partnerships or, if necessary, via development of our own charging networks;</w:t>
      </w:r>
    </w:p>
    <w:p>
      <w:pPr>
        <w:spacing w:after="0" w:line="62" w:lineRule="exact"/>
        <w:rPr>
          <w:rFonts w:ascii="Arial" w:cs="Arial" w:eastAsia="Arial" w:hAnsi="Arial"/>
          <w:sz w:val="18"/>
          <w:szCs w:val="18"/>
          <w:color w:val="231F20"/>
        </w:rPr>
      </w:pPr>
    </w:p>
    <w:p>
      <w:pPr>
        <w:ind w:left="660" w:right="28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difficulty in staffing and managing foreign operations, especially in jurisdictions where no EV ecosystem exist and qualified personnel must be hired and relocated;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difficulties attracting customers in new jurisdictions;</w:t>
      </w:r>
    </w:p>
    <w:p>
      <w:pPr>
        <w:spacing w:after="0" w:line="117" w:lineRule="exact"/>
        <w:rPr>
          <w:rFonts w:ascii="Arial" w:cs="Arial" w:eastAsia="Arial" w:hAnsi="Arial"/>
          <w:sz w:val="18"/>
          <w:szCs w:val="18"/>
          <w:color w:val="231F20"/>
        </w:rPr>
      </w:pPr>
    </w:p>
    <w:p>
      <w:pPr>
        <w:jc w:val="both"/>
        <w:ind w:left="660" w:right="440" w:hanging="328"/>
        <w:spacing w:after="0" w:line="263"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75" w:lineRule="exact"/>
        <w:rPr>
          <w:rFonts w:ascii="Arial" w:cs="Arial" w:eastAsia="Arial" w:hAnsi="Arial"/>
          <w:sz w:val="18"/>
          <w:szCs w:val="18"/>
          <w:color w:val="231F20"/>
        </w:rPr>
      </w:pPr>
    </w:p>
    <w:p>
      <w:pPr>
        <w:ind w:left="660" w:right="3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8"/>
          <w:szCs w:val="18"/>
          <w:color w:val="231F20"/>
        </w:rPr>
        <w:t>ifficulties controlling costs and potential loss of funding, including as a result of delays in the construction or commencement of operations at</w:t>
      </w:r>
      <w:r>
        <w:rPr>
          <w:rFonts w:ascii="Arial" w:cs="Arial" w:eastAsia="Arial" w:hAnsi="Arial"/>
          <w:sz w:val="18"/>
          <w:szCs w:val="18"/>
          <w:color w:val="auto"/>
        </w:rPr>
        <w:t xml:space="preserve"> </w:t>
      </w:r>
      <w:r>
        <w:rPr>
          <w:rFonts w:ascii="Arial" w:cs="Arial" w:eastAsia="Arial" w:hAnsi="Arial"/>
          <w:sz w:val="18"/>
          <w:szCs w:val="18"/>
          <w:color w:val="231F20"/>
        </w:rPr>
        <w:t>AMP-2;</w:t>
      </w:r>
    </w:p>
    <w:p>
      <w:pPr>
        <w:spacing w:after="0" w:line="62" w:lineRule="exact"/>
        <w:rPr>
          <w:rFonts w:ascii="Arial" w:cs="Arial" w:eastAsia="Arial" w:hAnsi="Arial"/>
          <w:sz w:val="18"/>
          <w:szCs w:val="18"/>
          <w:color w:val="auto"/>
        </w:rPr>
      </w:pPr>
    </w:p>
    <w:p>
      <w:pPr>
        <w:ind w:left="660" w:right="280" w:hanging="328"/>
        <w:spacing w:after="0" w:line="308" w:lineRule="auto"/>
        <w:tabs>
          <w:tab w:leader="none" w:pos="655"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38" w:lineRule="exact"/>
        <w:rPr>
          <w:rFonts w:ascii="Arial" w:cs="Arial" w:eastAsia="Arial" w:hAnsi="Arial"/>
          <w:sz w:val="17"/>
          <w:szCs w:val="17"/>
          <w:color w:val="231F20"/>
        </w:rPr>
      </w:pPr>
    </w:p>
    <w:p>
      <w:pPr>
        <w:ind w:left="660" w:right="34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inflation as well as fluctuations in foreign currency exchange rates and interest rates, including risks related to any forward currency contracts, interest rate swaps or other hedging activities we may undertake;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United States and foreign government trade restrictions, tariffs and price or exchange controls;</w:t>
      </w:r>
    </w:p>
    <w:p>
      <w:pPr>
        <w:spacing w:after="0" w:line="117" w:lineRule="exact"/>
        <w:rPr>
          <w:rFonts w:ascii="Arial" w:cs="Arial" w:eastAsia="Arial" w:hAnsi="Arial"/>
          <w:sz w:val="18"/>
          <w:szCs w:val="18"/>
          <w:color w:val="231F20"/>
        </w:rPr>
      </w:pPr>
    </w:p>
    <w:p>
      <w:pPr>
        <w:ind w:left="660" w:right="46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foreign laws, regulations and restrictions, including in the areas of supply chain, labor, sales, service, environment and health and safety, and related compliance costs;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increasingly restrictive and complex foreign data privacy and security laws, regulations and obligations;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changes in diplomatic and trade relationships, including political risk and customer perceptions based on such changes and risks;</w:t>
      </w:r>
    </w:p>
    <w:p>
      <w:pPr>
        <w:spacing w:after="0" w:line="117" w:lineRule="exact"/>
        <w:rPr>
          <w:rFonts w:ascii="Arial" w:cs="Arial" w:eastAsia="Arial" w:hAnsi="Arial"/>
          <w:sz w:val="18"/>
          <w:szCs w:val="18"/>
          <w:color w:val="231F20"/>
        </w:rPr>
      </w:pPr>
    </w:p>
    <w:p>
      <w:pPr>
        <w:ind w:left="660" w:right="16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political instability, natural disasters, pandemics (including severity, magnitude and the duration of the COVID-19 pandemic), war (including the conflict between Ukraine and Russia) or events of terrorism;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strength of international economies.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31F20"/>
        </w:rPr>
        <w:t>If we fail to successfully address these risks, our business, prospects, results of operations and financial condition could be materially harmed.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42424"/>
        </w:rPr>
        <w:t>The automotive industry has significant barriers to entry that we must overcome in order to manufacture and sell electric vehicles at scale.</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242424"/>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sectPr>
          <w:pgSz w:w="11900" w:h="16838" w:orient="portrait"/>
          <w:cols w:equalWidth="0" w:num="1">
            <w:col w:w="11240"/>
          </w:cols>
          <w:pgMar w:left="320" w:top="989"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242424"/>
        </w:rPr>
        <w:t>The automotive market is highly competitive, and we may not be successful in competing in this industry.</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242424"/>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recently announced vehicle price reductions, which may result in downward price pressure and reduced demand for our vehicles. However, we may not be able to adjust our pricing strategies and even if we do adjust our pricing strategies, there can be no assurance that such adjustments will allow us to successfully compete against our competitors, which may have a material adverse effect on our brand, business, prospects, inventory levels, results of operations and financial conditions.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42424"/>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42424"/>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9" w:name="page50"/>
    <w:bookmarkEnd w:id="49"/>
    <w:p>
      <w:pPr>
        <w:ind w:right="480"/>
        <w:spacing w:after="0" w:line="277" w:lineRule="auto"/>
        <w:rPr>
          <w:sz w:val="20"/>
          <w:szCs w:val="20"/>
          <w:color w:val="auto"/>
        </w:rPr>
      </w:pPr>
      <w:r>
        <w:rPr>
          <w:rFonts w:ascii="Arial" w:cs="Arial" w:eastAsia="Arial" w:hAnsi="Arial"/>
          <w:sz w:val="18"/>
          <w:szCs w:val="18"/>
          <w:b w:val="1"/>
          <w:bCs w:val="1"/>
          <w:i w:val="1"/>
          <w:iCs w:val="1"/>
          <w:color w:val="242424"/>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242424"/>
        </w:rPr>
        <w:t xml:space="preserve">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See “— </w:t>
      </w:r>
      <w:r>
        <w:rPr>
          <w:rFonts w:ascii="Arial" w:cs="Arial" w:eastAsia="Arial" w:hAnsi="Arial"/>
          <w:sz w:val="17"/>
          <w:szCs w:val="17"/>
          <w:i w:val="1"/>
          <w:iCs w:val="1"/>
          <w:color w:val="242424"/>
        </w:rPr>
        <w:t>We have received only a limited number of reservations and orders for the Lucid Air, all of</w:t>
      </w:r>
      <w:r>
        <w:rPr>
          <w:rFonts w:ascii="Arial" w:cs="Arial" w:eastAsia="Arial" w:hAnsi="Arial"/>
          <w:sz w:val="17"/>
          <w:szCs w:val="17"/>
          <w:color w:val="242424"/>
        </w:rPr>
        <w:t xml:space="preserve"> </w:t>
      </w:r>
      <w:r>
        <w:rPr>
          <w:rFonts w:ascii="Arial" w:cs="Arial" w:eastAsia="Arial" w:hAnsi="Arial"/>
          <w:sz w:val="17"/>
          <w:szCs w:val="17"/>
          <w:i w:val="1"/>
          <w:iCs w:val="1"/>
          <w:color w:val="242424"/>
        </w:rPr>
        <w:t>which may be cancelled</w:t>
      </w:r>
      <w:r>
        <w:rPr>
          <w:rFonts w:ascii="Arial" w:cs="Arial" w:eastAsia="Arial" w:hAnsi="Arial"/>
          <w:sz w:val="17"/>
          <w:szCs w:val="17"/>
          <w:color w:val="242424"/>
        </w:rPr>
        <w:t>.”</w:t>
      </w:r>
    </w:p>
    <w:p>
      <w:pPr>
        <w:spacing w:after="0" w:line="18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242424"/>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42424"/>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42424"/>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92" w:lineRule="exact"/>
        <w:rPr>
          <w:sz w:val="20"/>
          <w:szCs w:val="20"/>
          <w:color w:val="auto"/>
        </w:rPr>
      </w:pPr>
    </w:p>
    <w:p>
      <w:pPr>
        <w:jc w:val="both"/>
        <w:ind w:right="480"/>
        <w:spacing w:after="0" w:line="381" w:lineRule="auto"/>
        <w:rPr>
          <w:sz w:val="20"/>
          <w:szCs w:val="20"/>
          <w:color w:val="auto"/>
        </w:rPr>
      </w:pPr>
      <w:r>
        <w:rPr>
          <w:rFonts w:ascii="Arial" w:cs="Arial" w:eastAsia="Arial" w:hAnsi="Arial"/>
          <w:sz w:val="15"/>
          <w:szCs w:val="15"/>
          <w:b w:val="1"/>
          <w:bCs w:val="1"/>
          <w:i w:val="1"/>
          <w:iCs w:val="1"/>
          <w:color w:val="242424"/>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0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42424"/>
        </w:rPr>
        <w:t>We offer leasing and financing of our vehicles to potential customers in the United States through a third-party financing partner and intend to do the same in other markets through third-party financing partners, but we cannot provide any assurance that such third-party financing partners will continue, or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42424"/>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ongoing conflict in Ukraine, COVID-19, or other public crises.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0" w:name="page51"/>
    <w:bookmarkEnd w:id="50"/>
    <w:p>
      <w:pPr>
        <w:ind w:right="520"/>
        <w:spacing w:after="0" w:line="342" w:lineRule="auto"/>
        <w:rPr>
          <w:sz w:val="20"/>
          <w:szCs w:val="20"/>
          <w:color w:val="auto"/>
        </w:rPr>
      </w:pPr>
      <w:r>
        <w:rPr>
          <w:rFonts w:ascii="Arial" w:cs="Arial" w:eastAsia="Arial" w:hAnsi="Arial"/>
          <w:sz w:val="16"/>
          <w:szCs w:val="16"/>
          <w:b w:val="1"/>
          <w:bCs w:val="1"/>
          <w:i w:val="1"/>
          <w:iCs w:val="1"/>
          <w:color w:val="242424"/>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242424"/>
        </w:rPr>
        <w:t>Our vehicles are designed with advanced driver assistance system (“ADAS”) hardware and software. We have released a Lucid Air software update, and expect to launch the Lucid Gravity SUV,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6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242424"/>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42424"/>
        </w:rPr>
        <w:t xml:space="preserve">ADAS technology is also subject to regulatory uncertainty, which exposes us to additional risks. See “— Risks Related to Litigation and Regulation </w:t>
      </w:r>
      <w:r>
        <w:rPr>
          <w:rFonts w:ascii="Arial" w:cs="Arial" w:eastAsia="Arial" w:hAnsi="Arial"/>
          <w:sz w:val="18"/>
          <w:szCs w:val="18"/>
          <w:i w:val="1"/>
          <w:iCs w:val="1"/>
          <w:color w:val="242424"/>
        </w:rPr>
        <w:t>—</w:t>
      </w:r>
      <w:r>
        <w:rPr>
          <w:rFonts w:ascii="Arial" w:cs="Arial" w:eastAsia="Arial" w:hAnsi="Arial"/>
          <w:sz w:val="18"/>
          <w:szCs w:val="18"/>
          <w:color w:val="242424"/>
        </w:rPr>
        <w:t xml:space="preserve"> </w:t>
      </w:r>
      <w:r>
        <w:rPr>
          <w:rFonts w:ascii="Arial" w:cs="Arial" w:eastAsia="Arial" w:hAnsi="Arial"/>
          <w:sz w:val="18"/>
          <w:szCs w:val="18"/>
          <w:i w:val="1"/>
          <w:iCs w:val="1"/>
          <w:color w:val="242424"/>
        </w:rPr>
        <w:t>ADAS technology is subject to uncertain and evolving regulations.</w:t>
      </w:r>
      <w:r>
        <w:rPr>
          <w:rFonts w:ascii="Arial" w:cs="Arial" w:eastAsia="Arial" w:hAnsi="Arial"/>
          <w:sz w:val="18"/>
          <w:szCs w:val="18"/>
          <w:color w:val="242424"/>
        </w:rPr>
        <w: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231F20"/>
        </w:rPr>
        <w:t>Uninsured or underinsured losses could result in payment of substantial damages, which would decrease our cash reserves and could harm our cash flow and financial condition.</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a change in our risk profile. This may require a change in our insurance purchasing philosophy and strategy which can result in the assumption of greater risks to offset insurance market fluctuations.</w:t>
      </w:r>
    </w:p>
    <w:p>
      <w:pPr>
        <w:spacing w:after="0" w:line="1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242424"/>
        </w:rPr>
        <w:t>The COVID-19 pandemic has adversely affected, and we cannot predict its ultimate impact on, our business, prospects, results of operations and financial condition.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42424"/>
        </w:rPr>
        <w:t>The COVID-19 pandemic has been a risk to our business, including through its impact on general economic conditions, manufacturing and supply chain operations, labor markets, changes in customer behavior, and global financial markets. The pandemic’s impact on economic conditions has led to a global decrease in vehicle sales in markets around the world. Its continued impact on the economy, even after the pandemic has subsided, may cause our customers to defer purchases, cancel their reservations and orders for our vehicles prior to delivery. See “—</w:t>
      </w:r>
      <w:r>
        <w:rPr>
          <w:rFonts w:ascii="Arial" w:cs="Arial" w:eastAsia="Arial" w:hAnsi="Arial"/>
          <w:sz w:val="18"/>
          <w:szCs w:val="18"/>
          <w:i w:val="1"/>
          <w:iCs w:val="1"/>
          <w:color w:val="242424"/>
        </w:rPr>
        <w:t>A global economic recession, government</w:t>
      </w:r>
      <w:r>
        <w:rPr>
          <w:rFonts w:ascii="Arial" w:cs="Arial" w:eastAsia="Arial" w:hAnsi="Arial"/>
          <w:sz w:val="18"/>
          <w:szCs w:val="18"/>
          <w:color w:val="242424"/>
        </w:rPr>
        <w:t xml:space="preserve"> </w:t>
      </w:r>
      <w:r>
        <w:rPr>
          <w:rFonts w:ascii="Arial" w:cs="Arial" w:eastAsia="Arial" w:hAnsi="Arial"/>
          <w:sz w:val="18"/>
          <w:szCs w:val="18"/>
          <w:i w:val="1"/>
          <w:iCs w:val="1"/>
          <w:color w:val="242424"/>
        </w:rPr>
        <w:t>closures of banks and liquidity concerns at other financial institutions, or other downturn may have a material adverse impact on our business, prospects, financial condition and results of operations.</w:t>
      </w:r>
      <w:r>
        <w:rPr>
          <w:rFonts w:ascii="Arial" w:cs="Arial" w:eastAsia="Arial" w:hAnsi="Arial"/>
          <w:sz w:val="18"/>
          <w:szCs w:val="18"/>
          <w:color w:val="242424"/>
        </w:rPr>
        <w:t>”</w:t>
      </w:r>
    </w:p>
    <w:p>
      <w:pPr>
        <w:spacing w:after="0" w:line="19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242424"/>
        </w:rPr>
        <w:t>The spread of COVID-19, or the outbreak of another pandemic, can disrupt our manufacturing operations and those of our suppliers. For example, the COVID-19 outbreak in China and the resulting lockdowns caused parts supply delays with some impact on manufacturing operations in Arizona in 2022. Such disruptions to us and our suppliers have negatively impacted, and could negatively impact in the future the production volume of the Lucid Air, as well other vehicles that we may introduce from time to time. Our manufacturing operations at a limited number of facilities in Casa Grande, Arizona concentrate this risk. In addition, broader impacts of the pandemic have included inflationary pressure, which impacts our cost structure.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1" w:name="page52"/>
    <w:bookmarkEnd w:id="51"/>
    <w:p>
      <w:pPr>
        <w:ind w:right="440"/>
        <w:spacing w:after="0" w:line="274" w:lineRule="auto"/>
        <w:rPr>
          <w:sz w:val="20"/>
          <w:szCs w:val="20"/>
          <w:color w:val="auto"/>
        </w:rPr>
      </w:pPr>
      <w:r>
        <w:rPr>
          <w:rFonts w:ascii="Arial" w:cs="Arial" w:eastAsia="Arial" w:hAnsi="Arial"/>
          <w:sz w:val="17"/>
          <w:szCs w:val="17"/>
          <w:color w:val="242424"/>
        </w:rPr>
        <w:t>The pandemic has resulted in the imposition of travel bans and restrictions, quarantines and business shutdowns due to localized spikes in COVID-19 cases, which have contributed to delays in the anticipated production schedule of the Lucid Air and potential development of future</w:t>
      </w:r>
    </w:p>
    <w:p>
      <w:pPr>
        <w:ind w:right="120"/>
        <w:spacing w:after="0" w:line="252" w:lineRule="auto"/>
        <w:rPr>
          <w:sz w:val="20"/>
          <w:szCs w:val="20"/>
          <w:color w:val="auto"/>
        </w:rPr>
      </w:pPr>
      <w:r>
        <w:rPr>
          <w:rFonts w:ascii="Arial" w:cs="Arial" w:eastAsia="Arial" w:hAnsi="Arial"/>
          <w:sz w:val="18"/>
          <w:szCs w:val="18"/>
          <w:color w:val="242424"/>
        </w:rPr>
        <w:t>models. These measures pose numerous operational risks and logistical challenges to our business.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The transition of some of our personnel to a remote or hybrid workforce has also increased demand on our information technology resources and systems and increased data privacy and cybersecurity risks and increased risk of absenteeism.</w:t>
      </w:r>
    </w:p>
    <w:p>
      <w:pPr>
        <w:spacing w:after="0" w:line="1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42424"/>
        </w:rPr>
        <w:t>The severity, magnitude and duration of the COVID-19 pandemic, or another pandemic, and the economic and regulatory consequences arising from it are rapidly changing and uncertain. Accordingly, we cannot predict the ultimate impact of the COVID-19 pandemic on our business, financial condition and results of operations.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42424"/>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42424"/>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242424"/>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Increasing scrutiny and changing expectations from global regulations, our investors, customers and employees with respect to our ESG practices may impose additional costs on us or expose us to new or additional risks.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It is possible that our stakeholders may not be satisfied with our ESG disclosures, practices, or the speed of their adoption, and our systems may not be adequate to comply with increasing global regulations on ESG topics, such as human rights and sustainability reporting.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or downgraded ratings of our company or our industries, as well as non-inclusion or removal of our stock on ESG-oriented investment funds, may lead to negative investor sentiment and the diversion of investment to other companies or industries, which could have a negative impact on our stock price.</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231F20"/>
        </w:rPr>
        <w:t>Risks Related to Manufacturing and Supply Chain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have experienced and may in the future experience significant delays in the design, manufacture, launch and financing of our vehicles, including the Lucid Air and the Lucid Gravity SUV, which could harm our business and prospects.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231F20"/>
        </w:rPr>
        <w:t>Many of our vehicles are still in the development and/or testing phase and production of the Lucid Gravity SUV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176"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231F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and ongoing constraints of semiconductor supply.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The continued development of and the ability to manufacture our vehicles, including the Lucid Air and the Lucid Gravity SUV, are and will be subject to risks, including with respect to:</w:t>
      </w:r>
    </w:p>
    <w:p>
      <w:pPr>
        <w:spacing w:after="0" w:line="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our ability to ensure readiness of firmware features and functions to be integrated into the Lucid Air as planned and on the desired timeline;</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ability to finalize release candidate specifications for the Lucid Gravity SUV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any delays by us in delivering final component designs to our suppliers or any changes to such component designs;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or our suppliers’ ability to successfully tool their manufacturing facilities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ability to ensure a working supply chain and desired supplier part quality and quantity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ability to accurately manufacture vehicles within specified design tolerances;</w:t>
      </w:r>
    </w:p>
    <w:p>
      <w:pPr>
        <w:spacing w:after="0" w:line="117" w:lineRule="exact"/>
        <w:rPr>
          <w:rFonts w:ascii="Arial" w:cs="Arial" w:eastAsia="Arial" w:hAnsi="Arial"/>
          <w:sz w:val="18"/>
          <w:szCs w:val="18"/>
          <w:color w:val="231F20"/>
        </w:rPr>
      </w:pPr>
    </w:p>
    <w:p>
      <w:pPr>
        <w:ind w:left="660" w:right="40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 xml:space="preserve">our ability to establish, implement, </w:t>
      </w:r>
      <w:r>
        <w:rPr>
          <w:rFonts w:ascii="Arial" w:cs="Arial" w:eastAsia="Arial" w:hAnsi="Arial"/>
          <w:sz w:val="18"/>
          <w:szCs w:val="18"/>
          <w:color w:val="000000"/>
        </w:rPr>
        <w:t>refine and scale, as well as make significant investments in manufacturing, supply chain management and</w:t>
      </w:r>
      <w:r>
        <w:rPr>
          <w:rFonts w:ascii="Arial" w:cs="Arial" w:eastAsia="Arial" w:hAnsi="Arial"/>
          <w:sz w:val="18"/>
          <w:szCs w:val="18"/>
          <w:color w:val="231F20"/>
        </w:rPr>
        <w:t xml:space="preserve"> </w:t>
      </w:r>
      <w:r>
        <w:rPr>
          <w:rFonts w:ascii="Arial" w:cs="Arial" w:eastAsia="Arial" w:hAnsi="Arial"/>
          <w:sz w:val="18"/>
          <w:szCs w:val="18"/>
          <w:color w:val="000000"/>
        </w:rPr>
        <w:t>logistics functions, including the related information technology systems and software applications;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adequately reduce and control the costs of key parts and materials;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significantly reduce freight costs, including in-bound freight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any transitions or changes in our production process, planned or unplanned;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product defects that cannot be remedied without adversely affecting the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secure neces</w:t>
      </w:r>
      <w:r>
        <w:rPr>
          <w:rFonts w:ascii="Arial" w:cs="Arial" w:eastAsia="Arial" w:hAnsi="Arial"/>
          <w:sz w:val="18"/>
          <w:szCs w:val="18"/>
          <w:color w:val="231F20"/>
        </w:rPr>
        <w:t>sary funding;</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ability to negotiate and execute definitive agreements with various suppliers for hardware, software, or services necessary to engineer or manufacture our vehicles;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ability to obtain required regulatory approvals and certifications;</w:t>
      </w:r>
    </w:p>
    <w:p>
      <w:pPr>
        <w:sectPr>
          <w:pgSz w:w="11900" w:h="16838" w:orient="portrait"/>
          <w:cols w:equalWidth="0" w:num="1">
            <w:col w:w="11220"/>
          </w:cols>
          <w:pgMar w:left="320" w:top="985"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53" w:name="page54"/>
    <w:bookmarkEnd w:id="53"/>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ability to comply with environmental, safety, and similar regulations and in a timely manner;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ability to secure necessary components, services, or licenses on acceptable terms and in a timely manner;</w:t>
      </w:r>
    </w:p>
    <w:p>
      <w:pPr>
        <w:spacing w:after="0" w:line="117" w:lineRule="exact"/>
        <w:rPr>
          <w:rFonts w:ascii="Arial" w:cs="Arial" w:eastAsia="Arial" w:hAnsi="Arial"/>
          <w:sz w:val="18"/>
          <w:szCs w:val="18"/>
          <w:color w:val="231F20"/>
        </w:rPr>
      </w:pPr>
    </w:p>
    <w:p>
      <w:pPr>
        <w:ind w:left="660" w:right="40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ability to attract, recruit, hire, retain and train skilled employees including supply chain management, supplier quality, manufacturing and logistics personnel;</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ability to design and implement effective and efficient quality control and inventory management processes;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delays or disruptions in our supply chain including raw material supplies;</w:t>
      </w:r>
    </w:p>
    <w:p>
      <w:pPr>
        <w:spacing w:after="0" w:line="117" w:lineRule="exact"/>
        <w:rPr>
          <w:rFonts w:ascii="Arial" w:cs="Arial" w:eastAsia="Arial" w:hAnsi="Arial"/>
          <w:sz w:val="18"/>
          <w:szCs w:val="18"/>
          <w:color w:val="231F20"/>
        </w:rPr>
      </w:pPr>
    </w:p>
    <w:p>
      <w:pPr>
        <w:ind w:left="660" w:right="70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ability to maintain arrangements on commercially reasonable terms with our suppliers, delivery and other partners, after sales service providers, and other operationally significant third parties;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other delays, backlog in manufacturing and research and development of new mo</w:t>
      </w:r>
      <w:r>
        <w:rPr>
          <w:rFonts w:ascii="Arial" w:cs="Arial" w:eastAsia="Arial" w:hAnsi="Arial"/>
          <w:sz w:val="18"/>
          <w:szCs w:val="18"/>
          <w:color w:val="000000"/>
        </w:rPr>
        <w:t>dels, and cost overruns;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magnitude and duration of the COVID-19 pandemic, including related business interruptions and other effects;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rFonts w:ascii="Arial" w:cs="Arial" w:eastAsia="Arial" w:hAnsi="Arial"/>
          <w:sz w:val="18"/>
          <w:szCs w:val="18"/>
          <w:i w:val="1"/>
          <w:iCs w:val="1"/>
          <w:color w:val="auto"/>
        </w:rPr>
        <w:t>—</w:t>
      </w:r>
      <w:r>
        <w:rPr>
          <w:rFonts w:ascii="Arial" w:cs="Arial" w:eastAsia="Arial" w:hAnsi="Arial"/>
          <w:sz w:val="18"/>
          <w:szCs w:val="18"/>
          <w:color w:val="auto"/>
        </w:rPr>
        <w:t xml:space="preserve">Risks Related to Financing and Strategic Transactions </w:t>
      </w:r>
      <w:r>
        <w:rPr>
          <w:rFonts w:ascii="Arial" w:cs="Arial" w:eastAsia="Arial" w:hAnsi="Arial"/>
          <w:sz w:val="18"/>
          <w:szCs w:val="18"/>
          <w:i w:val="1"/>
          <w:iCs w:val="1"/>
          <w:color w:val="auto"/>
        </w:rPr>
        <w:t>— We will require additional capital to support business growth, and this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might not be available on commercially reasonable terms, or at all.”</w:t>
      </w:r>
    </w:p>
    <w:p>
      <w:pPr>
        <w:spacing w:after="0" w:line="188" w:lineRule="exact"/>
        <w:rPr>
          <w:sz w:val="20"/>
          <w:szCs w:val="20"/>
          <w:color w:val="auto"/>
        </w:rPr>
      </w:pPr>
    </w:p>
    <w:p>
      <w:pPr>
        <w:jc w:val="both"/>
        <w:ind w:right="280"/>
        <w:spacing w:after="0" w:line="381" w:lineRule="auto"/>
        <w:rPr>
          <w:sz w:val="20"/>
          <w:szCs w:val="20"/>
          <w:color w:val="auto"/>
        </w:rPr>
      </w:pPr>
      <w:r>
        <w:rPr>
          <w:rFonts w:ascii="Arial" w:cs="Arial" w:eastAsia="Arial" w:hAnsi="Arial"/>
          <w:sz w:val="15"/>
          <w:szCs w:val="15"/>
          <w:b w:val="1"/>
          <w:bCs w:val="1"/>
          <w:i w:val="1"/>
          <w:iCs w:val="1"/>
          <w:color w:val="auto"/>
        </w:rPr>
        <w:t xml:space="preserve">Our ability to continue production and our future growth depends upon our ability to </w:t>
      </w:r>
      <w:r>
        <w:rPr>
          <w:rFonts w:ascii="Arial" w:cs="Arial" w:eastAsia="Arial" w:hAnsi="Arial"/>
          <w:sz w:val="15"/>
          <w:szCs w:val="15"/>
          <w:b w:val="1"/>
          <w:bCs w:val="1"/>
          <w:i w:val="1"/>
          <w:iCs w:val="1"/>
          <w:color w:val="231F20"/>
        </w:rPr>
        <w:t>maintain relationships with our existing suppliers and source</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31F20"/>
        </w:rPr>
        <w:t>suppliers for our critical components, and to complete building out our supply chain, while effectively managing the risks due to such relationships.</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231F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spacing w:after="0" w:line="18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231F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4" w:name="page55"/>
    <w:bookmarkEnd w:id="54"/>
    <w:p>
      <w:pPr>
        <w:ind w:right="40"/>
        <w:spacing w:after="0" w:line="259" w:lineRule="auto"/>
        <w:rPr>
          <w:sz w:val="20"/>
          <w:szCs w:val="20"/>
          <w:color w:val="auto"/>
        </w:rPr>
      </w:pPr>
      <w:r>
        <w:rPr>
          <w:rFonts w:ascii="Arial" w:cs="Arial" w:eastAsia="Arial" w:hAnsi="Arial"/>
          <w:sz w:val="17"/>
          <w:szCs w:val="17"/>
          <w:color w:val="231F20"/>
        </w:rPr>
        <w:t>We have been affected by ongoing, industry-wide challenges in logistics and supply chains, such as increased supplier lead times and ongoing constraints of semiconductor supply. We expect that these industry-wide trends may continue to affect the ability of us and our suppliers to obtain parts, components and manufacturing equipment, including electrical and mechanical equipment for AMP-2 and the Phase 2 expansion of AMP-1, on a timely basis for the foreseeable future, and may result in increased costs. Changes in our supply chain or production needs in order to meet our quality targets and development timelines as well as due to design changes have resulted in cost increases from our suppliers.</w:t>
      </w:r>
    </w:p>
    <w:p>
      <w:pPr>
        <w:spacing w:after="0" w:line="174" w:lineRule="exact"/>
        <w:rPr>
          <w:sz w:val="20"/>
          <w:szCs w:val="20"/>
          <w:color w:val="auto"/>
        </w:rPr>
      </w:pPr>
    </w:p>
    <w:p>
      <w:pPr>
        <w:spacing w:after="0" w:line="270" w:lineRule="auto"/>
        <w:rPr>
          <w:sz w:val="20"/>
          <w:szCs w:val="20"/>
          <w:color w:val="auto"/>
        </w:rPr>
      </w:pPr>
      <w:r>
        <w:rPr>
          <w:rFonts w:ascii="Arial" w:cs="Arial" w:eastAsia="Arial" w:hAnsi="Arial"/>
          <w:sz w:val="16"/>
          <w:szCs w:val="16"/>
          <w:color w:val="231F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If we are unable to fully utilize our purchase commitments, we may face penalties or increased prices and there could be a material adverse effect on our results of operations.</w:t>
      </w:r>
    </w:p>
    <w:p>
      <w:pPr>
        <w:spacing w:after="0" w:line="18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231F20"/>
        </w:rPr>
        <w:t>In addition, we have experienced, and in the future could continue to experience, delays if our suppliers do not meet agreed upon timelines, experience capacity constraints, or deliver components that do not meet our quality standards or other requirements.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31F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In addition, we have not yet begun servicing vehicles at significant volumes. Accordingly, our ability to scale production and vehicle servicing and mitigate risks associated with these activities has not been thoroughly tested.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Furthermore, unexpected changes in business conditions, materials pricing, labor issues, wars, governmental changes, tariffs, natural disasters, health epidemics such as the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i w:val="1"/>
          <w:iCs w:val="1"/>
          <w:color w:val="231F20"/>
        </w:rPr>
        <w:t>Increases in costs, disruption of supply or shortage of materials, in particular for lithium-ion battery cells or semiconductors, could harm our business.</w:t>
      </w:r>
    </w:p>
    <w:p>
      <w:pPr>
        <w:spacing w:after="0" w:line="26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spacing w:after="0" w:line="7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an increase in the cost, or decrease in the available supply, of materials, such as cobalt, used in lithium-ion battery cells;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disruption in the supply of lithium-ion battery cells due to quality issues or recalls by manufacturers;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our ability to manage our supply and inventory of lithium-ion battery cells; and</w:t>
      </w:r>
    </w:p>
    <w:p>
      <w:pPr>
        <w:spacing w:after="0" w:line="117" w:lineRule="exact"/>
        <w:rPr>
          <w:rFonts w:ascii="Arial" w:cs="Arial" w:eastAsia="Arial" w:hAnsi="Arial"/>
          <w:sz w:val="18"/>
          <w:szCs w:val="18"/>
          <w:color w:val="231F20"/>
        </w:rPr>
      </w:pPr>
    </w:p>
    <w:p>
      <w:pPr>
        <w:ind w:left="660" w:right="920" w:hanging="328"/>
        <w:spacing w:after="0" w:line="277"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fluctuations in the value of any foreign currencies, in which lithium-ion battery cells and related raw material purchases are or may be denominated against the U.S. dollar.</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231F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Arial" w:cs="Arial" w:eastAsia="Arial" w:hAnsi="Arial"/>
          <w:sz w:val="16"/>
          <w:szCs w:val="16"/>
          <w:color w:val="000000"/>
        </w:rPr>
        <w:t>we have entered into agreements with Panasonic Energy Co., Ltd.</w:t>
      </w:r>
      <w:r>
        <w:rPr>
          <w:rFonts w:ascii="Arial" w:cs="Arial" w:eastAsia="Arial" w:hAnsi="Arial"/>
          <w:sz w:val="16"/>
          <w:szCs w:val="16"/>
          <w:color w:val="231F20"/>
        </w:rPr>
        <w:t xml:space="preserve"> </w:t>
      </w:r>
      <w:r>
        <w:rPr>
          <w:rFonts w:ascii="Arial" w:cs="Arial" w:eastAsia="Arial" w:hAnsi="Arial"/>
          <w:sz w:val="16"/>
          <w:szCs w:val="16"/>
          <w:color w:val="000000"/>
        </w:rPr>
        <w:t xml:space="preserve">and certain of its affiliates for the supply of lithium-ion battery cells, pursuant to which we have made certain </w:t>
      </w:r>
      <w:r>
        <w:rPr>
          <w:rFonts w:ascii="Arial" w:cs="Arial" w:eastAsia="Arial" w:hAnsi="Arial"/>
          <w:sz w:val="16"/>
          <w:szCs w:val="16"/>
          <w:color w:val="231F20"/>
        </w:rPr>
        <w:t>non-cancelable long-term</w:t>
      </w:r>
      <w:r>
        <w:rPr>
          <w:rFonts w:ascii="Arial" w:cs="Arial" w:eastAsia="Arial" w:hAnsi="Arial"/>
          <w:sz w:val="16"/>
          <w:szCs w:val="16"/>
          <w:color w:val="000000"/>
        </w:rPr>
        <w:t xml:space="preserve"> purchase commitments. If </w:t>
      </w:r>
      <w:r>
        <w:rPr>
          <w:rFonts w:ascii="Arial" w:cs="Arial" w:eastAsia="Arial" w:hAnsi="Arial"/>
          <w:sz w:val="16"/>
          <w:szCs w:val="16"/>
          <w:color w:val="231F20"/>
        </w:rPr>
        <w:t>our production decreases significantly below our projections for any reason, we may not meet all of our purchase commitments. If we are</w:t>
      </w:r>
      <w:r>
        <w:rPr>
          <w:rFonts w:ascii="Arial" w:cs="Arial" w:eastAsia="Arial" w:hAnsi="Arial"/>
          <w:sz w:val="16"/>
          <w:szCs w:val="16"/>
          <w:color w:val="000000"/>
        </w:rPr>
        <w:t xml:space="preserve"> </w:t>
      </w:r>
      <w:r>
        <w:rPr>
          <w:rFonts w:ascii="Arial" w:cs="Arial" w:eastAsia="Arial" w:hAnsi="Arial"/>
          <w:sz w:val="16"/>
          <w:szCs w:val="16"/>
          <w:color w:val="231F20"/>
        </w:rPr>
        <w:t>unable to fully utilize our purchase commitments, there could be a material adverse effect on our results of operations.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We must develop complex software and technology systems, including in coordination with vendors and suppliers, in order to produce our electric vehicles, and there can be no assurance such systems will be successfully developed.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6" w:name="page57"/>
    <w:bookmarkEnd w:id="56"/>
    <w:p>
      <w:pPr>
        <w:ind w:right="240"/>
        <w:spacing w:after="0" w:line="277" w:lineRule="auto"/>
        <w:rPr>
          <w:sz w:val="20"/>
          <w:szCs w:val="20"/>
          <w:color w:val="auto"/>
        </w:rPr>
      </w:pPr>
      <w:r>
        <w:rPr>
          <w:rFonts w:ascii="Arial" w:cs="Arial" w:eastAsia="Arial" w:hAnsi="Arial"/>
          <w:sz w:val="18"/>
          <w:szCs w:val="18"/>
          <w:color w:val="231F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delayed production and delivery of our vehicles, including the Lucid Air;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delayed market acceptance of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loss of customers or inability to attract new customers;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diversion of engineering or other resources for remedying the defect or error;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damage to our brand or reputation;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increased service and warranty costs;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legal action by customers or third parties, including product liability claims;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penalties imposed by regulatory authorities.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231F20"/>
        </w:rPr>
        <w:t>If we fail to successfully construct or tool our manufacturing facilities or if our manufacturing facilities become inoperable, we will be unable to produce our vehicles and our business will be harmed.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While we have completed the initial phase of construction at AMP-1, tooling our facilities for production of our vehicles and our future expansion plans are complicated and present significant challe</w:t>
      </w:r>
      <w:r>
        <w:rPr>
          <w:rFonts w:ascii="Arial" w:cs="Arial" w:eastAsia="Arial" w:hAnsi="Arial"/>
          <w:sz w:val="16"/>
          <w:szCs w:val="16"/>
          <w:color w:val="000000"/>
        </w:rPr>
        <w:t>nges and may require us to take vehicle production offline. In addition, certain o</w:t>
      </w:r>
      <w:r>
        <w:rPr>
          <w:rFonts w:ascii="Arial" w:cs="Arial" w:eastAsia="Arial" w:hAnsi="Arial"/>
          <w:sz w:val="16"/>
          <w:szCs w:val="16"/>
          <w:color w:val="231F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For example, the installation and production readiness of certain general assembly equipment for our Phase 2 expansion of AMP-1 has commenced but is expected to be delayed by supply chain issues and market conditions such as limited availability of qualified construction labor in Casa Grande, Arizona. In addition, we may encounter problems or disputes with our vendors for a variety of reasons, including for reasons beyond our control, and such disputes, with or without merit, could also cause significant delays and cost overruns.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we have hired and trained and continue to hire, retain,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Lucid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231F20"/>
        </w:rPr>
        <w:t>The construction of our facilities and our operations are also subject to review and inspection by officials in the jurisdictions where our facilities are</w:t>
      </w:r>
    </w:p>
    <w:p>
      <w:pPr>
        <w:spacing w:after="0" w:line="6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located, including without limitation, fire officials and building construction officials. We have recently received results from inspections by local officials at our facilities, both existing and currently under construction, in Casa Grande, Arizona, citing failing marks, and we are actively engaged with the local authorities and have retained outside experts to address all of the specific issues identified by those officials as well as to devise means and methods that ensure an ongoing safe and compliant work environment.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spacing w:after="0" w:line="1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such as the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spacing w:after="0" w:line="168"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231F20"/>
        </w:rPr>
        <w:t>We have limited experience in high volume manufacture of our vehicles.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and implement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our vehicles fail to perform as expected, our ability to develop, market and sell or lease our products could be harmed.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vehicles or the components installed therein have in the past and may in the future contain defects in design or manufacture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contain defects and errors when first introduced. If our vehicles contain defects in design or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8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231F20"/>
        </w:rPr>
        <w:t xml:space="preserve">Any defects, delays or legal restrictions on vehicle features, or other failure of our vehicles to perform as expected, could harm our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Arial" w:cs="Arial" w:eastAsia="Arial" w:hAnsi="Arial"/>
          <w:sz w:val="17"/>
          <w:szCs w:val="17"/>
          <w:color w:val="000000"/>
        </w:rPr>
        <w:t>Any such defects or noncompliance with legal requirements could</w:t>
      </w:r>
      <w:r>
        <w:rPr>
          <w:rFonts w:ascii="Arial" w:cs="Arial" w:eastAsia="Arial" w:hAnsi="Arial"/>
          <w:sz w:val="17"/>
          <w:szCs w:val="17"/>
          <w:color w:val="231F20"/>
        </w:rPr>
        <w:t xml:space="preserve"> </w:t>
      </w:r>
      <w:r>
        <w:rPr>
          <w:rFonts w:ascii="Arial" w:cs="Arial" w:eastAsia="Arial" w:hAnsi="Arial"/>
          <w:sz w:val="17"/>
          <w:szCs w:val="17"/>
          <w:color w:val="000000"/>
        </w:rPr>
        <w:t xml:space="preserve">also result in safety recalls. See “— Risks Related to Litigation and Regulation — </w:t>
      </w:r>
      <w:r>
        <w:rPr>
          <w:rFonts w:ascii="Arial" w:cs="Arial" w:eastAsia="Arial" w:hAnsi="Arial"/>
          <w:sz w:val="17"/>
          <w:szCs w:val="17"/>
          <w:i w:val="1"/>
          <w:iCs w:val="1"/>
          <w:color w:val="000000"/>
        </w:rPr>
        <w:t>We have in the past and may choose in the future, or we may be</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compelled, to undertake product recalls or take other actions, which could adversely affect our business, prospects, results of operations, reputation and financial condition.” </w:t>
      </w:r>
      <w:r>
        <w:rPr>
          <w:rFonts w:ascii="Arial" w:cs="Arial" w:eastAsia="Arial" w:hAnsi="Arial"/>
          <w:sz w:val="17"/>
          <w:szCs w:val="17"/>
          <w:color w:val="231F20"/>
        </w:rPr>
        <w:t>As a new entrant to the industry attempting to build customer relationships and earn trust, these effects could be significantly</w:t>
      </w:r>
      <w:r>
        <w:rPr>
          <w:rFonts w:ascii="Arial" w:cs="Arial" w:eastAsia="Arial" w:hAnsi="Arial"/>
          <w:sz w:val="17"/>
          <w:szCs w:val="17"/>
          <w:i w:val="1"/>
          <w:iCs w:val="1"/>
          <w:color w:val="000000"/>
        </w:rPr>
        <w:t xml:space="preserve"> </w:t>
      </w:r>
      <w:r>
        <w:rPr>
          <w:rFonts w:ascii="Arial" w:cs="Arial" w:eastAsia="Arial" w:hAnsi="Arial"/>
          <w:sz w:val="17"/>
          <w:szCs w:val="17"/>
          <w:color w:val="231F20"/>
        </w:rPr>
        <w:t>detrimental to us. Additionally, problems and defects experienced by other electric consumer vehicles could by association have a negative impact on perception and customer demand for our vehicles.</w:t>
      </w:r>
    </w:p>
    <w:p>
      <w:pPr>
        <w:spacing w:after="0" w:line="17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231F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231F20"/>
        </w:rPr>
        <w:t>We face challenges providing charging solutions for our vehicles.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231F20"/>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0" w:name="page61"/>
    <w:bookmarkEnd w:id="60"/>
    <w:p>
      <w:pPr>
        <w:ind w:right="680"/>
        <w:spacing w:after="0" w:line="342" w:lineRule="auto"/>
        <w:rPr>
          <w:sz w:val="20"/>
          <w:szCs w:val="20"/>
          <w:color w:val="auto"/>
        </w:rPr>
      </w:pPr>
      <w:r>
        <w:rPr>
          <w:rFonts w:ascii="Arial" w:cs="Arial" w:eastAsia="Arial" w:hAnsi="Arial"/>
          <w:sz w:val="16"/>
          <w:szCs w:val="16"/>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We provide a new vehicle limited warranty on all vehicles and powertrain components and systems we sell.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7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Our facilities or operations could be adversely affected by events outside of our control, such as natural disasters, wars, health epidemics or pandemics, or security incidents.</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 xml:space="preserve">We and our suppliers may be impacted by weather events, natural disasters, wars,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In addition, the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Arial" w:cs="Arial" w:eastAsia="Arial" w:hAnsi="Arial"/>
          <w:sz w:val="16"/>
          <w:szCs w:val="16"/>
          <w:i w:val="1"/>
          <w:iCs w:val="1"/>
          <w:color w:val="231F20"/>
        </w:rPr>
        <w:t>A failure to properly comply with foreign trade zone laws and regulations could increase the cost of our duties and tariffs.</w:t>
      </w:r>
      <w:r>
        <w:rPr>
          <w:rFonts w:ascii="Arial" w:cs="Arial" w:eastAsia="Arial" w:hAnsi="Arial"/>
          <w:sz w:val="16"/>
          <w:szCs w:val="16"/>
          <w:color w:val="231F20"/>
        </w:rPr>
        <w:t xml:space="preserve">” </w:t>
      </w:r>
      <w:r>
        <w:rPr>
          <w:rFonts w:ascii="Arial" w:cs="Arial" w:eastAsia="Arial" w:hAnsi="Arial"/>
          <w:sz w:val="16"/>
          <w:szCs w:val="16"/>
          <w:color w:val="000000"/>
        </w:rPr>
        <w:t>In addition, the</w:t>
      </w:r>
      <w:r>
        <w:rPr>
          <w:rFonts w:ascii="Arial" w:cs="Arial" w:eastAsia="Arial" w:hAnsi="Arial"/>
          <w:sz w:val="16"/>
          <w:szCs w:val="16"/>
          <w:color w:val="231F20"/>
        </w:rPr>
        <w:t xml:space="preserve"> </w:t>
      </w:r>
      <w:r>
        <w:rPr>
          <w:rFonts w:ascii="Arial" w:cs="Arial" w:eastAsia="Arial" w:hAnsi="Arial"/>
          <w:sz w:val="16"/>
          <w:szCs w:val="16"/>
          <w:color w:val="000000"/>
        </w:rPr>
        <w:t xml:space="preserve">military invasion of Ukraine by Russia and the sanctions against Russia resulting from such conflict is expected to delay the installation and production readiness of certain general assembly equipment for our Phase 2 expansion of AMP-1, may increase the likelihood of supply chain interruptions and may impair our ability to compete in current or future markets, or otherwise subject us to potential liability. See “—Risks Related to Manufacturing and Supply Chain — </w:t>
      </w:r>
      <w:r>
        <w:rPr>
          <w:rFonts w:ascii="Arial" w:cs="Arial" w:eastAsia="Arial" w:hAnsi="Arial"/>
          <w:sz w:val="16"/>
          <w:szCs w:val="16"/>
          <w:i w:val="1"/>
          <w:iCs w:val="1"/>
          <w:color w:val="000000"/>
        </w:rPr>
        <w:t>if we fail to successfully tool our manufacturing facilities or if our manufacturing facilities become inoperable, we will be unable to produce our</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vehicles and our business will be harmed.” </w:t>
      </w:r>
      <w:r>
        <w:rPr>
          <w:rFonts w:ascii="Arial" w:cs="Arial" w:eastAsia="Arial" w:hAnsi="Arial"/>
          <w:sz w:val="16"/>
          <w:szCs w:val="16"/>
          <w:color w:val="000000"/>
        </w:rPr>
        <w:t>and “— Risks Related to Litigation and Regulation —</w:t>
      </w:r>
      <w:r>
        <w:rPr>
          <w:rFonts w:ascii="Arial" w:cs="Arial" w:eastAsia="Arial" w:hAnsi="Arial"/>
          <w:sz w:val="16"/>
          <w:szCs w:val="16"/>
          <w:i w:val="1"/>
          <w:iCs w:val="1"/>
          <w:color w:val="000000"/>
        </w:rPr>
        <w:t xml:space="preserve"> Changes in U.S. trade policy, including the imposition of tariffs or revocation of normal trade relations and the resulting consequences, could adversely affect our business, prospects, results of operations and financial condition</w:t>
      </w:r>
      <w:r>
        <w:rPr>
          <w:rFonts w:ascii="Arial" w:cs="Arial" w:eastAsia="Arial" w:hAnsi="Arial"/>
          <w:sz w:val="16"/>
          <w:szCs w:val="16"/>
          <w:color w:val="000000"/>
        </w:rPr>
        <w:t>.”</w:t>
      </w:r>
      <w:r>
        <w:rPr>
          <w:rFonts w:ascii="Arial" w:cs="Arial" w:eastAsia="Arial" w:hAnsi="Arial"/>
          <w:sz w:val="16"/>
          <w:szCs w:val="16"/>
          <w:i w:val="1"/>
          <w:iCs w:val="1"/>
          <w:color w:val="000000"/>
        </w:rPr>
        <w:t xml:space="preserve"> </w:t>
      </w:r>
      <w:r>
        <w:rPr>
          <w:rFonts w:ascii="Arial" w:cs="Arial" w:eastAsia="Arial" w:hAnsi="Arial"/>
          <w:sz w:val="16"/>
          <w:szCs w:val="16"/>
          <w:color w:val="231F20"/>
        </w:rPr>
        <w:t>We may incur significant expenses or delays relating to such events outside of our control, which could have a material adverse</w:t>
      </w:r>
      <w:r>
        <w:rPr>
          <w:rFonts w:ascii="Arial" w:cs="Arial" w:eastAsia="Arial" w:hAnsi="Arial"/>
          <w:sz w:val="16"/>
          <w:szCs w:val="16"/>
          <w:i w:val="1"/>
          <w:iCs w:val="1"/>
          <w:color w:val="000000"/>
        </w:rPr>
        <w:t xml:space="preserve"> </w:t>
      </w:r>
      <w:r>
        <w:rPr>
          <w:rFonts w:ascii="Arial" w:cs="Arial" w:eastAsia="Arial" w:hAnsi="Arial"/>
          <w:sz w:val="16"/>
          <w:szCs w:val="16"/>
          <w:color w:val="231F20"/>
        </w:rPr>
        <w:t>impact on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231F20"/>
        </w:rPr>
        <w:t>Our vehicles make use of lithium-ion battery cells, which have been observed to catch fire or vent smoke and flame.</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231F20"/>
        </w:rPr>
        <w:t>In addition, as we expand our service network, increase our recycling practices and scale the manufacturing of our vehicles and any future energy storage products, we will need to store lithium-ion battery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Cybersecurity and Data Privacy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231F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Our products contain complex information technology systems. For example, our vehicles are designed with built-in data connectivity to accept and install periodic remote updates to improve their functionality.</w:t>
      </w:r>
    </w:p>
    <w:p>
      <w:pPr>
        <w:spacing w:after="0" w:line="17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231F20"/>
        </w:rPr>
        <w:t>In addition, we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to our information technology systems and information (including personal data)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including as a result of intentional misconduct by employees, contractors, or vendors, as well as a result of software bugs, human error, or technical malfunctions.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Furthermore, cyber threat actors may in the future attempt to gain unauthorized access to, modify, alter and/or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vehicles, products and systems.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2" w:name="page63"/>
    <w:bookmarkEnd w:id="62"/>
    <w:p>
      <w:pPr>
        <w:ind w:right="60"/>
        <w:spacing w:after="0" w:line="291" w:lineRule="auto"/>
        <w:rPr>
          <w:sz w:val="20"/>
          <w:szCs w:val="20"/>
          <w:color w:val="auto"/>
        </w:rPr>
      </w:pPr>
      <w:r>
        <w:rPr>
          <w:rFonts w:ascii="Arial" w:cs="Arial" w:eastAsia="Arial" w:hAnsi="Arial"/>
          <w:sz w:val="16"/>
          <w:szCs w:val="16"/>
          <w:color w:val="auto"/>
        </w:rPr>
        <w:t>These risks have been heightened in connection with the ongoing conflict between Russia and Ukraine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personal data or our proprietary software code), products, and systems, resulting in a data breach, or disruption, modification or destruction to our systems and applications. As a result, we may suffer monetary losses, business interruption, and long-lasting operational issues, damage to our reputation and brand or loss of our intellectual property (including trade secrets).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systems or data, as well as other factors that may result in the perception that our vehicles, systems or data are vulnerable to being “hacked,” could negatively affect our brand. Some entities within the U.S. federal government, including certain Members of Congress and the National Highway Traffic Safety Administration (“NHTSA”)</w:t>
      </w:r>
      <w:r>
        <w:rPr>
          <w:rFonts w:ascii="Arial" w:cs="Arial" w:eastAsia="Arial" w:hAnsi="Arial"/>
          <w:sz w:val="16"/>
          <w:szCs w:val="16"/>
          <w:i w:val="1"/>
          <w:iCs w:val="1"/>
          <w:color w:val="231F20"/>
        </w:rPr>
        <w:t>,</w:t>
      </w:r>
      <w:r>
        <w:rPr>
          <w:rFonts w:ascii="Arial" w:cs="Arial" w:eastAsia="Arial" w:hAnsi="Arial"/>
          <w:sz w:val="16"/>
          <w:szCs w:val="16"/>
          <w:color w:val="231F20"/>
        </w:rPr>
        <w:t xml:space="preserve"> have recently focused attention on automotive cybersecurity issues and may in the future propose or implement regulations specific to automotive cybersecurity. In addition, the United Nations Economic Commission for Europe (“UNECE”) has introduced new regulations governing connected vehicle cybersecurity, which became effective in January 2021 and apply in the European Union to all new vehicle types beginning in July 2022 and to all existing architectures/new vehicles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7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231F20"/>
        </w:rPr>
        <w:t>We may not have adequate insurance coverage to cover losses associated with any of the foregoing, if any. The costs of investing and remediating a large data breach, or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3" w:name="page64"/>
    <w:bookmarkEnd w:id="63"/>
    <w:p>
      <w:pPr>
        <w:ind w:right="60"/>
        <w:spacing w:after="0" w:line="287" w:lineRule="auto"/>
        <w:rPr>
          <w:sz w:val="20"/>
          <w:szCs w:val="20"/>
          <w:color w:val="auto"/>
        </w:rPr>
      </w:pPr>
      <w:r>
        <w:rPr>
          <w:rFonts w:ascii="Arial" w:cs="Arial" w:eastAsia="Arial" w:hAnsi="Arial"/>
          <w:sz w:val="16"/>
          <w:szCs w:val="16"/>
          <w:color w:val="231F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to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6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(“GDPR”)</w:t>
      </w:r>
      <w:r>
        <w:rPr>
          <w:rFonts w:ascii="Arial" w:cs="Arial" w:eastAsia="Arial" w:hAnsi="Arial"/>
          <w:sz w:val="16"/>
          <w:szCs w:val="16"/>
          <w:i w:val="1"/>
          <w:iCs w:val="1"/>
          <w:color w:val="231F20"/>
        </w:rPr>
        <w:t>,</w:t>
      </w:r>
      <w:r>
        <w:rPr>
          <w:rFonts w:ascii="Arial" w:cs="Arial" w:eastAsia="Arial" w:hAnsi="Arial"/>
          <w:sz w:val="16"/>
          <w:szCs w:val="16"/>
          <w:color w:val="231F20"/>
        </w:rPr>
        <w:t xml:space="preserve"> which became effective in May 2018, California adopted the California Consumer Privacy Act of 2018 (“CCPA”)</w:t>
      </w:r>
      <w:r>
        <w:rPr>
          <w:rFonts w:ascii="Arial" w:cs="Arial" w:eastAsia="Arial" w:hAnsi="Arial"/>
          <w:sz w:val="16"/>
          <w:szCs w:val="16"/>
          <w:i w:val="1"/>
          <w:iCs w:val="1"/>
          <w:color w:val="231F20"/>
        </w:rPr>
        <w:t>,</w:t>
      </w:r>
      <w:r>
        <w:rPr>
          <w:rFonts w:ascii="Arial" w:cs="Arial" w:eastAsia="Arial" w:hAnsi="Arial"/>
          <w:sz w:val="16"/>
          <w:szCs w:val="16"/>
          <w:color w:val="231F20"/>
        </w:rPr>
        <w:t xml:space="preserve"> which became effective in January 2020, Canada adopted the Personal Information Protection and Electronic Documents Act (“PIPEDA”) and continues to amend the statute, the United Arab Emirates adopted the Data Protection Law (“DPL”), which became effective in January 2022, and Saudi Arabia enacted the Personal Data Protection Law (“PDPL”) which is expected to take effect in 2023. Each of the GDPR, the CCPA, the PIPEDA, the DPL and the PDPL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Legal developments in the European Economic Area (“EEA”), including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Some observers have noted that the CCPA marked the beginning of a trend toward more stringent privacy legislation in the United States. Additionally, effective in most material respects starting on January 1, 2023, the California Privacy Rights Act (“CPRA”), will significantly modify the CCPA, including by expanding California residents’ rights with respect to certain sensitive personal information. The CPRA also creates a new state agency, the California Privacy Protection Agency (“CPPA”), that will be vested with the authority to implement and enforce the CCPA (as modified by CPRA and any related regulations).</w:t>
      </w:r>
    </w:p>
    <w:p>
      <w:pPr>
        <w:sectPr>
          <w:pgSz w:w="11900" w:h="16838" w:orient="portrait"/>
          <w:cols w:equalWidth="0" w:num="1">
            <w:col w:w="11240"/>
          </w:cols>
          <w:pgMar w:left="320" w:top="989"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4" w:name="page65"/>
    <w:bookmarkEnd w:id="64"/>
    <w:p>
      <w:pPr>
        <w:ind w:right="40"/>
        <w:spacing w:after="0" w:line="296" w:lineRule="auto"/>
        <w:rPr>
          <w:sz w:val="20"/>
          <w:szCs w:val="20"/>
          <w:color w:val="auto"/>
        </w:rPr>
      </w:pPr>
      <w:r>
        <w:rPr>
          <w:rFonts w:ascii="Arial" w:cs="Arial" w:eastAsia="Arial" w:hAnsi="Arial"/>
          <w:sz w:val="16"/>
          <w:szCs w:val="16"/>
          <w:color w:val="231F20"/>
        </w:rPr>
        <w:t>Other states, including Connecticut, Utah,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Certain emerging privacy laws are still subject to a high degree of uncertainty as to their interpretation and application.</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8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Employees and 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loss of key employees or an inability to attract, retain and motivate qualified personnel may impair our ability to expand our business.</w:t>
      </w:r>
    </w:p>
    <w:p>
      <w:pPr>
        <w:spacing w:after="0" w:line="23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231F20"/>
        </w:rPr>
        <w:t xml:space="preserve">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increases. </w:t>
      </w:r>
      <w:r>
        <w:rPr>
          <w:rFonts w:ascii="Arial" w:cs="Arial" w:eastAsia="Arial" w:hAnsi="Arial"/>
          <w:sz w:val="16"/>
          <w:szCs w:val="16"/>
          <w:color w:val="000000"/>
        </w:rPr>
        <w:t>In addition, the Restructuring Plan, which involves the</w:t>
      </w:r>
      <w:r>
        <w:rPr>
          <w:rFonts w:ascii="Arial" w:cs="Arial" w:eastAsia="Arial" w:hAnsi="Arial"/>
          <w:sz w:val="16"/>
          <w:szCs w:val="16"/>
          <w:color w:val="231F20"/>
        </w:rPr>
        <w:t xml:space="preserve"> </w:t>
      </w:r>
      <w:r>
        <w:rPr>
          <w:rFonts w:ascii="Arial" w:cs="Arial" w:eastAsia="Arial" w:hAnsi="Arial"/>
          <w:sz w:val="16"/>
          <w:szCs w:val="16"/>
          <w:color w:val="000000"/>
        </w:rPr>
        <w:t xml:space="preserve">reduction of our employee workforce, may adversely affect our internal programs and initiatives as well as our ability to recruit and retain skilled and motivated personnel. The Restructuring Plan may also be distracting to employees and management and may negatively impact our business operations, reputation, or ability to serve customers. We also cannot provide any assurances that we will not have to undertake additional workforce reductions in the future. </w:t>
      </w:r>
      <w:r>
        <w:rPr>
          <w:rFonts w:ascii="Arial" w:cs="Arial" w:eastAsia="Arial" w:hAnsi="Arial"/>
          <w:sz w:val="16"/>
          <w:szCs w:val="16"/>
          <w:color w:val="231F20"/>
        </w:rPr>
        <w:t>The replacement of any members of our senior management team or other key employees likely would involve significant time and costs and may</w:t>
      </w:r>
      <w:r>
        <w:rPr>
          <w:rFonts w:ascii="Arial" w:cs="Arial" w:eastAsia="Arial" w:hAnsi="Arial"/>
          <w:sz w:val="16"/>
          <w:szCs w:val="16"/>
          <w:color w:val="000000"/>
        </w:rPr>
        <w:t xml:space="preserve"> </w:t>
      </w:r>
      <w:r>
        <w:rPr>
          <w:rFonts w:ascii="Arial" w:cs="Arial" w:eastAsia="Arial" w:hAnsi="Arial"/>
          <w:sz w:val="16"/>
          <w:szCs w:val="16"/>
          <w:color w:val="231F20"/>
        </w:rPr>
        <w:t>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engineers, and Arizona, where we have a substantial presence and a need for a large skilled repair, logistics, supply chain,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the ongoing conflict in Ukraine.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highly dependent on the services of Peter Rawlinson, our Chief Executive Officer and Chief Technology Officer.</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5" w:name="page66"/>
    <w:bookmarkEnd w:id="65"/>
    <w:p>
      <w:pPr>
        <w:ind w:right="200"/>
        <w:spacing w:after="0" w:line="277" w:lineRule="auto"/>
        <w:rPr>
          <w:sz w:val="20"/>
          <w:szCs w:val="20"/>
          <w:color w:val="auto"/>
        </w:rPr>
      </w:pPr>
      <w:r>
        <w:rPr>
          <w:rFonts w:ascii="Arial" w:cs="Arial" w:eastAsia="Arial" w:hAnsi="Arial"/>
          <w:sz w:val="18"/>
          <w:szCs w:val="18"/>
          <w:b w:val="1"/>
          <w:bCs w:val="1"/>
          <w:i w:val="1"/>
          <w:iCs w:val="1"/>
          <w:color w:val="231F20"/>
        </w:rPr>
        <w:t>We will need to hire, retain, and train a significant number of employees for our business operations, and our business could be adversely affected by labor and union activities.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retention,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effective company culture. Although the area surrounding our Casa Grande, Arizona manufacturing facilities is home to a highly trained workforce with experience in engineering and manufacturing, this workforce does not have significant experience with electric vehicle manufacturing, and related processes such as inventory management, logistics and quality control, and many jobs will require significant training and we may need to spend significant resources to ensure employees obtain and adhere to such training. Further, competition for employees in the Casa Grande, Arizona has increased and may continue to increase in the future, which may impact the ability or cost to hire in the area. If we are unsuccessful in hiring, retaining, and training a workforce in a timely and cost-effective manner, our business, financial condition and results of operations could be adversely affected.</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231F20"/>
        </w:rPr>
        <w:t>Risks Related to Litigation and Regulation</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231F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231F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We currently are, and expect to become, subject to laws and regulations applicable to the supply, manufacture, import, sale and service of automobiles in an increasing number of international jurisdictions. Applicable regulations in countries outside of the U.S., such as standards relating to vehicle safety, transportation of dangerous goods,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face regulatory limitations on our ability to sell vehicles directly, which could materially and adversely affect our ability to sell our vehicles.</w:t>
      </w:r>
    </w:p>
    <w:p>
      <w:pPr>
        <w:spacing w:after="0" w:line="24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spacing w:after="0" w:line="288" w:lineRule="auto"/>
        <w:rPr>
          <w:sz w:val="20"/>
          <w:szCs w:val="20"/>
          <w:color w:val="auto"/>
        </w:rPr>
      </w:pPr>
      <w:r>
        <w:rPr>
          <w:rFonts w:ascii="Arial" w:cs="Arial" w:eastAsia="Arial" w:hAnsi="Arial"/>
          <w:sz w:val="16"/>
          <w:szCs w:val="16"/>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231F20"/>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business disputes, disability access, and employment matters.</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231F20"/>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and that motion was granted on January 11, 2023, with Plaintiffs being provided the ability to seek leave to amend. On January 30, 2023, Plaintiffs filed a Motion for Leave to Amend, which is currently pending before the court.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8" w:name="page69"/>
    <w:bookmarkEnd w:id="68"/>
    <w:p>
      <w:pPr>
        <w:ind w:right="60"/>
        <w:spacing w:after="0" w:line="288"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7"/>
          <w:szCs w:val="17"/>
          <w:i w:val="1"/>
          <w:iCs w:val="1"/>
          <w:color w:val="auto"/>
        </w:rPr>
        <w:t>Victor W. Mangino v. Lucid Group, Inc., et al.</w:t>
      </w:r>
      <w:r>
        <w:rPr>
          <w:rFonts w:ascii="Arial" w:cs="Arial" w:eastAsia="Arial" w:hAnsi="Arial"/>
          <w:sz w:val="17"/>
          <w:szCs w:val="17"/>
          <w:color w:val="auto"/>
        </w:rPr>
        <w:t xml:space="preserve">, Case No. 3:22-cv-02094-JD, and </w:t>
      </w:r>
      <w:r>
        <w:rPr>
          <w:rFonts w:ascii="Arial" w:cs="Arial" w:eastAsia="Arial" w:hAnsi="Arial"/>
          <w:sz w:val="17"/>
          <w:szCs w:val="17"/>
          <w:i w:val="1"/>
          <w:iCs w:val="1"/>
          <w:color w:val="auto"/>
        </w:rPr>
        <w:t>Anant Goel v. Lucid Group, Inc., et al.</w:t>
      </w:r>
      <w:r>
        <w:rPr>
          <w:rFonts w:ascii="Arial" w:cs="Arial" w:eastAsia="Arial" w:hAnsi="Arial"/>
          <w:sz w:val="17"/>
          <w:szCs w:val="17"/>
          <w:color w:val="auto"/>
        </w:rPr>
        <w:t xml:space="preserve">, Case No. 3:22-cv-03176-JD. The two matters were consolidated into one action, entitled </w:t>
      </w:r>
      <w:r>
        <w:rPr>
          <w:rFonts w:ascii="Arial" w:cs="Arial" w:eastAsia="Arial" w:hAnsi="Arial"/>
          <w:sz w:val="17"/>
          <w:szCs w:val="17"/>
          <w:i w:val="1"/>
          <w:iCs w:val="1"/>
          <w:color w:val="auto"/>
        </w:rPr>
        <w:t>In re Lucid Group,</w:t>
      </w:r>
      <w:r>
        <w:rPr>
          <w:rFonts w:ascii="Arial" w:cs="Arial" w:eastAsia="Arial" w:hAnsi="Arial"/>
          <w:sz w:val="17"/>
          <w:szCs w:val="17"/>
          <w:color w:val="auto"/>
        </w:rPr>
        <w:t xml:space="preserve"> </w:t>
      </w:r>
      <w:r>
        <w:rPr>
          <w:rFonts w:ascii="Arial" w:cs="Arial" w:eastAsia="Arial" w:hAnsi="Arial"/>
          <w:sz w:val="17"/>
          <w:szCs w:val="17"/>
          <w:i w:val="1"/>
          <w:iCs w:val="1"/>
          <w:color w:val="auto"/>
        </w:rPr>
        <w:t>Inc. Securities Litigation</w:t>
      </w:r>
      <w:r>
        <w:rPr>
          <w:rFonts w:ascii="Arial" w:cs="Arial" w:eastAsia="Arial" w:hAnsi="Arial"/>
          <w:sz w:val="17"/>
          <w:szCs w:val="17"/>
          <w:color w:val="auto"/>
        </w:rPr>
        <w:t>, Case No. 22-cv-02094-JD. The complaints name as defendants Lucid Group, Inc. and the Company’s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filed a Motion to Dismiss on February 23, 2023, which is pending before the court.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7"/>
          <w:szCs w:val="17"/>
          <w:i w:val="1"/>
          <w:iCs w:val="1"/>
          <w:color w:val="auto"/>
        </w:rPr>
        <w:t>Floyd Taylor v. Glenn August, et al.</w:t>
      </w:r>
      <w:r>
        <w:rPr>
          <w:rFonts w:ascii="Arial" w:cs="Arial" w:eastAsia="Arial" w:hAnsi="Arial"/>
          <w:sz w:val="17"/>
          <w:szCs w:val="17"/>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7"/>
          <w:szCs w:val="17"/>
          <w:i w:val="1"/>
          <w:iCs w:val="1"/>
          <w:color w:val="auto"/>
        </w:rPr>
        <w:t>In re Lucid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Group, Inc. Securities Litigation </w:t>
      </w:r>
      <w:r>
        <w:rPr>
          <w:rFonts w:ascii="Arial" w:cs="Arial" w:eastAsia="Arial" w:hAnsi="Arial"/>
          <w:sz w:val="17"/>
          <w:szCs w:val="17"/>
          <w:color w:val="auto"/>
        </w:rPr>
        <w:t>action, the</w:t>
      </w:r>
      <w:r>
        <w:rPr>
          <w:rFonts w:ascii="Arial" w:cs="Arial" w:eastAsia="Arial" w:hAnsi="Arial"/>
          <w:sz w:val="17"/>
          <w:szCs w:val="17"/>
          <w:i w:val="1"/>
          <w:iCs w:val="1"/>
          <w:color w:val="auto"/>
        </w:rPr>
        <w:t xml:space="preserve"> Taylor </w:t>
      </w:r>
      <w:r>
        <w:rPr>
          <w:rFonts w:ascii="Arial" w:cs="Arial" w:eastAsia="Arial" w:hAnsi="Arial"/>
          <w:sz w:val="17"/>
          <w:szCs w:val="17"/>
          <w:color w:val="auto"/>
        </w:rPr>
        <w:t>complaint asserts claims for breach of fiduciary duty, unjust enrichment, waste of corporate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aiding and abetting breach of fiduciary duty. The complaint seeks compensatory damages, punitive damages, interest, and attorneys’ fees and expenses. The Company is advancing defendants’ fees and expenses incurred in their defense of the actions.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Litigation and regulatory proceedings may be protracted an</w:t>
      </w:r>
      <w:r>
        <w:rPr>
          <w:rFonts w:ascii="Arial" w:cs="Arial" w:eastAsia="Arial" w:hAnsi="Arial"/>
          <w:sz w:val="18"/>
          <w:szCs w:val="18"/>
          <w:color w:val="231F20"/>
        </w:rPr>
        <w:t>d expensive, and the results are difficult to predict. Additionally, our litigation costs could be</w:t>
      </w:r>
      <w:r>
        <w:rPr>
          <w:rFonts w:ascii="Arial" w:cs="Arial" w:eastAsia="Arial" w:hAnsi="Arial"/>
          <w:sz w:val="18"/>
          <w:szCs w:val="18"/>
          <w:color w:val="auto"/>
        </w:rPr>
        <w:t xml:space="preserve"> </w:t>
      </w:r>
      <w:r>
        <w:rPr>
          <w:rFonts w:ascii="Arial" w:cs="Arial" w:eastAsia="Arial" w:hAnsi="Arial"/>
          <w:sz w:val="18"/>
          <w:szCs w:val="18"/>
          <w:color w:val="231F20"/>
        </w:rPr>
        <w:t>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w:t>
      </w:r>
      <w:r>
        <w:rPr>
          <w:rFonts w:ascii="Arial" w:cs="Arial" w:eastAsia="Arial" w:hAnsi="Arial"/>
          <w:sz w:val="18"/>
          <w:szCs w:val="18"/>
          <w:color w:val="000000"/>
        </w:rPr>
        <w:t>d in our favor or without significant cash settlements, these matters, and the time and resources necessary to litigate or resolve</w:t>
      </w:r>
      <w:r>
        <w:rPr>
          <w:rFonts w:ascii="Arial" w:cs="Arial" w:eastAsia="Arial" w:hAnsi="Arial"/>
          <w:sz w:val="18"/>
          <w:szCs w:val="18"/>
          <w:color w:val="231F20"/>
        </w:rPr>
        <w:t xml:space="preserve"> </w:t>
      </w:r>
      <w:r>
        <w:rPr>
          <w:rFonts w:ascii="Arial" w:cs="Arial" w:eastAsia="Arial" w:hAnsi="Arial"/>
          <w:sz w:val="18"/>
          <w:szCs w:val="18"/>
          <w:color w:val="000000"/>
        </w:rPr>
        <w:t>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9" w:name="page70"/>
    <w:bookmarkEnd w:id="69"/>
    <w:p>
      <w:pPr>
        <w:ind w:right="18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Arial" w:cs="Arial" w:eastAsia="Arial" w:hAnsi="Arial"/>
          <w:sz w:val="16"/>
          <w:szCs w:val="16"/>
          <w:i w:val="1"/>
          <w:iCs w:val="1"/>
          <w:color w:val="231F20"/>
        </w:rPr>
        <w:t>ADAS</w:t>
      </w:r>
      <w:r>
        <w:rPr>
          <w:rFonts w:ascii="Arial" w:cs="Arial" w:eastAsia="Arial" w:hAnsi="Arial"/>
          <w:sz w:val="16"/>
          <w:szCs w:val="16"/>
          <w:color w:val="231F20"/>
        </w:rPr>
        <w:t xml:space="preserve"> features in our vehicles. See “— Risks Related to Litigation and Regulation — </w:t>
      </w:r>
      <w:r>
        <w:rPr>
          <w:rFonts w:ascii="Arial" w:cs="Arial" w:eastAsia="Arial" w:hAnsi="Arial"/>
          <w:sz w:val="16"/>
          <w:szCs w:val="16"/>
          <w:i w:val="1"/>
          <w:iCs w:val="1"/>
          <w:color w:val="231F20"/>
        </w:rPr>
        <w:t>ADAS technology is subject to uncertain and evolving regulations</w:t>
      </w:r>
      <w:r>
        <w:rPr>
          <w:rFonts w:ascii="Arial" w:cs="Arial" w:eastAsia="Arial" w:hAnsi="Arial"/>
          <w:sz w:val="16"/>
          <w:szCs w:val="16"/>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6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231F20"/>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231F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Arial" w:cs="Arial" w:eastAsia="Arial" w:hAnsi="Arial"/>
          <w:sz w:val="17"/>
          <w:szCs w:val="17"/>
          <w:i w:val="1"/>
          <w:iCs w:val="1"/>
          <w:color w:val="231F20"/>
        </w:rPr>
        <w:t>We have experienced and may in the future experience significant delays in the</w:t>
      </w:r>
      <w:r>
        <w:rPr>
          <w:rFonts w:ascii="Arial" w:cs="Arial" w:eastAsia="Arial" w:hAnsi="Arial"/>
          <w:sz w:val="17"/>
          <w:szCs w:val="17"/>
          <w:color w:val="231F20"/>
        </w:rPr>
        <w:t xml:space="preserve"> </w:t>
      </w:r>
      <w:r>
        <w:rPr>
          <w:rFonts w:ascii="Arial" w:cs="Arial" w:eastAsia="Arial" w:hAnsi="Arial"/>
          <w:sz w:val="17"/>
          <w:szCs w:val="17"/>
          <w:i w:val="1"/>
          <w:iCs w:val="1"/>
          <w:color w:val="231F20"/>
        </w:rPr>
        <w:t>design, manufacture, launch and financing of our vehicles, including the Lucid Air and the Lucid Gravity SUV, which could harm our business and prospects.</w:t>
      </w:r>
      <w:r>
        <w:rPr>
          <w:rFonts w:ascii="Arial" w:cs="Arial" w:eastAsia="Arial" w:hAnsi="Arial"/>
          <w:sz w:val="17"/>
          <w:szCs w:val="17"/>
          <w:color w:val="231F20"/>
        </w:rPr>
        <w:t>”</w:t>
      </w:r>
    </w:p>
    <w:p>
      <w:pPr>
        <w:spacing w:after="0" w:line="18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and resources to comply with them. For example, regulations regarding battery storage, recycling, disposal and processing are relatively new and the lack of uniform regulations and guidance may increase our cost of compliance.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0" w:name="page71"/>
    <w:bookmarkEnd w:id="70"/>
    <w:p>
      <w:pPr>
        <w:ind w:right="60"/>
        <w:spacing w:after="0" w:line="273" w:lineRule="auto"/>
        <w:rPr>
          <w:sz w:val="20"/>
          <w:szCs w:val="20"/>
          <w:color w:val="auto"/>
        </w:rPr>
      </w:pPr>
      <w:r>
        <w:rPr>
          <w:rFonts w:ascii="Arial" w:cs="Arial" w:eastAsia="Arial" w:hAnsi="Arial"/>
          <w:sz w:val="17"/>
          <w:szCs w:val="17"/>
          <w:color w:val="231F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78"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231F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w:t>
      </w:r>
    </w:p>
    <w:p>
      <w:pPr>
        <w:spacing w:after="0" w:line="2"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231F20"/>
        </w:rPr>
        <w:t>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ADAS technology is subject to uncertain and evolving regulations.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subject to governmental export and import controls and laws that could subject us to liability if we are not in compliance with such laws.</w:t>
      </w:r>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1" w:name="page72"/>
    <w:bookmarkEnd w:id="71"/>
    <w:p>
      <w:pPr>
        <w:ind w:right="40"/>
        <w:spacing w:after="0" w:line="293" w:lineRule="auto"/>
        <w:rPr>
          <w:sz w:val="20"/>
          <w:szCs w:val="20"/>
          <w:color w:val="auto"/>
        </w:rPr>
      </w:pPr>
      <w:r>
        <w:rPr>
          <w:rFonts w:ascii="Arial" w:cs="Arial" w:eastAsia="Arial" w:hAnsi="Arial"/>
          <w:sz w:val="16"/>
          <w:szCs w:val="16"/>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Changes in U.S. trade policy, including the imposition of tariffs or revocation of normal trade relations and the resulting consequences, could adversely affect our business, prospects, results of operations and financial condition.</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The U.S. government has adopted an evolving approach to trade policy and in some cases has attempted to renegotiate or terminate certain existing bilateral or multi-lateral trade agreements. It has also imposed tariffs on certain foreign goods, including steel and certain vehicle parts,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Arial" w:cs="Arial" w:eastAsia="Arial" w:hAnsi="Arial"/>
          <w:sz w:val="17"/>
          <w:szCs w:val="17"/>
          <w:color w:val="231F20"/>
        </w:rPr>
        <w:t>and could have an adverse effect on our business and results of</w:t>
      </w:r>
      <w:r>
        <w:rPr>
          <w:rFonts w:ascii="Arial" w:cs="Arial" w:eastAsia="Arial" w:hAnsi="Arial"/>
          <w:sz w:val="17"/>
          <w:szCs w:val="17"/>
          <w:color w:val="auto"/>
        </w:rPr>
        <w:t xml:space="preserve"> </w:t>
      </w:r>
      <w:r>
        <w:rPr>
          <w:rFonts w:ascii="Arial" w:cs="Arial" w:eastAsia="Arial" w:hAnsi="Arial"/>
          <w:sz w:val="17"/>
          <w:szCs w:val="17"/>
          <w:color w:val="231F20"/>
        </w:rPr>
        <w:t>operations</w:t>
      </w:r>
      <w:r>
        <w:rPr>
          <w:rFonts w:ascii="Arial" w:cs="Arial" w:eastAsia="Arial" w:hAnsi="Arial"/>
          <w:sz w:val="17"/>
          <w:szCs w:val="17"/>
          <w:color w:val="000000"/>
        </w:rPr>
        <w:t>.</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United States enacted federal legislation that revokes normal trade relations between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231F20"/>
        </w:rPr>
        <w:t>A failure to properly comply with foreign trade zone laws and regulations could increase the cost of our duties and tariffs.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231F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misappropriation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The measures we take to obtain, maintain, protect and enforce our intellectual property, including preventing unauthorized use by third parties, may not be effective for various reasons, including the following:</w:t>
      </w:r>
    </w:p>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any trademark or patent applications we file may not result in the issuance of trademarks or patents;</w:t>
      </w:r>
    </w:p>
    <w:p>
      <w:pPr>
        <w:spacing w:after="0" w:line="117" w:lineRule="exact"/>
        <w:rPr>
          <w:rFonts w:ascii="Arial" w:cs="Arial" w:eastAsia="Arial" w:hAnsi="Arial"/>
          <w:sz w:val="18"/>
          <w:szCs w:val="18"/>
          <w:color w:val="231F20"/>
        </w:rPr>
      </w:pPr>
    </w:p>
    <w:p>
      <w:pPr>
        <w:ind w:left="660" w:right="24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we may not be the first inventor of the subject matter to which we have filed a particular patent application, and we may not be the first party to file such a patent application;</w:t>
      </w:r>
    </w:p>
    <w:p>
      <w:pPr>
        <w:spacing w:after="0" w:line="62" w:lineRule="exact"/>
        <w:rPr>
          <w:rFonts w:ascii="Arial" w:cs="Arial" w:eastAsia="Arial" w:hAnsi="Arial"/>
          <w:sz w:val="18"/>
          <w:szCs w:val="18"/>
          <w:color w:val="231F20"/>
        </w:rPr>
      </w:pPr>
    </w:p>
    <w:p>
      <w:pPr>
        <w:ind w:left="660" w:right="14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our issued patents may be challenged or invalidated by our competitors or other third parties;</w:t>
      </w:r>
    </w:p>
    <w:p>
      <w:pPr>
        <w:spacing w:after="0" w:line="117" w:lineRule="exact"/>
        <w:rPr>
          <w:rFonts w:ascii="Arial" w:cs="Arial" w:eastAsia="Arial" w:hAnsi="Arial"/>
          <w:sz w:val="18"/>
          <w:szCs w:val="18"/>
          <w:color w:val="231F20"/>
        </w:rPr>
      </w:pPr>
    </w:p>
    <w:p>
      <w:pPr>
        <w:ind w:left="660" w:right="30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patents have a finite term, and competitors and other third parties may offer identical or similar products after the expiration of our patents that cover such products;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our employees, contractors or business partners may breach their confidentiality, non-disclosure and non-use obligations;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competitors and other third parties may independently develop technologies that are the same or similar to ours;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the intellectual property rights of others could also bar us from licensing and exploiting any patents that issue from our pending applications;</w:t>
      </w:r>
    </w:p>
    <w:p>
      <w:pPr>
        <w:spacing w:after="0" w:line="128" w:lineRule="exact"/>
        <w:rPr>
          <w:rFonts w:ascii="Arial" w:cs="Arial" w:eastAsia="Arial" w:hAnsi="Arial"/>
          <w:sz w:val="17"/>
          <w:szCs w:val="17"/>
          <w:color w:val="231F20"/>
        </w:rPr>
      </w:pPr>
    </w:p>
    <w:p>
      <w:pPr>
        <w:ind w:left="660" w:right="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costs associated with enforcing patents or other intellectual property rights, or confidentiality and invention assignment agreements may make enforcement impracticable;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competitors and other third parties may circumvent or otherwise design around our patents or other intellectual property.</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ectPr>
          <w:pgSz w:w="11900" w:h="16838" w:orient="portrait"/>
          <w:cols w:equalWidth="0" w:num="1">
            <w:col w:w="11220"/>
          </w:cols>
          <w:pgMar w:left="320" w:top="989" w:right="359"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73" w:name="page74"/>
    <w:bookmarkEnd w:id="73"/>
    <w:p>
      <w:pPr>
        <w:ind w:right="60"/>
        <w:spacing w:after="0" w:line="257" w:lineRule="auto"/>
        <w:rPr>
          <w:sz w:val="20"/>
          <w:szCs w:val="20"/>
          <w:color w:val="auto"/>
        </w:rPr>
      </w:pPr>
      <w:r>
        <w:rPr>
          <w:rFonts w:ascii="Arial" w:cs="Arial" w:eastAsia="Arial" w:hAnsi="Arial"/>
          <w:sz w:val="18"/>
          <w:szCs w:val="18"/>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31F20"/>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231F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There are considerable issued patent, pending patent applications, and other intellectual property development, ownership, and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6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pay substantial damages, including treble damages for willful infringement, or ongoing royalty payments;</w:t>
      </w:r>
    </w:p>
    <w:p>
      <w:pPr>
        <w:spacing w:after="0" w:line="117" w:lineRule="exact"/>
        <w:rPr>
          <w:rFonts w:ascii="Arial" w:cs="Arial" w:eastAsia="Arial" w:hAnsi="Arial"/>
          <w:sz w:val="18"/>
          <w:szCs w:val="18"/>
          <w:color w:val="231F20"/>
        </w:rPr>
      </w:pPr>
    </w:p>
    <w:p>
      <w:pPr>
        <w:ind w:left="660" w:right="60" w:hanging="328"/>
        <w:spacing w:after="0" w:line="277" w:lineRule="auto"/>
        <w:tabs>
          <w:tab w:leader="none" w:pos="65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cease developing, selling, leasing, using or incorporating certain components into vehicles or offering goods or services that incorporate or use the asserted intellectual property;</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seek a license from the owner of the asserted intellectual property, which license may not be available on reasonable terms, or at all;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comply with other unfavorable terms; or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establish and maintain alternative branding for our products and services.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4" w:name="page75"/>
    <w:bookmarkEnd w:id="74"/>
    <w:p>
      <w:pPr>
        <w:ind w:right="20"/>
        <w:spacing w:after="0" w:line="271" w:lineRule="auto"/>
        <w:rPr>
          <w:sz w:val="20"/>
          <w:szCs w:val="20"/>
          <w:color w:val="auto"/>
        </w:rPr>
      </w:pPr>
      <w:r>
        <w:rPr>
          <w:rFonts w:ascii="Arial" w:cs="Arial" w:eastAsia="Arial" w:hAnsi="Arial"/>
          <w:sz w:val="17"/>
          <w:szCs w:val="17"/>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personnel.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31F20"/>
        </w:rPr>
        <w:t>Some of our products contain open-source software, which may pose particular risks to our proprietary software, products and services in a manner that could harm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non-compliance, ownership of, or demanding release of, the open-source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231F20"/>
        </w:rPr>
        <w:t>Risks Related to Financing and Strategic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will require additional capital to support business growth, and this capital might not be available on commercially reasonable terms, or at all.</w:t>
      </w:r>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31F20"/>
        </w:rPr>
        <w:t xml:space="preserve">We have funded our operations since inception primarily through equity and debt financings. For example, we issued approximately $2.0 billion of 1.25% convertible senior notes due 2026 in December 2021 (the “2026 Notes”), entered into a credit agreement that provides for a $1.0 billion senior secured asset-based revolving credit facility in June 2022 (the “ABL Credit Facility”), </w:t>
      </w:r>
      <w:r>
        <w:rPr>
          <w:rFonts w:ascii="Arial" w:cs="Arial" w:eastAsia="Arial" w:hAnsi="Arial"/>
          <w:sz w:val="16"/>
          <w:szCs w:val="16"/>
          <w:color w:val="000000"/>
        </w:rPr>
        <w:t>completed an “at-the-market” equity offering program for net proceeds of</w:t>
      </w:r>
      <w:r>
        <w:rPr>
          <w:rFonts w:ascii="Arial" w:cs="Arial" w:eastAsia="Arial" w:hAnsi="Arial"/>
          <w:sz w:val="16"/>
          <w:szCs w:val="16"/>
          <w:color w:val="231F20"/>
        </w:rPr>
        <w:t xml:space="preserve"> </w:t>
      </w:r>
      <w:r>
        <w:rPr>
          <w:rFonts w:ascii="Arial" w:cs="Arial" w:eastAsia="Arial" w:hAnsi="Arial"/>
          <w:sz w:val="16"/>
          <w:szCs w:val="16"/>
          <w:color w:val="000000"/>
        </w:rPr>
        <w:t>$594.3 million after deducting commissions and other issuance costs and consummated a private placement of common stock to Ayar for aggregate proceeds of $915.0 million in December 2022</w:t>
      </w:r>
      <w:r>
        <w:rPr>
          <w:rFonts w:ascii="Arial" w:cs="Arial" w:eastAsia="Arial" w:hAnsi="Arial"/>
          <w:sz w:val="16"/>
          <w:szCs w:val="16"/>
          <w:color w:val="231F20"/>
        </w:rPr>
        <w:t>. In addition, we have, through our subsidiary, entered into a loan agreement with the Saudi Industrial</w:t>
      </w:r>
      <w:r>
        <w:rPr>
          <w:rFonts w:ascii="Arial" w:cs="Arial" w:eastAsia="Arial" w:hAnsi="Arial"/>
          <w:sz w:val="16"/>
          <w:szCs w:val="16"/>
          <w:color w:val="000000"/>
        </w:rPr>
        <w:t xml:space="preserve"> </w:t>
      </w:r>
      <w:r>
        <w:rPr>
          <w:rFonts w:ascii="Arial" w:cs="Arial" w:eastAsia="Arial" w:hAnsi="Arial"/>
          <w:sz w:val="16"/>
          <w:szCs w:val="16"/>
          <w:color w:val="231F20"/>
        </w:rPr>
        <w:t xml:space="preserve">Development Fund for an aggregate principal amount of up to SAR </w:t>
      </w:r>
      <w:r>
        <w:rPr>
          <w:rFonts w:ascii="Arial" w:cs="Arial" w:eastAsia="Arial" w:hAnsi="Arial"/>
          <w:sz w:val="16"/>
          <w:szCs w:val="16"/>
          <w:color w:val="000000"/>
        </w:rPr>
        <w:t>5.19 billion</w:t>
      </w:r>
      <w:r>
        <w:rPr>
          <w:rFonts w:ascii="Arial" w:cs="Arial" w:eastAsia="Arial" w:hAnsi="Arial"/>
          <w:sz w:val="16"/>
          <w:szCs w:val="16"/>
          <w:color w:val="231F20"/>
        </w:rPr>
        <w:t xml:space="preserve"> in February 2022 (the “SIDF Loan Agreement”) and also entered into a revolving credit facility agreement with Gulf International Bank for an aggregate principal amount of SAR </w:t>
      </w:r>
      <w:r>
        <w:rPr>
          <w:rFonts w:ascii="Arial" w:cs="Arial" w:eastAsia="Arial" w:hAnsi="Arial"/>
          <w:sz w:val="16"/>
          <w:szCs w:val="16"/>
          <w:color w:val="000000"/>
        </w:rPr>
        <w:t>1 billion</w:t>
      </w:r>
      <w:r>
        <w:rPr>
          <w:rFonts w:ascii="Arial" w:cs="Arial" w:eastAsia="Arial" w:hAnsi="Arial"/>
          <w:sz w:val="16"/>
          <w:szCs w:val="16"/>
          <w:color w:val="231F20"/>
        </w:rPr>
        <w:t xml:space="preserve"> in April 2022, which was amended in March 2023 (as amended, the “Amended GIB Facility Agreement”)</w:t>
      </w:r>
      <w:r>
        <w:rPr>
          <w:rFonts w:ascii="Arial" w:cs="Arial" w:eastAsia="Arial" w:hAnsi="Arial"/>
          <w:sz w:val="16"/>
          <w:szCs w:val="16"/>
          <w:color w:val="000000"/>
        </w:rPr>
        <w:t>.</w:t>
      </w:r>
      <w:r>
        <w:rPr>
          <w:rFonts w:ascii="Arial" w:cs="Arial" w:eastAsia="Arial" w:hAnsi="Arial"/>
          <w:sz w:val="16"/>
          <w:szCs w:val="16"/>
          <w:color w:val="231F20"/>
        </w:rPr>
        <w:t xml:space="preserve">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we have and we expect to settle tax withholding obligations in connection with vesting of the restricted stock units granted to Peter Rawlinson, our Chief Executive Officer and Chief Technology Officer, that were previously granted to him in March 2021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Arial" w:cs="Arial" w:eastAsia="Arial" w:hAnsi="Arial"/>
          <w:sz w:val="18"/>
          <w:szCs w:val="18"/>
          <w:color w:val="000000"/>
        </w:rPr>
        <w:t>For example, we have entered into</w:t>
      </w:r>
      <w:r>
        <w:rPr>
          <w:rFonts w:ascii="Arial" w:cs="Arial" w:eastAsia="Arial" w:hAnsi="Arial"/>
          <w:sz w:val="18"/>
          <w:szCs w:val="18"/>
          <w:color w:val="231F20"/>
        </w:rPr>
        <w:t xml:space="preserve"> </w:t>
      </w:r>
      <w:r>
        <w:rPr>
          <w:rFonts w:ascii="Arial" w:cs="Arial" w:eastAsia="Arial" w:hAnsi="Arial"/>
          <w:sz w:val="18"/>
          <w:szCs w:val="18"/>
          <w:color w:val="000000"/>
        </w:rPr>
        <w:t xml:space="preserve">agreements with Panasonic Energy Co., Ltd. and certain of its affiliates to purchase an aggregate of approximately $5 billion of lithium-ion battery cells, subject to certain conditions and adjustments, beginning in 2023 through 2031. </w:t>
      </w:r>
      <w:r>
        <w:rPr>
          <w:rFonts w:ascii="Arial" w:cs="Arial" w:eastAsia="Arial" w:hAnsi="Arial"/>
          <w:sz w:val="18"/>
          <w:szCs w:val="18"/>
          <w:color w:val="231F20"/>
        </w:rPr>
        <w:t>In addition, the fact that we have a limited operating history means that we</w:t>
      </w:r>
      <w:r>
        <w:rPr>
          <w:rFonts w:ascii="Arial" w:cs="Arial" w:eastAsia="Arial" w:hAnsi="Arial"/>
          <w:sz w:val="18"/>
          <w:szCs w:val="18"/>
          <w:color w:val="000000"/>
        </w:rPr>
        <w:t xml:space="preserve"> </w:t>
      </w:r>
      <w:r>
        <w:rPr>
          <w:rFonts w:ascii="Arial" w:cs="Arial" w:eastAsia="Arial" w:hAnsi="Arial"/>
          <w:sz w:val="18"/>
          <w:szCs w:val="18"/>
          <w:color w:val="231F20"/>
        </w:rPr>
        <w:t>have limited historical data on the demand for our vehicles. As a result, our future capital requirements are uncertain, and actual capital requirements may be greater than what we currently anticipate.</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231F20"/>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the ongoing conflict between Ukraine and Russia and the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spacing w:after="0" w:line="165"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0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ind w:right="20"/>
        <w:spacing w:after="0" w:line="257" w:lineRule="auto"/>
        <w:rPr>
          <w:sz w:val="20"/>
          <w:szCs w:val="20"/>
          <w:color w:val="auto"/>
        </w:rPr>
      </w:pPr>
      <w:r>
        <w:rPr>
          <w:rFonts w:ascii="Arial" w:cs="Arial" w:eastAsia="Arial" w:hAnsi="Arial"/>
          <w:sz w:val="18"/>
          <w:szCs w:val="18"/>
          <w:color w:val="auto"/>
        </w:rPr>
        <w:t>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2021, we issued approximately $2.0 billion principal amount of 2026 Notes and have entered into several credit facilities in 2022. See Note 6 “Debt” to our condensed consolidated financial statements included elsewhere in this Quarterly Report for further information on our outstanding debt obligations. Our ability to make scheduled payments of the principal of, to pay interest on or to refinance our indebtedness from time to time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our indebtedness, combined with our other existing and future financial obligations and contractual commitments, could have other important consequences. For example, it could:</w:t>
      </w:r>
    </w:p>
    <w:p>
      <w:pPr>
        <w:spacing w:after="0" w:line="62" w:lineRule="exact"/>
        <w:rPr>
          <w:sz w:val="20"/>
          <w:szCs w:val="20"/>
          <w:color w:val="auto"/>
        </w:rPr>
      </w:pPr>
    </w:p>
    <w:p>
      <w:pPr>
        <w:ind w:left="660" w:right="80" w:hanging="328"/>
        <w:spacing w:after="0" w:line="277" w:lineRule="auto"/>
        <w:tabs>
          <w:tab w:leader="none" w:pos="579"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make us more vulnerable to adverse changes in general U.S. and worldwide economic, industry and competitive conditions and adverse changes in government regulation;</w:t>
      </w:r>
    </w:p>
    <w:p>
      <w:pPr>
        <w:spacing w:after="0" w:line="62" w:lineRule="exact"/>
        <w:rPr>
          <w:rFonts w:ascii="Arial" w:cs="Arial" w:eastAsia="Arial" w:hAnsi="Arial"/>
          <w:sz w:val="18"/>
          <w:szCs w:val="18"/>
          <w:color w:val="231F20"/>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under the SIDF Loan Agreement, the Amended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Further, shares of our common stock are subordinate in right of payment to all of our current and future debt. We cannot assure that there would be any remaining funds after the payment of all of our debt for any distribution to our stockholders.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ectPr>
          <w:pgSz w:w="11900" w:h="16838" w:orient="portrait"/>
          <w:cols w:equalWidth="0" w:num="1">
            <w:col w:w="11240"/>
          </w:cols>
          <w:pgMar w:left="320" w:top="989"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We have incurred and may still incur substantially more debt.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and our subsidiaries have incurred and may be able to incur substantial additional debt in the future, subject to the restrictions contained in our debt instruments, some of which may be secured debt. The ABL Credit Facility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unable to draw down the full amounts available under the ABL Credit Facility, the SIDF Loan Agreement and the Amended GIB Facility Agreement.</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ABL Credit Facility has an initial aggregate principal commitment amount of up to $1.0 billion. However, availability of the committed amounts under the ABL Credit Facility is subject to the value of the eligible borrowing base and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Amended GIB Facility Agreement are only available for certain specific purposes and subject to conditions on drawdowns. Any inability to draw down the full amounts committed under these facilities, should the need arise, may have an </w:t>
      </w:r>
      <w:r>
        <w:rPr>
          <w:rFonts w:ascii="Arial" w:cs="Arial" w:eastAsia="Arial" w:hAnsi="Arial"/>
          <w:sz w:val="17"/>
          <w:szCs w:val="17"/>
          <w:color w:val="231F20"/>
        </w:rPr>
        <w:t>adverse effect on our cash flows and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identify adequate strategic relationship opportunities or form strategic relationships, in the future.</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231F20"/>
        </w:rPr>
        <w:t xml:space="preserve">We expect that strategic business relationships will be an important factor in the growth and success of our business. From time to 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Arial" w:cs="Arial" w:eastAsia="Arial" w:hAnsi="Arial"/>
          <w:sz w:val="17"/>
          <w:szCs w:val="17"/>
          <w:color w:val="000000"/>
        </w:rPr>
        <w:t>we will be able to maintain such relationships. In addition,</w:t>
      </w:r>
      <w:r>
        <w:rPr>
          <w:rFonts w:ascii="Arial" w:cs="Arial" w:eastAsia="Arial" w:hAnsi="Arial"/>
          <w:sz w:val="17"/>
          <w:szCs w:val="17"/>
          <w:color w:val="231F20"/>
        </w:rPr>
        <w:t xml:space="preserve"> 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ectPr>
          <w:pgSz w:w="11900" w:h="16838" w:orient="portrait"/>
          <w:cols w:equalWidth="0" w:num="1">
            <w:col w:w="11240"/>
          </w:cols>
          <w:pgMar w:left="320" w:top="989"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8" w:name="page79"/>
    <w:bookmarkEnd w:id="78"/>
    <w:p>
      <w:pPr>
        <w:ind w:right="160"/>
        <w:spacing w:after="0" w:line="311" w:lineRule="auto"/>
        <w:rPr>
          <w:sz w:val="20"/>
          <w:szCs w:val="20"/>
          <w:color w:val="auto"/>
        </w:rPr>
      </w:pPr>
      <w:r>
        <w:rPr>
          <w:rFonts w:ascii="Arial" w:cs="Arial" w:eastAsia="Arial" w:hAnsi="Arial"/>
          <w:sz w:val="16"/>
          <w:szCs w:val="16"/>
          <w:color w:val="231F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1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Our financial results may vary significantly from period to period due to fluctuations in our production levels, operating costs, product demand and other factors.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net operating loss carryforwards and certain other tax attributes may be limited.</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231F20"/>
        </w:rPr>
        <w:t xml:space="preserve">We have accumulated U.S. federal and state net operating loss (“NOL”) carryforwards and research and development credits which may be available to offset and reduce future taxable income. While our U.S. federal NOL carryforwards arising in taxable years beginning after December 31, 2017, </w:t>
      </w:r>
      <w:r>
        <w:rPr>
          <w:rFonts w:ascii="Arial" w:cs="Arial" w:eastAsia="Arial" w:hAnsi="Arial"/>
          <w:sz w:val="16"/>
          <w:szCs w:val="16"/>
          <w:color w:val="000000"/>
        </w:rPr>
        <w:t>will not be</w:t>
      </w:r>
      <w:r>
        <w:rPr>
          <w:rFonts w:ascii="Arial" w:cs="Arial" w:eastAsia="Arial" w:hAnsi="Arial"/>
          <w:sz w:val="16"/>
          <w:szCs w:val="16"/>
          <w:color w:val="231F20"/>
        </w:rPr>
        <w:t xml:space="preserve"> </w:t>
      </w:r>
      <w:r>
        <w:rPr>
          <w:rFonts w:ascii="Arial" w:cs="Arial" w:eastAsia="Arial" w:hAnsi="Arial"/>
          <w:sz w:val="16"/>
          <w:szCs w:val="16"/>
          <w:color w:val="000000"/>
        </w:rPr>
        <w:t>subject to expiration, some of our U.S. federal and state NOL carryforwards from taxable years prior to 2018 will begin to expire in 2031. As of March 31, 2023, we also had U.S. federal research and development credit carryforwards which will begin to expire in 2036 and state research and development credit carryforwards with no expiration. As of March 31, 2023, we maintain a full valuation allowance for our net deferred tax assets.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Our U.S. federal and state NOL carryforwards and certain tax credits </w:t>
      </w:r>
      <w:r>
        <w:rPr>
          <w:rFonts w:ascii="Arial" w:cs="Arial" w:eastAsia="Arial" w:hAnsi="Arial"/>
          <w:sz w:val="18"/>
          <w:szCs w:val="18"/>
          <w:color w:val="231F20"/>
        </w:rPr>
        <w:t>may be subject to significant limitations under Section 382 and Section 383 of the</w:t>
      </w:r>
      <w:r>
        <w:rPr>
          <w:rFonts w:ascii="Arial" w:cs="Arial" w:eastAsia="Arial" w:hAnsi="Arial"/>
          <w:sz w:val="18"/>
          <w:szCs w:val="18"/>
          <w:color w:val="auto"/>
        </w:rPr>
        <w:t xml:space="preserve"> </w:t>
      </w:r>
      <w:r>
        <w:rPr>
          <w:rFonts w:ascii="Arial" w:cs="Arial" w:eastAsia="Arial" w:hAnsi="Arial"/>
          <w:sz w:val="18"/>
          <w:szCs w:val="18"/>
          <w:color w:val="231F20"/>
        </w:rPr>
        <w:t>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9" w:name="page80"/>
    <w:bookmarkEnd w:id="79"/>
    <w:p>
      <w:pPr>
        <w:ind w:right="240"/>
        <w:spacing w:after="0" w:line="296" w:lineRule="auto"/>
        <w:rPr>
          <w:sz w:val="20"/>
          <w:szCs w:val="20"/>
          <w:color w:val="auto"/>
        </w:rPr>
      </w:pPr>
      <w:r>
        <w:rPr>
          <w:rFonts w:ascii="Arial" w:cs="Arial" w:eastAsia="Arial" w:hAnsi="Arial"/>
          <w:sz w:val="16"/>
          <w:szCs w:val="16"/>
          <w:color w:val="231F20"/>
        </w:rPr>
        <w:t>In general, an “ownership change” will occur if there is a cumulative change in our ownership by “5-percent shareholders” that exceeds 50 percentage poin</w:t>
      </w:r>
      <w:r>
        <w:rPr>
          <w:rFonts w:ascii="Arial" w:cs="Arial" w:eastAsia="Arial" w:hAnsi="Arial"/>
          <w:sz w:val="16"/>
          <w:szCs w:val="16"/>
          <w:color w:val="000000"/>
        </w:rPr>
        <w:t>ts over a rolling three-year period. Similar rules may apply under state tax laws. We have completed a formal Section 382 study of our equity</w:t>
      </w:r>
      <w:r>
        <w:rPr>
          <w:rFonts w:ascii="Arial" w:cs="Arial" w:eastAsia="Arial" w:hAnsi="Arial"/>
          <w:sz w:val="16"/>
          <w:szCs w:val="16"/>
          <w:color w:val="231F20"/>
        </w:rPr>
        <w:t xml:space="preserve"> </w:t>
      </w:r>
      <w:r>
        <w:rPr>
          <w:rFonts w:ascii="Arial" w:cs="Arial" w:eastAsia="Arial" w:hAnsi="Arial"/>
          <w:sz w:val="16"/>
          <w:szCs w:val="16"/>
          <w:color w:val="000000"/>
        </w:rPr>
        <w:t>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not yet completed an analysis of whether the busin</w:t>
      </w:r>
      <w:r>
        <w:rPr>
          <w:rFonts w:ascii="Arial" w:cs="Arial" w:eastAsia="Arial" w:hAnsi="Arial"/>
          <w:sz w:val="18"/>
          <w:szCs w:val="18"/>
          <w:color w:val="231F20"/>
        </w:rPr>
        <w:t>ess combination also caused an “ownership change.” In addition, future changes in our stock</w:t>
      </w:r>
      <w:r>
        <w:rPr>
          <w:rFonts w:ascii="Arial" w:cs="Arial" w:eastAsia="Arial" w:hAnsi="Arial"/>
          <w:sz w:val="18"/>
          <w:szCs w:val="18"/>
          <w:color w:val="auto"/>
        </w:rPr>
        <w:t xml:space="preserve"> </w:t>
      </w:r>
      <w:r>
        <w:rPr>
          <w:rFonts w:ascii="Arial" w:cs="Arial" w:eastAsia="Arial" w:hAnsi="Arial"/>
          <w:sz w:val="18"/>
          <w:szCs w:val="18"/>
          <w:color w:val="231F20"/>
        </w:rPr>
        <w:t>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It is possible that we will not generate taxable income in time to use any of our NOL carryforwards and research and development credits before their expiration.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231F20"/>
        </w:rPr>
        <w:t>We may change our corporate structure, our business operations or certain agreements that we have entered into relating to taxes in a particular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changes may materially and adversely impact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warrants are accounted for as liabilities and the changes in value of our warrants could have a material effect on our financial results.</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8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ectPr>
          <w:pgSz w:w="11900" w:h="16838" w:orient="portrait"/>
          <w:cols w:equalWidth="0" w:num="1">
            <w:col w:w="11240"/>
          </w:cols>
          <w:pgMar w:left="320" w:top="989"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color w:val="231F20"/>
        </w:rPr>
        <w:t>Risks Related to Public Company Requirements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The requirements of being a public company may strain our resources and distract our management, which could make it difficult to manage our business.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Arial" w:cs="Arial" w:eastAsia="Arial" w:hAnsi="Arial"/>
          <w:sz w:val="16"/>
          <w:szCs w:val="16"/>
          <w:color w:val="000000"/>
        </w:rPr>
        <w:t>In addition, changing laws, regulations, and standards related to corporate governance and public disclosure are</w:t>
      </w:r>
      <w:r>
        <w:rPr>
          <w:rFonts w:ascii="Arial" w:cs="Arial" w:eastAsia="Arial" w:hAnsi="Arial"/>
          <w:sz w:val="16"/>
          <w:szCs w:val="16"/>
          <w:color w:val="231F20"/>
        </w:rPr>
        <w:t xml:space="preserve"> </w:t>
      </w:r>
      <w:r>
        <w:rPr>
          <w:rFonts w:ascii="Arial" w:cs="Arial" w:eastAsia="Arial" w:hAnsi="Arial"/>
          <w:sz w:val="16"/>
          <w:szCs w:val="16"/>
          <w:color w:val="000000"/>
        </w:rPr>
        <w:t>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 xml:space="preserve">To implement, maintain and improve the effectiveness of our disclosure controls and procedures, we will need to commit significant resources, hire additional staff and provide additional management oversight. </w:t>
      </w:r>
      <w:r>
        <w:rPr>
          <w:rFonts w:ascii="Arial" w:cs="Arial" w:eastAsia="Arial" w:hAnsi="Arial"/>
          <w:sz w:val="17"/>
          <w:szCs w:val="17"/>
          <w:color w:val="000000"/>
        </w:rPr>
        <w:t>To comply with the requirements of being a public company, we have undertaken, and</w:t>
      </w:r>
      <w:r>
        <w:rPr>
          <w:rFonts w:ascii="Arial" w:cs="Arial" w:eastAsia="Arial" w:hAnsi="Arial"/>
          <w:sz w:val="17"/>
          <w:szCs w:val="17"/>
          <w:color w:val="231F20"/>
        </w:rPr>
        <w:t xml:space="preserve"> </w:t>
      </w:r>
      <w:r>
        <w:rPr>
          <w:rFonts w:ascii="Arial" w:cs="Arial" w:eastAsia="Arial" w:hAnsi="Arial"/>
          <w:sz w:val="17"/>
          <w:szCs w:val="17"/>
          <w:color w:val="000000"/>
        </w:rPr>
        <w:t xml:space="preserve">expect to continue to further undertake in the future, various actions, such as hiring additional accounting staff and implementing new internal controls and procedures </w:t>
      </w:r>
      <w:r>
        <w:rPr>
          <w:rFonts w:ascii="Arial" w:cs="Arial" w:eastAsia="Arial" w:hAnsi="Arial"/>
          <w:sz w:val="17"/>
          <w:szCs w:val="17"/>
          <w:color w:val="231F20"/>
        </w:rPr>
        <w:t>for the purpose of addressing the standards and requirements applicable to public companies. Sustaining our growth also will require us to</w:t>
      </w:r>
      <w:r>
        <w:rPr>
          <w:rFonts w:ascii="Arial" w:cs="Arial" w:eastAsia="Arial" w:hAnsi="Arial"/>
          <w:sz w:val="17"/>
          <w:szCs w:val="17"/>
          <w:color w:val="000000"/>
        </w:rPr>
        <w:t xml:space="preserve"> </w:t>
      </w:r>
      <w:r>
        <w:rPr>
          <w:rFonts w:ascii="Arial" w:cs="Arial" w:eastAsia="Arial" w:hAnsi="Arial"/>
          <w:sz w:val="17"/>
          <w:szCs w:val="17"/>
          <w:color w:val="231F20"/>
        </w:rPr>
        <w:t>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231F20"/>
        </w:rPr>
        <w:t>We ceased to be an emerging growth company, and now are required to comply with certain heightened reporting requirements, including those relating to auditing standards and disclosure about our executive compensation.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231F20"/>
        </w:rPr>
        <w:t>We have incurred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81" w:name="page82"/>
    <w:bookmarkEnd w:id="81"/>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we are required to report any control deficiencies that constitute a “material weakness”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8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231F20"/>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The price of our common stock is volatile, and this volatility may negatively impact the market price of our common stock and the trading price of the 2026 Notes.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231F20"/>
        </w:rPr>
        <w:t>Factors affecting the trading price of our securities may include:</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market conditions in the broader stock market in general, or in our industry in particular;</w:t>
      </w:r>
    </w:p>
    <w:p>
      <w:pPr>
        <w:spacing w:after="0" w:line="117" w:lineRule="exact"/>
        <w:rPr>
          <w:rFonts w:ascii="Arial" w:cs="Arial" w:eastAsia="Arial" w:hAnsi="Arial"/>
          <w:sz w:val="18"/>
          <w:szCs w:val="18"/>
          <w:color w:val="231F20"/>
        </w:rPr>
      </w:pPr>
    </w:p>
    <w:p>
      <w:pPr>
        <w:ind w:left="660" w:right="68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changes in the market’s expectations about our operating results;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public’s reaction to our press releases, other public announcements and filings with the SEC;</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public’s reaction to the number of unit reservations, financial projections and any other guidance or metrics that we may publicly disclose from time to time;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speculation in the press or investment community;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actual or anticipated developments in our business, competitors’ businesses or the competitive landscape generally;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operating results failing to meet the expectation of securities analysts or investors in a particular period;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the timing of the achievement of objectives under our business plan and the timing and amount of costs we incur in connection therewith;</w:t>
      </w:r>
    </w:p>
    <w:p>
      <w:pPr>
        <w:sectPr>
          <w:pgSz w:w="11900" w:h="16838" w:orient="portrait"/>
          <w:cols w:equalWidth="0" w:num="1">
            <w:col w:w="11220"/>
          </w:cols>
          <w:pgMar w:left="320" w:top="989" w:right="359" w:bottom="1440" w:gutter="0" w:footer="0" w:header="0"/>
        </w:sect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82" w:name="page83"/>
    <w:bookmarkEnd w:id="82"/>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changes in financial estimates and recommendations by securities analysts concerning us or the market in general;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operating and stock price performance of other companies that investors deem comparable to ours;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changes in laws and regulations affecting our business;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commencement of, or involvement in, litigation or investigations involving us;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changes in our capital structure, such as future issuances of securities or the incurrence of additional debt;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volume of our common stock available for public sale;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 xml:space="preserve">any major change in our Board </w:t>
      </w:r>
      <w:r>
        <w:rPr>
          <w:rFonts w:ascii="Arial" w:cs="Arial" w:eastAsia="Arial" w:hAnsi="Arial"/>
          <w:sz w:val="18"/>
          <w:szCs w:val="18"/>
          <w:color w:val="000000"/>
        </w:rPr>
        <w:t>or management;</w:t>
      </w:r>
    </w:p>
    <w:p>
      <w:pPr>
        <w:spacing w:after="0" w:line="117" w:lineRule="exact"/>
        <w:rPr>
          <w:rFonts w:ascii="Arial" w:cs="Arial" w:eastAsia="Arial" w:hAnsi="Arial"/>
          <w:sz w:val="18"/>
          <w:szCs w:val="18"/>
          <w:color w:val="231F20"/>
        </w:rPr>
      </w:pPr>
    </w:p>
    <w:p>
      <w:pPr>
        <w:jc w:val="both"/>
        <w:ind w:left="660" w:right="40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15" w:lineRule="exact"/>
        <w:rPr>
          <w:rFonts w:ascii="Arial" w:cs="Arial" w:eastAsia="Arial" w:hAnsi="Arial"/>
          <w:sz w:val="16"/>
          <w:szCs w:val="16"/>
          <w:color w:val="auto"/>
        </w:rPr>
      </w:pPr>
    </w:p>
    <w:p>
      <w:pPr>
        <w:ind w:left="660" w:right="28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pandemics (such as COVID-19), inflation, government closures of banks and liquidity concerns at other financial institutions, changes in diplomatic and trade relationships, fluctuations in foreign currency exchange rates, acts of war or terrorism, and natural disasters;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the impact of the conflict between Ukraine and Russia, natural disasters, the COVID-19 pandemic, and any other global pa</w:t>
      </w:r>
      <w:r>
        <w:rPr>
          <w:rFonts w:ascii="Arial" w:cs="Arial" w:eastAsia="Arial" w:hAnsi="Arial"/>
          <w:sz w:val="17"/>
          <w:szCs w:val="17"/>
          <w:color w:val="231F20"/>
        </w:rPr>
        <w:t>ndemics, as well as</w:t>
      </w:r>
      <w:r>
        <w:rPr>
          <w:rFonts w:ascii="Arial" w:cs="Arial" w:eastAsia="Arial" w:hAnsi="Arial"/>
          <w:sz w:val="17"/>
          <w:szCs w:val="17"/>
          <w:color w:val="auto"/>
        </w:rPr>
        <w:t xml:space="preserve"> </w:t>
      </w:r>
      <w:r>
        <w:rPr>
          <w:rFonts w:ascii="Arial" w:cs="Arial" w:eastAsia="Arial" w:hAnsi="Arial"/>
          <w:sz w:val="17"/>
          <w:szCs w:val="17"/>
          <w:color w:val="231F20"/>
        </w:rPr>
        <w:t xml:space="preserve">general economic, political and market conditions such as recessions, inflation, </w:t>
      </w:r>
      <w:r>
        <w:rPr>
          <w:rFonts w:ascii="Arial" w:cs="Arial" w:eastAsia="Arial" w:hAnsi="Arial"/>
          <w:sz w:val="17"/>
          <w:szCs w:val="17"/>
          <w:color w:val="000000"/>
        </w:rPr>
        <w:t>government closures of banks and liquidity concerns at other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institutions, </w:t>
      </w:r>
      <w:r>
        <w:rPr>
          <w:rFonts w:ascii="Arial" w:cs="Arial" w:eastAsia="Arial" w:hAnsi="Arial"/>
          <w:sz w:val="17"/>
          <w:szCs w:val="17"/>
          <w:color w:val="231F20"/>
        </w:rPr>
        <w:t>or interest rate changes, may seriously affect the market price of our common stock and other securities, regardless of our actual operating</w:t>
      </w:r>
      <w:r>
        <w:rPr>
          <w:rFonts w:ascii="Arial" w:cs="Arial" w:eastAsia="Arial" w:hAnsi="Arial"/>
          <w:sz w:val="17"/>
          <w:szCs w:val="17"/>
          <w:color w:val="000000"/>
        </w:rPr>
        <w:t xml:space="preserve"> </w:t>
      </w:r>
      <w:r>
        <w:rPr>
          <w:rFonts w:ascii="Arial" w:cs="Arial" w:eastAsia="Arial" w:hAnsi="Arial"/>
          <w:sz w:val="17"/>
          <w:szCs w:val="17"/>
          <w:color w:val="231F20"/>
        </w:rPr>
        <w:t>performance. A decline in the market price of our securities also could adversely affect our ability to issue additional securities and our ability to obtain additional financing in the future.</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231F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In addition, pursuant to the Investor Rights Agreement, Ayar,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231F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As of March 31, 2023, PIF, both directly and indirectly through Ayar, held approximate</w:t>
      </w:r>
      <w:r>
        <w:rPr>
          <w:rFonts w:ascii="Arial" w:cs="Arial" w:eastAsia="Arial" w:hAnsi="Arial"/>
          <w:sz w:val="16"/>
          <w:szCs w:val="16"/>
          <w:color w:val="000000"/>
        </w:rPr>
        <w:t>ly 60.5% of</w:t>
      </w:r>
      <w:r>
        <w:rPr>
          <w:rFonts w:ascii="Arial" w:cs="Arial" w:eastAsia="Arial" w:hAnsi="Arial"/>
          <w:sz w:val="16"/>
          <w:szCs w:val="16"/>
          <w:color w:val="231F20"/>
        </w:rPr>
        <w:t xml:space="preserve">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PIF and Ayar beneficially own a significant equity interest in us and may take actions that conflict with your interests.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231F20"/>
        </w:rPr>
        <w:t>The interests of PIF and Ayar may not align with our interests and the interests of our other stockholders or securityholders. PIF and Ayar are each in the business of making investments in companies and may acquire and hold interests in businesses that compete directly or indirectly with us. PIF and Ayar and their respective affiliates, may also pursue acquisition opportunities that may be c</w:t>
      </w:r>
      <w:r>
        <w:rPr>
          <w:rFonts w:ascii="Arial" w:cs="Arial" w:eastAsia="Arial" w:hAnsi="Arial"/>
          <w:sz w:val="18"/>
          <w:szCs w:val="18"/>
          <w:color w:val="000000"/>
        </w:rPr>
        <w:t>omplementary to our business and, as a result, those acquisition</w:t>
      </w:r>
      <w:r>
        <w:rPr>
          <w:rFonts w:ascii="Arial" w:cs="Arial" w:eastAsia="Arial" w:hAnsi="Arial"/>
          <w:sz w:val="18"/>
          <w:szCs w:val="18"/>
          <w:color w:val="231F20"/>
        </w:rPr>
        <w:t xml:space="preserve"> </w:t>
      </w:r>
      <w:r>
        <w:rPr>
          <w:rFonts w:ascii="Arial" w:cs="Arial" w:eastAsia="Arial" w:hAnsi="Arial"/>
          <w:sz w:val="18"/>
          <w:szCs w:val="18"/>
          <w:color w:val="000000"/>
        </w:rPr>
        <w:t>opportunities may not be available to us.</w:t>
      </w:r>
    </w:p>
    <w:p>
      <w:pPr>
        <w:spacing w:after="0" w:line="187" w:lineRule="exact"/>
        <w:rPr>
          <w:sz w:val="20"/>
          <w:szCs w:val="20"/>
          <w:color w:val="auto"/>
        </w:rPr>
      </w:pPr>
    </w:p>
    <w:p>
      <w:pPr>
        <w:jc w:val="both"/>
        <w:ind w:right="920"/>
        <w:spacing w:after="0" w:line="381" w:lineRule="auto"/>
        <w:rPr>
          <w:sz w:val="20"/>
          <w:szCs w:val="20"/>
          <w:color w:val="auto"/>
        </w:rPr>
      </w:pPr>
      <w:r>
        <w:rPr>
          <w:rFonts w:ascii="Arial" w:cs="Arial" w:eastAsia="Arial" w:hAnsi="Arial"/>
          <w:sz w:val="15"/>
          <w:szCs w:val="15"/>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231F20"/>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31F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231F20"/>
        </w:rPr>
        <w:t>Se</w:t>
      </w:r>
      <w:r>
        <w:rPr>
          <w:rFonts w:ascii="Arial" w:cs="Arial" w:eastAsia="Arial" w:hAnsi="Arial"/>
          <w:sz w:val="18"/>
          <w:szCs w:val="18"/>
          <w:color w:val="000000"/>
        </w:rPr>
        <w:t>e the section titled “Management’s Discussion and Analysis of Financial Condition and Results of Operations — Liquidity and Capital Resources” in</w:t>
      </w:r>
      <w:r>
        <w:rPr>
          <w:rFonts w:ascii="Arial" w:cs="Arial" w:eastAsia="Arial" w:hAnsi="Arial"/>
          <w:sz w:val="18"/>
          <w:szCs w:val="18"/>
          <w:color w:val="231F20"/>
        </w:rPr>
        <w:t xml:space="preserve"> </w:t>
      </w:r>
      <w:r>
        <w:rPr>
          <w:rFonts w:ascii="Arial" w:cs="Arial" w:eastAsia="Arial" w:hAnsi="Arial"/>
          <w:sz w:val="18"/>
          <w:szCs w:val="18"/>
          <w:color w:val="000000"/>
        </w:rPr>
        <w:t>this Quarterly Report.</w:t>
      </w:r>
    </w:p>
    <w:p>
      <w:pPr>
        <w:sectPr>
          <w:pgSz w:w="11900" w:h="16838" w:orient="portrait"/>
          <w:cols w:equalWidth="0" w:num="1">
            <w:col w:w="11220"/>
          </w:cols>
          <w:pgMar w:left="320" w:top="989" w:right="35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be sustained.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 liquid trading market for our common stock is not sustained:</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holders of our common stock may not be able to liquidate their investment in shares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holders of our common stock may not be able to resell their shares of our common stock at favorable prices,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experience significant price volatility;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may be less efficiency in carrying out purchase and sale orders with respect to our common stock.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4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Arial" w:cs="Arial" w:eastAsia="Arial" w:hAnsi="Arial"/>
          <w:sz w:val="15"/>
          <w:szCs w:val="15"/>
          <w:b w:val="1"/>
          <w:bCs w:val="1"/>
          <w:i w:val="1"/>
          <w:iCs w:val="1"/>
          <w:color w:val="231F20"/>
        </w:rPr>
        <w:t>or disputes with us or with our directors, officers or employees and may discourage stockholders from bringing such claims.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31F20"/>
        </w:rPr>
        <w:t>Under our current bylaws, unless we consent in writing to the selection of an alternative forum, the sole and exclusive forum will be a state court within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State of Delaware (or, if no state court located within the State of Delaware has jurisdiction, the federal district court for the District of Delaware) for:</w:t>
      </w:r>
    </w:p>
    <w:p>
      <w:pPr>
        <w:spacing w:after="0" w:line="11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any derivative action or proceeding brought on our behalf;</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7"/>
          <w:szCs w:val="17"/>
          <w:color w:val="231F20"/>
        </w:rPr>
      </w:pPr>
      <w:r>
        <w:rPr>
          <w:rFonts w:ascii="Arial" w:cs="Arial" w:eastAsia="Arial" w:hAnsi="Arial"/>
          <w:sz w:val="17"/>
          <w:szCs w:val="17"/>
          <w:color w:val="231F20"/>
        </w:rPr>
        <w:t>any action asserting a claim of breach of a fiduciary duty owed by any of our directors, officers or employees to us or our stockholders;</w:t>
      </w:r>
    </w:p>
    <w:p>
      <w:pPr>
        <w:spacing w:after="0" w:line="128" w:lineRule="exact"/>
        <w:rPr>
          <w:rFonts w:ascii="Arial" w:cs="Arial" w:eastAsia="Arial" w:hAnsi="Arial"/>
          <w:sz w:val="17"/>
          <w:szCs w:val="17"/>
          <w:color w:val="231F20"/>
        </w:rPr>
      </w:pPr>
    </w:p>
    <w:p>
      <w:pPr>
        <w:ind w:left="660" w:right="80" w:hanging="328"/>
        <w:spacing w:after="0" w:line="308" w:lineRule="auto"/>
        <w:tabs>
          <w:tab w:leader="none" w:pos="655" w:val="left"/>
        </w:tabs>
        <w:numPr>
          <w:ilvl w:val="0"/>
          <w:numId w:val="30"/>
        </w:numPr>
        <w:rPr>
          <w:rFonts w:ascii="Arial" w:cs="Arial" w:eastAsia="Arial" w:hAnsi="Arial"/>
          <w:sz w:val="17"/>
          <w:szCs w:val="17"/>
          <w:color w:val="231F20"/>
        </w:rPr>
      </w:pPr>
      <w:r>
        <w:rPr>
          <w:rFonts w:ascii="Arial" w:cs="Arial" w:eastAsia="Arial" w:hAnsi="Arial"/>
          <w:sz w:val="17"/>
          <w:szCs w:val="17"/>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30"/>
        </w:numPr>
        <w:rPr>
          <w:rFonts w:ascii="Arial" w:cs="Arial" w:eastAsia="Arial" w:hAnsi="Arial"/>
          <w:sz w:val="17"/>
          <w:szCs w:val="17"/>
          <w:color w:val="231F20"/>
        </w:rPr>
      </w:pPr>
      <w:r>
        <w:rPr>
          <w:rFonts w:ascii="Arial" w:cs="Arial" w:eastAsia="Arial" w:hAnsi="Arial"/>
          <w:sz w:val="17"/>
          <w:szCs w:val="17"/>
          <w:color w:val="231F20"/>
        </w:rPr>
        <w:t>any action asserting a claim against us or any of our directors or officers or other employees governed by the internal affairs doctrine.</w:t>
      </w:r>
    </w:p>
    <w:p>
      <w:pPr>
        <w:spacing w:after="0" w:line="2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Some provisions of Delaware law and our current certificate of incorporation and our current bylaws may deter third parties from acquiring us and diminish the value of our common stock and the 2026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31F20"/>
        </w:rPr>
        <w:t>Our current certificate of incorporation and our current bylaws provide for, among other things:</w:t>
      </w:r>
    </w:p>
    <w:p>
      <w:pPr>
        <w:spacing w:after="0" w:line="117" w:lineRule="exact"/>
        <w:rPr>
          <w:sz w:val="20"/>
          <w:szCs w:val="20"/>
          <w:color w:val="auto"/>
        </w:rPr>
      </w:pPr>
    </w:p>
    <w:p>
      <w:pPr>
        <w:ind w:left="660" w:right="56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62" w:lineRule="exact"/>
        <w:rPr>
          <w:rFonts w:ascii="Arial" w:cs="Arial" w:eastAsia="Arial" w:hAnsi="Arial"/>
          <w:sz w:val="18"/>
          <w:szCs w:val="18"/>
          <w:color w:val="231F20"/>
        </w:rPr>
      </w:pPr>
    </w:p>
    <w:p>
      <w:pPr>
        <w:ind w:left="660" w:right="20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subject to the Investor Rights Agreement, advance notice for nominations of directors by stockholders and for stockholders to include matters to be considered at stockholder meetings;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certain limitations on convening special stockholder meetings.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5" w:name="page86"/>
    <w:bookmarkEnd w:id="85"/>
    <w:p>
      <w:pPr>
        <w:jc w:val="both"/>
        <w:ind w:right="240"/>
        <w:spacing w:after="0" w:line="263" w:lineRule="auto"/>
        <w:rPr>
          <w:sz w:val="20"/>
          <w:szCs w:val="20"/>
          <w:color w:val="auto"/>
        </w:rPr>
      </w:pPr>
      <w:r>
        <w:rPr>
          <w:rFonts w:ascii="Arial" w:cs="Arial" w:eastAsia="Arial" w:hAnsi="Arial"/>
          <w:sz w:val="18"/>
          <w:szCs w:val="18"/>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6" w:lineRule="exact"/>
        <w:rPr>
          <w:sz w:val="20"/>
          <w:szCs w:val="20"/>
          <w:color w:val="auto"/>
        </w:rPr>
      </w:pPr>
    </w:p>
    <w:p>
      <w:pPr>
        <w:ind w:left="660" w:right="200" w:hanging="328"/>
        <w:spacing w:after="0" w:line="277" w:lineRule="auto"/>
        <w:tabs>
          <w:tab w:leader="none" w:pos="655"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231F20"/>
        </w:rPr>
      </w:pPr>
    </w:p>
    <w:p>
      <w:pPr>
        <w:ind w:left="660" w:right="320" w:hanging="328"/>
        <w:spacing w:after="0" w:line="277" w:lineRule="auto"/>
        <w:tabs>
          <w:tab w:leader="none" w:pos="655"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62"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7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31F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exhibits listed on the Exhibit Index to this Form 10-Q are filed herewith or incorporated by reference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0" w:type="dxa"/>
            <w:vAlign w:val="bottom"/>
            <w:gridSpan w:val="3"/>
          </w:tcPr>
          <w:p>
            <w:pPr>
              <w:ind w:left="780"/>
              <w:spacing w:after="0"/>
              <w:rPr>
                <w:sz w:val="20"/>
                <w:szCs w:val="20"/>
                <w:color w:val="auto"/>
              </w:rPr>
            </w:pPr>
            <w:r>
              <w:rPr>
                <w:rFonts w:ascii="Arial" w:cs="Arial" w:eastAsia="Arial" w:hAnsi="Arial"/>
                <w:sz w:val="14"/>
                <w:szCs w:val="14"/>
                <w:b w:val="1"/>
                <w:bCs w:val="1"/>
                <w:color w:val="auto"/>
              </w:rPr>
              <w:t>Incorporation by Reference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9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840" w:type="dxa"/>
            <w:vAlign w:val="bottom"/>
            <w:gridSpan w:val="15"/>
            <w:vMerge w:val="restart"/>
          </w:tcPr>
          <w:p>
            <w:pPr>
              <w:ind w:left="2300"/>
              <w:spacing w:after="0"/>
              <w:rPr>
                <w:sz w:val="20"/>
                <w:szCs w:val="20"/>
                <w:color w:val="auto"/>
              </w:rPr>
            </w:pPr>
            <w:r>
              <w:rPr>
                <w:rFonts w:ascii="Arial" w:cs="Arial" w:eastAsia="Arial" w:hAnsi="Arial"/>
                <w:sz w:val="14"/>
                <w:szCs w:val="14"/>
                <w:b w:val="1"/>
                <w:bCs w:val="1"/>
                <w:color w:val="auto"/>
              </w:rPr>
              <w:t>Exhibit Description</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File</w:t>
            </w:r>
          </w:p>
        </w:tc>
        <w:tc>
          <w:tcPr>
            <w:tcW w:w="1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Filing</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7"/>
        </w:trPr>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7"/>
                <w:szCs w:val="17"/>
                <w:color w:val="auto"/>
              </w:rPr>
            </w:pPr>
          </w:p>
        </w:tc>
        <w:tc>
          <w:tcPr>
            <w:tcW w:w="5840" w:type="dxa"/>
            <w:vAlign w:val="bottom"/>
            <w:gridSpan w:val="15"/>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5"/>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40" w:type="dxa"/>
            <w:vAlign w:val="bottom"/>
            <w:tcBorders>
              <w:top w:val="single" w:sz="8" w:color="auto"/>
            </w:tcBorders>
            <w:gridSpan w:val="15"/>
          </w:tcPr>
          <w:p>
            <w:pPr>
              <w:spacing w:after="0"/>
              <w:rPr>
                <w:rFonts w:ascii="Arial" w:cs="Arial" w:eastAsia="Arial" w:hAnsi="Arial"/>
                <w:sz w:val="16"/>
                <w:szCs w:val="16"/>
                <w:color w:val="0000FF"/>
              </w:rPr>
            </w:pPr>
            <w:hyperlink r:id="rId103">
              <w:r>
                <w:rPr>
                  <w:rFonts w:ascii="Arial" w:cs="Arial" w:eastAsia="Arial" w:hAnsi="Arial"/>
                  <w:sz w:val="16"/>
                  <w:szCs w:val="16"/>
                  <w:color w:val="0000FF"/>
                </w:rPr>
                <w:t>Third Amended and Restated Certificate of Incorporation of the Company</w:t>
              </w:r>
            </w:hyperlink>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001-39408</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April 25, 2023</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tcBorders>
              <w:top w:val="single" w:sz="8" w:color="0000FF"/>
            </w:tcBorders>
            <w:gridSpan w:val="6"/>
          </w:tcPr>
          <w:p>
            <w:pPr>
              <w:spacing w:after="0"/>
              <w:rPr>
                <w:rFonts w:ascii="Arial" w:cs="Arial" w:eastAsia="Arial" w:hAnsi="Arial"/>
                <w:sz w:val="16"/>
                <w:szCs w:val="16"/>
                <w:color w:val="0000FF"/>
              </w:rPr>
            </w:pPr>
            <w:hyperlink r:id="rId104">
              <w:r>
                <w:rPr>
                  <w:rFonts w:ascii="Arial" w:cs="Arial" w:eastAsia="Arial" w:hAnsi="Arial"/>
                  <w:sz w:val="16"/>
                  <w:szCs w:val="16"/>
                  <w:color w:val="0000FF"/>
                </w:rPr>
                <w:t>Second Amended and Restated Bylaws of the Company</w:t>
              </w:r>
            </w:hyperlink>
          </w:p>
        </w:tc>
        <w:tc>
          <w:tcPr>
            <w:tcW w:w="1040" w:type="dxa"/>
            <w:vAlign w:val="bottom"/>
            <w:gridSpan w:val="9"/>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March 3, 2023</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0000FF"/>
                <w:w w:val="94"/>
              </w:rPr>
              <w:t>Amendment to the Credit Facility Agreement, entered into on March 12, 2023, between</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6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w w:val="94"/>
              </w:rPr>
              <w:t>Lucid LLC and Gulf International Bank Saudi Arabia (English version only)</w:t>
            </w:r>
          </w:p>
        </w:tc>
        <w:tc>
          <w:tcPr>
            <w:tcW w:w="720" w:type="dxa"/>
            <w:vAlign w:val="bottom"/>
            <w:tcBorders>
              <w:top w:val="single" w:sz="8" w:color="0000FF"/>
            </w:tcBorders>
            <w:gridSpan w:val="6"/>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93"/>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15"/>
          </w:tcPr>
          <w:p>
            <w:pPr>
              <w:spacing w:after="0"/>
              <w:rPr>
                <w:rFonts w:ascii="Arial" w:cs="Arial" w:eastAsia="Arial" w:hAnsi="Arial"/>
                <w:sz w:val="16"/>
                <w:szCs w:val="16"/>
                <w:color w:val="0000FF"/>
                <w:w w:val="94"/>
              </w:rPr>
            </w:pPr>
            <w:hyperlink r:id="rId105">
              <w:r>
                <w:rPr>
                  <w:rFonts w:ascii="Arial" w:cs="Arial" w:eastAsia="Arial" w:hAnsi="Arial"/>
                  <w:sz w:val="16"/>
                  <w:szCs w:val="16"/>
                  <w:color w:val="0000FF"/>
                  <w:w w:val="94"/>
                </w:rPr>
                <w:t>Lucid Group, Inc. Second Amended and Restated 2021 Stock Incentive Plan (including</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April 25, 2023</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the Lucid Group, Inc. 2021 Employee Stock Purchase Plan, attached thereto)</w:t>
              </w:r>
            </w:hyperlink>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0000FF"/>
                <w:w w:val="98"/>
              </w:rPr>
              <w:t>Certification of Principal Executive Officer Required Under Rule 13a-14(a) and 15d-</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14(a) of the Securities Exchange Act of 1934, as amended</w:t>
            </w:r>
          </w:p>
        </w:tc>
        <w:tc>
          <w:tcPr>
            <w:tcW w:w="1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0000FF"/>
                <w:w w:val="94"/>
              </w:rPr>
              <w:t>Certification of Chief Financial Officer Required Under Rule 13a-14(a) and 15d-14(a) of</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the Securities Exchange Act of 1934, as amended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0000FF"/>
              </w:rPr>
              <w:t>Certification of Principal Executive Officer pursuant to 18 U.S.C. Section 1350, as</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adopted pursuant to Section 906 of the Sarbanes-Oxley Act of 2002</w:t>
            </w:r>
          </w:p>
        </w:tc>
        <w:tc>
          <w:tcPr>
            <w:tcW w:w="280" w:type="dxa"/>
            <w:vAlign w:val="bottom"/>
            <w:gridSpan w:val="2"/>
          </w:tcPr>
          <w:p>
            <w:pPr>
              <w:spacing w:after="0"/>
              <w:rPr>
                <w:sz w:val="12"/>
                <w:szCs w:val="12"/>
                <w:color w:val="auto"/>
              </w:rPr>
            </w:pPr>
          </w:p>
        </w:tc>
        <w:tc>
          <w:tcPr>
            <w:tcW w:w="20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0000FF"/>
                <w:w w:val="95"/>
              </w:rPr>
              <w:t>Certification of Chief Financial Officer pursuant to 18 U.S.C. Section 1350, as adopted</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4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pursuant to Section 906 of the Sarbanes-Oxley Act of 2002</w:t>
            </w:r>
          </w:p>
        </w:tc>
        <w:tc>
          <w:tcPr>
            <w:tcW w:w="20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4"/>
            <w:shd w:val="clear" w:color="auto" w:fill="0000FF"/>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101.INS</w:t>
            </w:r>
          </w:p>
        </w:tc>
        <w:tc>
          <w:tcPr>
            <w:tcW w:w="20" w:type="dxa"/>
            <w:vAlign w:val="bottom"/>
          </w:tcPr>
          <w:p>
            <w:pPr>
              <w:spacing w:after="0"/>
              <w:rPr>
                <w:sz w:val="20"/>
                <w:szCs w:val="20"/>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auto"/>
              </w:rPr>
              <w:t>Inline XBRL Instance Document (the instance document does not appear in the</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gridSpan w:val="15"/>
          </w:tcPr>
          <w:p>
            <w:pPr>
              <w:spacing w:after="0" w:line="162" w:lineRule="exact"/>
              <w:rPr>
                <w:sz w:val="20"/>
                <w:szCs w:val="20"/>
                <w:color w:val="auto"/>
              </w:rPr>
            </w:pPr>
            <w:r>
              <w:rPr>
                <w:rFonts w:ascii="Arial" w:cs="Arial" w:eastAsia="Arial" w:hAnsi="Arial"/>
                <w:sz w:val="16"/>
                <w:szCs w:val="16"/>
                <w:color w:val="auto"/>
              </w:rPr>
              <w:t>Interactive Data File because its XBRL tags are embedded within the Inline XBRL</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3"/>
                <w:szCs w:val="23"/>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auto"/>
              </w:rPr>
              <w:t>Inline XBRL Taxonomy Schema Linkbase Document</w:t>
            </w: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23"/>
                <w:szCs w:val="23"/>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auto"/>
              </w:rPr>
              <w:t>Inline XBRL Taxonomy Calculation Linkbase Document</w:t>
            </w: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101.DEF</w:t>
            </w:r>
          </w:p>
        </w:tc>
        <w:tc>
          <w:tcPr>
            <w:tcW w:w="20" w:type="dxa"/>
            <w:vAlign w:val="bottom"/>
          </w:tcPr>
          <w:p>
            <w:pPr>
              <w:spacing w:after="0"/>
              <w:rPr>
                <w:sz w:val="23"/>
                <w:szCs w:val="23"/>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auto"/>
              </w:rPr>
              <w:t>Inline XBRL Taxonomy Definition Linkbase Document</w:t>
            </w: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23"/>
                <w:szCs w:val="23"/>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auto"/>
              </w:rPr>
              <w:t>Inline XBRL Taxonomy Labels Linkbase Document</w:t>
            </w: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101.PRE</w:t>
            </w:r>
          </w:p>
        </w:tc>
        <w:tc>
          <w:tcPr>
            <w:tcW w:w="20" w:type="dxa"/>
            <w:vAlign w:val="bottom"/>
          </w:tcPr>
          <w:p>
            <w:pPr>
              <w:spacing w:after="0"/>
              <w:rPr>
                <w:sz w:val="23"/>
                <w:szCs w:val="23"/>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auto"/>
              </w:rPr>
              <w:t>Inline XBRL Taxonomy Presentation Linkbase Document</w:t>
            </w: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26"/>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15"/>
          </w:tcPr>
          <w:p>
            <w:pPr>
              <w:spacing w:after="0"/>
              <w:rPr>
                <w:sz w:val="20"/>
                <w:szCs w:val="20"/>
                <w:color w:val="auto"/>
              </w:rPr>
            </w:pPr>
            <w:r>
              <w:rPr>
                <w:rFonts w:ascii="Arial" w:cs="Arial" w:eastAsia="Arial" w:hAnsi="Arial"/>
                <w:sz w:val="16"/>
                <w:szCs w:val="16"/>
                <w:color w:val="auto"/>
                <w:w w:val="98"/>
              </w:rPr>
              <w:t>Cover Page Interactive Data File (formatted as inline XBRL and contained in Exhibit</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7220" w:type="dxa"/>
            <w:vAlign w:val="bottom"/>
            <w:gridSpan w:val="2"/>
          </w:tcPr>
          <w:p>
            <w:pPr>
              <w:ind w:left="1640"/>
              <w:spacing w:after="0"/>
              <w:rPr>
                <w:sz w:val="20"/>
                <w:szCs w:val="20"/>
                <w:color w:val="auto"/>
              </w:rPr>
            </w:pPr>
            <w:r>
              <w:rPr>
                <w:rFonts w:ascii="Arial" w:cs="Arial" w:eastAsia="Arial" w:hAnsi="Arial"/>
                <w:sz w:val="18"/>
                <w:szCs w:val="18"/>
                <w:b w:val="1"/>
                <w:bCs w:val="1"/>
                <w:color w:val="auto"/>
              </w:rPr>
              <w:t>LUCID GROUP, INC.</w:t>
            </w:r>
          </w:p>
        </w:tc>
      </w:tr>
      <w:tr>
        <w:trPr>
          <w:trHeight w:val="486"/>
        </w:trPr>
        <w:tc>
          <w:tcPr>
            <w:tcW w:w="2980" w:type="dxa"/>
            <w:vAlign w:val="bottom"/>
          </w:tcPr>
          <w:p>
            <w:pPr>
              <w:spacing w:after="0"/>
              <w:rPr>
                <w:sz w:val="20"/>
                <w:szCs w:val="20"/>
                <w:color w:val="auto"/>
              </w:rPr>
            </w:pPr>
            <w:r>
              <w:rPr>
                <w:rFonts w:ascii="Arial" w:cs="Arial" w:eastAsia="Arial" w:hAnsi="Arial"/>
                <w:sz w:val="18"/>
                <w:szCs w:val="18"/>
                <w:color w:val="242424"/>
              </w:rPr>
              <w:t>Date: May 8, 2023</w:t>
            </w:r>
          </w:p>
        </w:tc>
        <w:tc>
          <w:tcPr>
            <w:tcW w:w="7220" w:type="dxa"/>
            <w:vAlign w:val="bottom"/>
            <w:gridSpan w:val="2"/>
          </w:tcPr>
          <w:p>
            <w:pPr>
              <w:ind w:left="1640"/>
              <w:spacing w:after="0"/>
              <w:rPr>
                <w:sz w:val="20"/>
                <w:szCs w:val="20"/>
                <w:color w:val="auto"/>
              </w:rPr>
            </w:pPr>
            <w:r>
              <w:rPr>
                <w:rFonts w:ascii="Arial" w:cs="Arial" w:eastAsia="Arial" w:hAnsi="Arial"/>
                <w:sz w:val="18"/>
                <w:szCs w:val="18"/>
                <w:color w:val="auto"/>
              </w:rPr>
              <w:t>By:  /s/ Sherry House</w:t>
            </w:r>
          </w:p>
        </w:tc>
      </w:tr>
      <w:tr>
        <w:trPr>
          <w:trHeight w:val="222"/>
        </w:trPr>
        <w:tc>
          <w:tcPr>
            <w:tcW w:w="2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29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985" w:right="3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0</wp:posOffset>
            </wp:positionV>
            <wp:extent cx="471805" cy="334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47180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executed in English and Arabic; Arabic version has been omitted for purposes of this filing.</w:t>
      </w: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16/07/1444H</w:t>
      </w:r>
    </w:p>
    <w:p>
      <w:pPr>
        <w:ind w:left="80"/>
        <w:spacing w:after="0"/>
        <w:rPr>
          <w:sz w:val="20"/>
          <w:szCs w:val="20"/>
          <w:color w:val="auto"/>
        </w:rPr>
      </w:pPr>
      <w:r>
        <w:rPr>
          <w:rFonts w:ascii="Arial" w:cs="Arial" w:eastAsia="Arial" w:hAnsi="Arial"/>
          <w:sz w:val="18"/>
          <w:szCs w:val="18"/>
          <w:color w:val="auto"/>
        </w:rPr>
        <w:t>Corresponding to: 07/02/2023G</w:t>
      </w:r>
    </w:p>
    <w:p>
      <w:pPr>
        <w:spacing w:after="0" w:line="21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Re: Amend to the Credit Facility Agreement</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u w:val="single" w:color="auto"/>
          <w:color w:val="auto"/>
        </w:rPr>
        <w:t>Dated 27/07/1443H corresponding to 28/02/2022G</w:t>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WHEREAS:</w:t>
      </w:r>
    </w:p>
    <w:p>
      <w:pPr>
        <w:spacing w:after="0" w:line="239" w:lineRule="exact"/>
        <w:rPr>
          <w:sz w:val="20"/>
          <w:szCs w:val="20"/>
          <w:color w:val="auto"/>
        </w:rPr>
      </w:pPr>
    </w:p>
    <w:p>
      <w:pPr>
        <w:ind w:left="480" w:hanging="405"/>
        <w:spacing w:after="0"/>
        <w:tabs>
          <w:tab w:leader="none" w:pos="4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Gulf International Bank Saudi Arabia, </w:t>
      </w:r>
      <w:r>
        <w:rPr>
          <w:rFonts w:ascii="Arial" w:cs="Arial" w:eastAsia="Arial" w:hAnsi="Arial"/>
          <w:sz w:val="17"/>
          <w:szCs w:val="17"/>
          <w:color w:val="auto"/>
        </w:rPr>
        <w:t>a Saudi closed joint-stock company with a capital of SAR7,500,000,000; commercial registration</w:t>
      </w:r>
    </w:p>
    <w:p>
      <w:pPr>
        <w:spacing w:after="0" w:line="14" w:lineRule="exact"/>
        <w:rPr>
          <w:sz w:val="20"/>
          <w:szCs w:val="20"/>
          <w:color w:val="auto"/>
        </w:rPr>
      </w:pPr>
    </w:p>
    <w:p>
      <w:pPr>
        <w:ind w:left="720" w:right="680"/>
        <w:spacing w:after="0" w:line="203" w:lineRule="auto"/>
        <w:rPr>
          <w:sz w:val="20"/>
          <w:szCs w:val="20"/>
          <w:color w:val="auto"/>
        </w:rPr>
      </w:pPr>
      <w:r>
        <w:rPr>
          <w:rFonts w:ascii="Arial" w:cs="Arial" w:eastAsia="Arial" w:hAnsi="Arial"/>
          <w:sz w:val="18"/>
          <w:szCs w:val="18"/>
          <w:color w:val="auto"/>
        </w:rPr>
        <w:t xml:space="preserve">No. 2052001920 and Unified No. 7001399042; P.O. Box 93; Al Khobar 31952 Kingdom of Saudi Arabia; telephone: +966138664000; website </w:t>
      </w:r>
      <w:r>
        <w:rPr>
          <w:rFonts w:ascii="Arial" w:cs="Arial" w:eastAsia="Arial" w:hAnsi="Arial"/>
          <w:sz w:val="18"/>
          <w:szCs w:val="18"/>
          <w:u w:val="single" w:color="auto"/>
          <w:color w:val="0000FF"/>
        </w:rPr>
        <w:t>www.gib.com</w:t>
      </w:r>
      <w:r>
        <w:rPr>
          <w:rFonts w:ascii="Arial" w:cs="Arial" w:eastAsia="Arial" w:hAnsi="Arial"/>
          <w:sz w:val="18"/>
          <w:szCs w:val="18"/>
          <w:color w:val="auto"/>
        </w:rPr>
        <w:t>; National Adress:5515</w:t>
      </w:r>
    </w:p>
    <w:p>
      <w:pPr>
        <w:spacing w:after="0" w:line="1" w:lineRule="exact"/>
        <w:rPr>
          <w:sz w:val="20"/>
          <w:szCs w:val="20"/>
          <w:color w:val="auto"/>
        </w:rPr>
      </w:pPr>
    </w:p>
    <w:p>
      <w:pPr>
        <w:ind w:left="720" w:right="680" w:hanging="138"/>
        <w:spacing w:after="0" w:line="233" w:lineRule="auto"/>
        <w:rPr>
          <w:sz w:val="20"/>
          <w:szCs w:val="20"/>
          <w:color w:val="auto"/>
        </w:rPr>
      </w:pPr>
      <w:r>
        <w:rPr>
          <w:rFonts w:ascii="Arial" w:cs="Arial" w:eastAsia="Arial" w:hAnsi="Arial"/>
          <w:sz w:val="18"/>
          <w:szCs w:val="18"/>
          <w:color w:val="auto"/>
        </w:rPr>
        <w:t xml:space="preserve">Cooperative Council Road – Al Khuzama Area, Unit No.54, Al Khobar 34721-8208; licensed by the Saudi Central Bank under number 2007 and operating under the Saudi Central Bank’s control and supervision. </w:t>
      </w:r>
      <w:r>
        <w:rPr>
          <w:rFonts w:ascii="Arial" w:cs="Arial" w:eastAsia="Arial" w:hAnsi="Arial"/>
          <w:sz w:val="18"/>
          <w:szCs w:val="18"/>
          <w:b w:val="1"/>
          <w:bCs w:val="1"/>
          <w:color w:val="auto"/>
        </w:rPr>
        <w:t>(the “Bank”).</w:t>
      </w:r>
    </w:p>
    <w:p>
      <w:pPr>
        <w:spacing w:after="0" w:line="2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And</w:t>
      </w:r>
    </w:p>
    <w:p>
      <w:pPr>
        <w:spacing w:after="0" w:line="235" w:lineRule="exact"/>
        <w:rPr>
          <w:sz w:val="20"/>
          <w:szCs w:val="20"/>
          <w:color w:val="auto"/>
        </w:rPr>
      </w:pPr>
    </w:p>
    <w:p>
      <w:pPr>
        <w:jc w:val="right"/>
        <w:ind w:left="720" w:right="680" w:hanging="645"/>
        <w:spacing w:after="0" w:line="250" w:lineRule="auto"/>
        <w:tabs>
          <w:tab w:leader="none" w:pos="46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Lucid Limited Company</w:t>
      </w:r>
      <w:r>
        <w:rPr>
          <w:rFonts w:ascii="Arial" w:cs="Arial" w:eastAsia="Arial" w:hAnsi="Arial"/>
          <w:sz w:val="16"/>
          <w:szCs w:val="16"/>
          <w:color w:val="auto"/>
        </w:rPr>
        <w:t>, Foreign Limited Liability company organized and existing and doing business under the laws of the Kingdom of</w:t>
      </w:r>
      <w:r>
        <w:rPr>
          <w:rFonts w:ascii="Arial" w:cs="Arial" w:eastAsia="Arial" w:hAnsi="Arial"/>
          <w:sz w:val="16"/>
          <w:szCs w:val="16"/>
          <w:b w:val="1"/>
          <w:bCs w:val="1"/>
          <w:color w:val="auto"/>
        </w:rPr>
        <w:t xml:space="preserve"> </w:t>
      </w:r>
      <w:r>
        <w:rPr>
          <w:rFonts w:ascii="Arial" w:cs="Arial" w:eastAsia="Arial" w:hAnsi="Arial"/>
          <w:sz w:val="16"/>
          <w:szCs w:val="16"/>
          <w:color w:val="auto"/>
        </w:rPr>
        <w:t>Saudi Arabia with Commercial Registration No. 1010716475 and unified No. 7023376614, dated 24/09/1442H, issued in Riyadh with</w:t>
      </w:r>
    </w:p>
    <w:p>
      <w:pPr>
        <w:ind w:left="720"/>
        <w:spacing w:after="0" w:line="204" w:lineRule="auto"/>
        <w:rPr>
          <w:sz w:val="20"/>
          <w:szCs w:val="20"/>
          <w:color w:val="auto"/>
        </w:rPr>
      </w:pPr>
      <w:r>
        <w:rPr>
          <w:rFonts w:ascii="Arial" w:cs="Arial" w:eastAsia="Arial" w:hAnsi="Arial"/>
          <w:sz w:val="18"/>
          <w:szCs w:val="18"/>
          <w:color w:val="auto"/>
        </w:rPr>
        <w:t>its Head Office at Riyadh, Kingdom of</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Saudi Arabia (the "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Bank and the Borrower shall be referred to together as the Parties, each being a Party).</w:t>
      </w:r>
    </w:p>
    <w:p>
      <w:pPr>
        <w:spacing w:after="0" w:line="239" w:lineRule="exact"/>
        <w:rPr>
          <w:sz w:val="20"/>
          <w:szCs w:val="20"/>
          <w:color w:val="auto"/>
        </w:rPr>
      </w:pPr>
    </w:p>
    <w:p>
      <w:pPr>
        <w:ind w:left="20" w:right="640"/>
        <w:spacing w:after="0" w:line="274" w:lineRule="auto"/>
        <w:rPr>
          <w:sz w:val="20"/>
          <w:szCs w:val="20"/>
          <w:color w:val="auto"/>
        </w:rPr>
      </w:pPr>
      <w:r>
        <w:rPr>
          <w:rFonts w:ascii="Arial" w:cs="Arial" w:eastAsia="Arial" w:hAnsi="Arial"/>
          <w:sz w:val="17"/>
          <w:szCs w:val="17"/>
          <w:color w:val="auto"/>
        </w:rPr>
        <w:t>Have concluded a facilities letter dated 27/07/1443H corresponding to 28/02/2022G, (the “Facilities Letter”) pursuant to which the Bank extended to the Borrower committed revolving credit facilities in the aggregate maximum amount of SAR1,000,000,000/- (the “Facility”).</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WHEREAS the Parties desire to amend the Agreement (the “Amendment”);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NOW, THEREFORE, the Parties have agreed to amend the Agreement in accordance with the following terms and conditions:</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FIRST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4624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746240" cy="146050"/>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Recitals to this Amendment, written above, shall be considered an integral part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Borrower’s Signature</w:t>
      </w:r>
    </w:p>
    <w:p>
      <w:pPr>
        <w:spacing w:after="0" w:line="42"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ind w:left="8180"/>
        <w:spacing w:after="0"/>
        <w:rPr>
          <w:sz w:val="20"/>
          <w:szCs w:val="20"/>
          <w:color w:val="auto"/>
        </w:rPr>
      </w:pPr>
      <w:r>
        <w:rPr>
          <w:rFonts w:ascii="Arial" w:cs="Arial" w:eastAsia="Arial" w:hAnsi="Arial"/>
          <w:sz w:val="14"/>
          <w:szCs w:val="14"/>
          <w:color w:val="auto"/>
        </w:rPr>
        <w:t>/s/ Faisal Sultan</w:t>
      </w:r>
    </w:p>
    <w:p>
      <w:pPr>
        <w:sectPr>
          <w:pgSz w:w="11900" w:h="16838" w:orient="portrait"/>
          <w:cols w:equalWidth="0" w:num="1">
            <w:col w:w="11240"/>
          </w:cols>
          <w:pgMar w:left="320" w:top="108" w:right="339" w:bottom="1440" w:gutter="0" w:footer="0" w:header="0"/>
        </w:sectPr>
      </w:pPr>
    </w:p>
    <w:bookmarkStart w:id="89" w:name="page90"/>
    <w:bookmarkEnd w:id="8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3542665</wp:posOffset>
            </wp:positionH>
            <wp:positionV relativeFrom="page">
              <wp:posOffset>88900</wp:posOffset>
            </wp:positionV>
            <wp:extent cx="471805" cy="3340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471805" cy="33401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674624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746240" cy="154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u w:val="single" w:color="auto"/>
          <w:color w:val="auto"/>
        </w:rPr>
        <w:t>SECOND:</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Canceling clause (1-2) </w:t>
      </w:r>
      <w:r>
        <w:rPr>
          <w:rFonts w:ascii="Arial" w:cs="Arial" w:eastAsia="Arial" w:hAnsi="Arial"/>
          <w:sz w:val="18"/>
          <w:szCs w:val="18"/>
          <w:b w:val="1"/>
          <w:bCs w:val="1"/>
          <w:color w:val="auto"/>
        </w:rPr>
        <w:t>Bridge Loan</w:t>
      </w:r>
      <w:r>
        <w:rPr>
          <w:rFonts w:ascii="Arial" w:cs="Arial" w:eastAsia="Arial" w:hAnsi="Arial"/>
          <w:sz w:val="18"/>
          <w:szCs w:val="18"/>
          <w:color w:val="auto"/>
        </w:rPr>
        <w:t xml:space="preserve"> of the Facilities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74624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746240" cy="15430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THIRD:</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Amending Sub-clause (</w:t>
      </w:r>
      <w:r>
        <w:rPr>
          <w:rFonts w:ascii="Arial" w:cs="Arial" w:eastAsia="Arial" w:hAnsi="Arial"/>
          <w:sz w:val="18"/>
          <w:szCs w:val="18"/>
          <w:b w:val="1"/>
          <w:bCs w:val="1"/>
          <w:u w:val="single" w:color="auto"/>
          <w:color w:val="auto"/>
        </w:rPr>
        <w:t>Total Facility</w:t>
      </w:r>
      <w:r>
        <w:rPr>
          <w:rFonts w:ascii="Arial" w:cs="Arial" w:eastAsia="Arial" w:hAnsi="Arial"/>
          <w:sz w:val="18"/>
          <w:szCs w:val="18"/>
          <w:color w:val="auto"/>
        </w:rPr>
        <w:t xml:space="preserve">) of Clause (1-3) </w:t>
      </w:r>
      <w:r>
        <w:rPr>
          <w:rFonts w:ascii="Arial" w:cs="Arial" w:eastAsia="Arial" w:hAnsi="Arial"/>
          <w:sz w:val="18"/>
          <w:szCs w:val="18"/>
          <w:b w:val="1"/>
          <w:bCs w:val="1"/>
          <w:color w:val="auto"/>
        </w:rPr>
        <w:t>Working Capital Facilities</w:t>
      </w:r>
      <w:r>
        <w:rPr>
          <w:rFonts w:ascii="Arial" w:cs="Arial" w:eastAsia="Arial" w:hAnsi="Arial"/>
          <w:sz w:val="18"/>
          <w:szCs w:val="18"/>
          <w:color w:val="auto"/>
        </w:rPr>
        <w:t xml:space="preserve"> of the Facilities Letter as follows:</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Total Facility: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SAR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74624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746240" cy="15430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FOURTH:</w:t>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Amending items (</w:t>
      </w:r>
      <w:r>
        <w:rPr>
          <w:rFonts w:ascii="Arial" w:cs="Arial" w:eastAsia="Arial" w:hAnsi="Arial"/>
          <w:sz w:val="18"/>
          <w:szCs w:val="18"/>
          <w:b w:val="1"/>
          <w:bCs w:val="1"/>
          <w:u w:val="single" w:color="auto"/>
          <w:color w:val="auto"/>
        </w:rPr>
        <w:t>Sub-Limit</w:t>
      </w:r>
      <w:r>
        <w:rPr>
          <w:rFonts w:ascii="Arial" w:cs="Arial" w:eastAsia="Arial" w:hAnsi="Arial"/>
          <w:sz w:val="18"/>
          <w:szCs w:val="18"/>
          <w:b w:val="1"/>
          <w:bCs w:val="1"/>
          <w:color w:val="auto"/>
        </w:rPr>
        <w:t>)</w:t>
      </w:r>
      <w:r>
        <w:rPr>
          <w:rFonts w:ascii="Arial" w:cs="Arial" w:eastAsia="Arial" w:hAnsi="Arial"/>
          <w:sz w:val="18"/>
          <w:szCs w:val="18"/>
          <w:color w:val="auto"/>
        </w:rPr>
        <w:t xml:space="preserve"> &amp; (</w:t>
      </w:r>
      <w:r>
        <w:rPr>
          <w:rFonts w:ascii="Arial" w:cs="Arial" w:eastAsia="Arial" w:hAnsi="Arial"/>
          <w:sz w:val="18"/>
          <w:szCs w:val="18"/>
          <w:b w:val="1"/>
          <w:bCs w:val="1"/>
          <w:u w:val="single" w:color="auto"/>
          <w:color w:val="auto"/>
        </w:rPr>
        <w:t>Margin</w:t>
      </w:r>
      <w:r>
        <w:rPr>
          <w:rFonts w:ascii="Arial" w:cs="Arial" w:eastAsia="Arial" w:hAnsi="Arial"/>
          <w:sz w:val="18"/>
          <w:szCs w:val="18"/>
          <w:color w:val="auto"/>
        </w:rPr>
        <w:t xml:space="preserve">) of Sub-clause </w:t>
      </w:r>
      <w:r>
        <w:rPr>
          <w:rFonts w:ascii="Arial" w:cs="Arial" w:eastAsia="Arial" w:hAnsi="Arial"/>
          <w:sz w:val="18"/>
          <w:szCs w:val="18"/>
          <w:b w:val="1"/>
          <w:bCs w:val="1"/>
          <w:color w:val="auto"/>
        </w:rPr>
        <w:t>(A) Short Term Advance Facility</w:t>
      </w:r>
      <w:r>
        <w:rPr>
          <w:rFonts w:ascii="Arial" w:cs="Arial" w:eastAsia="Arial" w:hAnsi="Arial"/>
          <w:sz w:val="18"/>
          <w:szCs w:val="18"/>
          <w:color w:val="auto"/>
        </w:rPr>
        <w:t xml:space="preserve"> of Clause (1-3) </w:t>
      </w:r>
      <w:r>
        <w:rPr>
          <w:rFonts w:ascii="Arial" w:cs="Arial" w:eastAsia="Arial" w:hAnsi="Arial"/>
          <w:sz w:val="18"/>
          <w:szCs w:val="18"/>
          <w:b w:val="1"/>
          <w:bCs w:val="1"/>
          <w:color w:val="auto"/>
        </w:rPr>
        <w:t>Working Capital Facilities</w:t>
      </w:r>
      <w:r>
        <w:rPr>
          <w:rFonts w:ascii="Arial" w:cs="Arial" w:eastAsia="Arial" w:hAnsi="Arial"/>
          <w:sz w:val="18"/>
          <w:szCs w:val="18"/>
          <w:color w:val="auto"/>
        </w:rPr>
        <w:t xml:space="preserve"> of the</w:t>
      </w:r>
    </w:p>
    <w:p>
      <w:pPr>
        <w:ind w:left="80"/>
        <w:spacing w:after="0"/>
        <w:rPr>
          <w:sz w:val="20"/>
          <w:szCs w:val="20"/>
          <w:color w:val="auto"/>
        </w:rPr>
      </w:pPr>
      <w:r>
        <w:rPr>
          <w:rFonts w:ascii="Arial" w:cs="Arial" w:eastAsia="Arial" w:hAnsi="Arial"/>
          <w:sz w:val="18"/>
          <w:szCs w:val="18"/>
          <w:color w:val="auto"/>
        </w:rPr>
        <w:t>Facilities Letter as follows:</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Sub-Limit: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SAR 1,000,000,000/-</w:t>
      </w:r>
    </w:p>
    <w:p>
      <w:pPr>
        <w:spacing w:after="0" w:line="301"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Margin:</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(1.4%) per annum over </w:t>
      </w:r>
      <w:r>
        <w:rPr>
          <w:rFonts w:ascii="Arial" w:cs="Arial" w:eastAsia="Arial" w:hAnsi="Arial"/>
          <w:sz w:val="18"/>
          <w:szCs w:val="18"/>
          <w:b w:val="1"/>
          <w:bCs w:val="1"/>
          <w:color w:val="auto"/>
        </w:rPr>
        <w:t>SAIBOR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674624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746240" cy="15430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FIFTH:</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Amending item (</w:t>
      </w:r>
      <w:r>
        <w:rPr>
          <w:rFonts w:ascii="Arial" w:cs="Arial" w:eastAsia="Arial" w:hAnsi="Arial"/>
          <w:sz w:val="18"/>
          <w:szCs w:val="18"/>
          <w:b w:val="1"/>
          <w:bCs w:val="1"/>
          <w:u w:val="single" w:color="auto"/>
          <w:color w:val="auto"/>
        </w:rPr>
        <w:t>Sub-Limit</w:t>
      </w:r>
      <w:r>
        <w:rPr>
          <w:rFonts w:ascii="Arial" w:cs="Arial" w:eastAsia="Arial" w:hAnsi="Arial"/>
          <w:sz w:val="18"/>
          <w:szCs w:val="18"/>
          <w:b w:val="1"/>
          <w:bCs w:val="1"/>
          <w:color w:val="auto"/>
        </w:rPr>
        <w:t>)</w:t>
      </w:r>
      <w:r>
        <w:rPr>
          <w:rFonts w:ascii="Arial" w:cs="Arial" w:eastAsia="Arial" w:hAnsi="Arial"/>
          <w:sz w:val="18"/>
          <w:szCs w:val="18"/>
          <w:color w:val="auto"/>
        </w:rPr>
        <w:t xml:space="preserve"> of Sub-clause </w:t>
      </w:r>
      <w:r>
        <w:rPr>
          <w:rFonts w:ascii="Arial" w:cs="Arial" w:eastAsia="Arial" w:hAnsi="Arial"/>
          <w:sz w:val="18"/>
          <w:szCs w:val="18"/>
          <w:b w:val="1"/>
          <w:bCs w:val="1"/>
          <w:color w:val="auto"/>
        </w:rPr>
        <w:t>(B) LC Facility</w:t>
      </w:r>
      <w:r>
        <w:rPr>
          <w:rFonts w:ascii="Arial" w:cs="Arial" w:eastAsia="Arial" w:hAnsi="Arial"/>
          <w:sz w:val="18"/>
          <w:szCs w:val="18"/>
          <w:color w:val="auto"/>
        </w:rPr>
        <w:t xml:space="preserve"> of Clause (1-3) </w:t>
      </w:r>
      <w:r>
        <w:rPr>
          <w:rFonts w:ascii="Arial" w:cs="Arial" w:eastAsia="Arial" w:hAnsi="Arial"/>
          <w:sz w:val="18"/>
          <w:szCs w:val="18"/>
          <w:b w:val="1"/>
          <w:bCs w:val="1"/>
          <w:color w:val="auto"/>
        </w:rPr>
        <w:t>Working Capital Facilities</w:t>
      </w:r>
      <w:r>
        <w:rPr>
          <w:rFonts w:ascii="Arial" w:cs="Arial" w:eastAsia="Arial" w:hAnsi="Arial"/>
          <w:sz w:val="18"/>
          <w:szCs w:val="18"/>
          <w:color w:val="auto"/>
        </w:rPr>
        <w:t xml:space="preserve"> of the Facilities Letter as follows:</w:t>
      </w: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Sub-Limit: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SAR 1,000,000,000/-</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4624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746240" cy="146050"/>
                    </a:xfrm>
                    <a:prstGeom prst="rect">
                      <a:avLst/>
                    </a:prstGeom>
                    <a:noFill/>
                  </pic:spPr>
                </pic:pic>
              </a:graphicData>
            </a:graphic>
          </wp:anchor>
        </w:drawing>
      </w: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Adding Sub-clause </w:t>
      </w:r>
      <w:r>
        <w:rPr>
          <w:rFonts w:ascii="Arial" w:cs="Arial" w:eastAsia="Arial" w:hAnsi="Arial"/>
          <w:sz w:val="18"/>
          <w:szCs w:val="18"/>
          <w:b w:val="1"/>
          <w:bCs w:val="1"/>
          <w:color w:val="auto"/>
        </w:rPr>
        <w:t>(C) Guarantees Facility</w:t>
      </w:r>
      <w:r>
        <w:rPr>
          <w:rFonts w:ascii="Arial" w:cs="Arial" w:eastAsia="Arial" w:hAnsi="Arial"/>
          <w:sz w:val="18"/>
          <w:szCs w:val="18"/>
          <w:color w:val="auto"/>
        </w:rPr>
        <w:t xml:space="preserve"> to Clause (1-3) </w:t>
      </w:r>
      <w:r>
        <w:rPr>
          <w:rFonts w:ascii="Arial" w:cs="Arial" w:eastAsia="Arial" w:hAnsi="Arial"/>
          <w:sz w:val="18"/>
          <w:szCs w:val="18"/>
          <w:b w:val="1"/>
          <w:bCs w:val="1"/>
          <w:color w:val="auto"/>
        </w:rPr>
        <w:t>Working Capital Facilities</w:t>
      </w:r>
      <w:r>
        <w:rPr>
          <w:rFonts w:ascii="Arial" w:cs="Arial" w:eastAsia="Arial" w:hAnsi="Arial"/>
          <w:sz w:val="18"/>
          <w:szCs w:val="18"/>
          <w:color w:val="auto"/>
        </w:rPr>
        <w:t xml:space="preserve"> of the Facilities Letter as follows:</w:t>
      </w:r>
    </w:p>
    <w:p>
      <w:pPr>
        <w:spacing w:after="0" w:line="239" w:lineRule="exact"/>
        <w:rPr>
          <w:sz w:val="20"/>
          <w:szCs w:val="20"/>
          <w:color w:val="auto"/>
        </w:rPr>
      </w:pPr>
    </w:p>
    <w:p>
      <w:pPr>
        <w:ind w:left="380" w:hanging="305"/>
        <w:spacing w:after="0"/>
        <w:tabs>
          <w:tab w:leader="none" w:pos="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Guarantees Facility </w:t>
      </w:r>
      <w:r>
        <w:rPr>
          <w:rFonts w:ascii="Arial" w:cs="Arial" w:eastAsia="Arial" w:hAnsi="Arial"/>
          <w:sz w:val="18"/>
          <w:szCs w:val="18"/>
          <w:color w:val="auto"/>
        </w:rPr>
        <w:t>(Payment Guarantee, Advance Payment Guarantee, Performance Guarantee, Customs Guarantee, Standby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4624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746240" cy="145415"/>
                    </a:xfrm>
                    <a:prstGeom prst="rect">
                      <a:avLst/>
                    </a:prstGeom>
                    <a:noFill/>
                  </pic:spPr>
                </pic:pic>
              </a:graphicData>
            </a:graphic>
          </wp:anchor>
        </w:drawing>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Sub-Limit: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SAR 10,000,000/-</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Term:</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12 Months.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Fee:</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Issuing  Fee</w:t>
      </w:r>
      <w:r>
        <w:rPr>
          <w:rFonts w:ascii="Arial" w:cs="Arial" w:eastAsia="Arial" w:hAnsi="Arial"/>
          <w:sz w:val="18"/>
          <w:szCs w:val="18"/>
          <w:color w:val="auto"/>
        </w:rPr>
        <w:t>:  (1.0%)  per  annum  payable  in</w:t>
      </w:r>
    </w:p>
    <w:p>
      <w:pPr>
        <w:ind w:left="80"/>
        <w:spacing w:after="0"/>
        <w:rPr>
          <w:sz w:val="20"/>
          <w:szCs w:val="20"/>
          <w:color w:val="auto"/>
        </w:rPr>
      </w:pPr>
      <w:r>
        <w:rPr>
          <w:rFonts w:ascii="Arial" w:cs="Arial" w:eastAsia="Arial" w:hAnsi="Arial"/>
          <w:sz w:val="18"/>
          <w:szCs w:val="18"/>
          <w:color w:val="auto"/>
        </w:rPr>
        <w:t>advance.</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Amendment Fee</w:t>
      </w:r>
      <w:r>
        <w:rPr>
          <w:rFonts w:ascii="Arial" w:cs="Arial" w:eastAsia="Arial" w:hAnsi="Arial"/>
          <w:sz w:val="18"/>
          <w:szCs w:val="18"/>
          <w:color w:val="auto"/>
        </w:rPr>
        <w:t>: In accordance with the Bank’s standard tariff.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234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Amend FLA/CLOS-7565   Page 2 of 4</w:t>
            </w:r>
          </w:p>
        </w:tc>
        <w:tc>
          <w:tcPr>
            <w:tcW w:w="5920" w:type="dxa"/>
            <w:vAlign w:val="bottom"/>
            <w:tcBorders>
              <w:top w:val="single" w:sz="8" w:color="auto"/>
            </w:tcBorders>
          </w:tcPr>
          <w:p>
            <w:pPr>
              <w:jc w:val="center"/>
              <w:ind w:left="1488"/>
              <w:spacing w:after="0"/>
              <w:rPr>
                <w:sz w:val="20"/>
                <w:szCs w:val="20"/>
                <w:color w:val="auto"/>
              </w:rPr>
            </w:pPr>
            <w:r>
              <w:rPr>
                <w:rFonts w:ascii="Arial" w:cs="Arial" w:eastAsia="Arial" w:hAnsi="Arial"/>
                <w:sz w:val="14"/>
                <w:szCs w:val="14"/>
                <w:color w:val="auto"/>
                <w:w w:val="94"/>
              </w:rPr>
              <w:t>Borrower’s Signature</w:t>
            </w:r>
          </w:p>
        </w:tc>
      </w:tr>
      <w:tr>
        <w:trPr>
          <w:trHeight w:val="197"/>
        </w:trPr>
        <w:tc>
          <w:tcPr>
            <w:tcW w:w="5300" w:type="dxa"/>
            <w:vAlign w:val="bottom"/>
          </w:tcPr>
          <w:p>
            <w:pPr>
              <w:spacing w:after="0"/>
              <w:rPr>
                <w:sz w:val="17"/>
                <w:szCs w:val="17"/>
                <w:color w:val="auto"/>
              </w:rPr>
            </w:pPr>
          </w:p>
        </w:tc>
        <w:tc>
          <w:tcPr>
            <w:tcW w:w="5920" w:type="dxa"/>
            <w:vAlign w:val="bottom"/>
          </w:tcPr>
          <w:p>
            <w:pPr>
              <w:jc w:val="center"/>
              <w:ind w:left="1468"/>
              <w:spacing w:after="0"/>
              <w:rPr>
                <w:sz w:val="20"/>
                <w:szCs w:val="20"/>
                <w:color w:val="auto"/>
              </w:rPr>
            </w:pPr>
            <w:r>
              <w:rPr>
                <w:rFonts w:ascii="Arial" w:cs="Arial" w:eastAsia="Arial" w:hAnsi="Arial"/>
                <w:sz w:val="14"/>
                <w:szCs w:val="14"/>
                <w:color w:val="auto"/>
              </w:rPr>
              <w:t>----------------------------------</w:t>
            </w:r>
          </w:p>
        </w:tc>
      </w:tr>
      <w:tr>
        <w:trPr>
          <w:trHeight w:val="203"/>
        </w:trPr>
        <w:tc>
          <w:tcPr>
            <w:tcW w:w="5300" w:type="dxa"/>
            <w:vAlign w:val="bottom"/>
          </w:tcPr>
          <w:p>
            <w:pPr>
              <w:spacing w:after="0"/>
              <w:rPr>
                <w:sz w:val="17"/>
                <w:szCs w:val="17"/>
                <w:color w:val="auto"/>
              </w:rPr>
            </w:pPr>
          </w:p>
        </w:tc>
        <w:tc>
          <w:tcPr>
            <w:tcW w:w="5920" w:type="dxa"/>
            <w:vAlign w:val="bottom"/>
          </w:tcPr>
          <w:p>
            <w:pPr>
              <w:jc w:val="center"/>
              <w:ind w:left="1528"/>
              <w:spacing w:after="0"/>
              <w:rPr>
                <w:sz w:val="20"/>
                <w:szCs w:val="20"/>
                <w:color w:val="auto"/>
              </w:rPr>
            </w:pPr>
            <w:r>
              <w:rPr>
                <w:rFonts w:ascii="Arial" w:cs="Arial" w:eastAsia="Arial" w:hAnsi="Arial"/>
                <w:sz w:val="14"/>
                <w:szCs w:val="14"/>
                <w:color w:val="auto"/>
                <w:w w:val="92"/>
              </w:rPr>
              <w:t>/s/ Faisal Sultan</w:t>
            </w:r>
          </w:p>
        </w:tc>
      </w:tr>
    </w:tbl>
    <w:p>
      <w:pPr>
        <w:sectPr>
          <w:pgSz w:w="11900" w:h="16838" w:orient="portrait"/>
          <w:cols w:equalWidth="0" w:num="1">
            <w:col w:w="11220"/>
          </w:cols>
          <w:pgMar w:left="320" w:top="1440" w:right="359" w:bottom="1440" w:gutter="0" w:footer="0" w:header="0"/>
        </w:sectPr>
      </w:pPr>
    </w:p>
    <w:bookmarkStart w:id="90" w:name="page91"/>
    <w:bookmarkEnd w:id="90"/>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3542665</wp:posOffset>
            </wp:positionH>
            <wp:positionV relativeFrom="page">
              <wp:posOffset>88900</wp:posOffset>
            </wp:positionV>
            <wp:extent cx="471805" cy="3340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471805" cy="3340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u w:val="single" w:color="auto"/>
          <w:color w:val="auto"/>
        </w:rPr>
        <w:t>Application Procedures:</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Borrower must deliver an application for the issuance of Guarantees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Local Charges:</w:t>
      </w:r>
    </w:p>
    <w:p>
      <w:pPr>
        <w:spacing w:after="0" w:line="27" w:lineRule="exact"/>
        <w:rPr>
          <w:sz w:val="20"/>
          <w:szCs w:val="20"/>
          <w:color w:val="auto"/>
        </w:rPr>
      </w:pPr>
    </w:p>
    <w:p>
      <w:pPr>
        <w:ind w:left="20" w:right="600"/>
        <w:spacing w:after="0" w:line="247" w:lineRule="auto"/>
        <w:rPr>
          <w:sz w:val="20"/>
          <w:szCs w:val="20"/>
          <w:color w:val="auto"/>
        </w:rPr>
      </w:pPr>
      <w:r>
        <w:rPr>
          <w:rFonts w:ascii="Arial" w:cs="Arial" w:eastAsia="Arial" w:hAnsi="Arial"/>
          <w:sz w:val="16"/>
          <w:szCs w:val="16"/>
          <w:color w:val="auto"/>
        </w:rPr>
        <w:t>The Bank may, instead of issuing an LG itself, procure that such LG is issued by a local issuing bank, in which case the obligations of the Borrower under this Amendment or any Application in respect of such LG shall extend to such LG and to any counter indemnity issued by the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Bank in favour of the local issuing bank in connection therewith.</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SEVENTH: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4624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746240" cy="145415"/>
                    </a:xfrm>
                    <a:prstGeom prst="rect">
                      <a:avLst/>
                    </a:prstGeom>
                    <a:noFill/>
                  </pic:spPr>
                </pic:pic>
              </a:graphicData>
            </a:graphic>
          </wp:anchor>
        </w:drawing>
      </w:r>
    </w:p>
    <w:p>
      <w:pPr>
        <w:spacing w:after="0" w:line="2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Amending item (iii) of sub-clause (a) of clause (3) </w:t>
      </w:r>
      <w:r>
        <w:rPr>
          <w:rFonts w:ascii="Arial" w:cs="Arial" w:eastAsia="Arial" w:hAnsi="Arial"/>
          <w:sz w:val="18"/>
          <w:szCs w:val="18"/>
          <w:b w:val="1"/>
          <w:bCs w:val="1"/>
          <w:color w:val="auto"/>
        </w:rPr>
        <w:t>OTHER CONDITIONS</w:t>
      </w:r>
      <w:r>
        <w:rPr>
          <w:rFonts w:ascii="Arial" w:cs="Arial" w:eastAsia="Arial" w:hAnsi="Arial"/>
          <w:sz w:val="18"/>
          <w:szCs w:val="18"/>
          <w:color w:val="auto"/>
        </w:rPr>
        <w:t xml:space="preserve"> of the Facilities Letter as follows:</w:t>
      </w: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(iii) Quarterly updates of Lucid Plant in KAEC project status and progression to be provided, in a form to be agreed between the parties.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EIGHTH: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4624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746240" cy="14541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Save as the Bank may otherwise agree, the Borrower may not deliver any Notice of Drawdown or Application under the Agreement unless the</w:t>
      </w:r>
    </w:p>
    <w:p>
      <w:pPr>
        <w:ind w:left="20"/>
        <w:spacing w:after="0"/>
        <w:rPr>
          <w:sz w:val="20"/>
          <w:szCs w:val="20"/>
          <w:color w:val="auto"/>
        </w:rPr>
      </w:pPr>
      <w:r>
        <w:rPr>
          <w:rFonts w:ascii="Arial" w:cs="Arial" w:eastAsia="Arial" w:hAnsi="Arial"/>
          <w:sz w:val="18"/>
          <w:szCs w:val="18"/>
          <w:color w:val="auto"/>
        </w:rPr>
        <w:t>Bank has received the following documents and each is in form and substance, satisfactory to the Bank:</w:t>
      </w:r>
    </w:p>
    <w:p>
      <w:pPr>
        <w:spacing w:after="0" w:line="236" w:lineRule="exact"/>
        <w:rPr>
          <w:sz w:val="20"/>
          <w:szCs w:val="20"/>
          <w:color w:val="auto"/>
        </w:rPr>
      </w:pPr>
    </w:p>
    <w:p>
      <w:pPr>
        <w:ind w:left="780" w:hanging="381"/>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Amendment, each Annex, and any other Facility Document duly signed by the appropriate Obligor.</w:t>
      </w:r>
    </w:p>
    <w:p>
      <w:pPr>
        <w:spacing w:after="0" w:line="292" w:lineRule="exact"/>
        <w:rPr>
          <w:rFonts w:ascii="Arial" w:cs="Arial" w:eastAsia="Arial" w:hAnsi="Arial"/>
          <w:sz w:val="18"/>
          <w:szCs w:val="18"/>
          <w:color w:val="auto"/>
        </w:rPr>
      </w:pPr>
    </w:p>
    <w:p>
      <w:pPr>
        <w:ind w:left="780" w:hanging="381"/>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Order Note with respect to the amount of Total Facilities Limit</w:t>
      </w:r>
    </w:p>
    <w:p>
      <w:pPr>
        <w:spacing w:after="0" w:line="292" w:lineRule="exact"/>
        <w:rPr>
          <w:rFonts w:ascii="Arial" w:cs="Arial" w:eastAsia="Arial" w:hAnsi="Arial"/>
          <w:sz w:val="18"/>
          <w:szCs w:val="18"/>
          <w:color w:val="auto"/>
        </w:rPr>
      </w:pPr>
    </w:p>
    <w:p>
      <w:pPr>
        <w:ind w:left="760" w:hanging="361"/>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Acknowledgement of assignment of SIDF loan’s proceeds.</w:t>
      </w:r>
    </w:p>
    <w:p>
      <w:pPr>
        <w:spacing w:after="0" w:line="238" w:lineRule="exact"/>
        <w:rPr>
          <w:rFonts w:ascii="Arial" w:cs="Arial" w:eastAsia="Arial" w:hAnsi="Arial"/>
          <w:sz w:val="18"/>
          <w:szCs w:val="18"/>
          <w:color w:val="auto"/>
        </w:rPr>
      </w:pPr>
    </w:p>
    <w:p>
      <w:pPr>
        <w:ind w:left="780" w:hanging="381"/>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Acknowledgement of assignment of MISA loan’s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234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Amend FLA/CLOS-7565   Page 3 of 4</w:t>
            </w:r>
          </w:p>
        </w:tc>
        <w:tc>
          <w:tcPr>
            <w:tcW w:w="5920" w:type="dxa"/>
            <w:vAlign w:val="bottom"/>
            <w:tcBorders>
              <w:top w:val="single" w:sz="8" w:color="auto"/>
            </w:tcBorders>
          </w:tcPr>
          <w:p>
            <w:pPr>
              <w:jc w:val="center"/>
              <w:ind w:left="1488"/>
              <w:spacing w:after="0"/>
              <w:rPr>
                <w:sz w:val="20"/>
                <w:szCs w:val="20"/>
                <w:color w:val="auto"/>
              </w:rPr>
            </w:pPr>
            <w:r>
              <w:rPr>
                <w:rFonts w:ascii="Arial" w:cs="Arial" w:eastAsia="Arial" w:hAnsi="Arial"/>
                <w:sz w:val="14"/>
                <w:szCs w:val="14"/>
                <w:color w:val="auto"/>
                <w:w w:val="94"/>
              </w:rPr>
              <w:t>Borrower’s Signature</w:t>
            </w:r>
          </w:p>
        </w:tc>
      </w:tr>
      <w:tr>
        <w:trPr>
          <w:trHeight w:val="197"/>
        </w:trPr>
        <w:tc>
          <w:tcPr>
            <w:tcW w:w="5300" w:type="dxa"/>
            <w:vAlign w:val="bottom"/>
          </w:tcPr>
          <w:p>
            <w:pPr>
              <w:spacing w:after="0"/>
              <w:rPr>
                <w:sz w:val="17"/>
                <w:szCs w:val="17"/>
                <w:color w:val="auto"/>
              </w:rPr>
            </w:pPr>
          </w:p>
        </w:tc>
        <w:tc>
          <w:tcPr>
            <w:tcW w:w="5920" w:type="dxa"/>
            <w:vAlign w:val="bottom"/>
          </w:tcPr>
          <w:p>
            <w:pPr>
              <w:jc w:val="center"/>
              <w:ind w:left="1468"/>
              <w:spacing w:after="0"/>
              <w:rPr>
                <w:sz w:val="20"/>
                <w:szCs w:val="20"/>
                <w:color w:val="auto"/>
              </w:rPr>
            </w:pPr>
            <w:r>
              <w:rPr>
                <w:rFonts w:ascii="Arial" w:cs="Arial" w:eastAsia="Arial" w:hAnsi="Arial"/>
                <w:sz w:val="14"/>
                <w:szCs w:val="14"/>
                <w:color w:val="auto"/>
              </w:rPr>
              <w:t>----------------------------------</w:t>
            </w:r>
          </w:p>
        </w:tc>
      </w:tr>
      <w:tr>
        <w:trPr>
          <w:trHeight w:val="203"/>
        </w:trPr>
        <w:tc>
          <w:tcPr>
            <w:tcW w:w="5300" w:type="dxa"/>
            <w:vAlign w:val="bottom"/>
          </w:tcPr>
          <w:p>
            <w:pPr>
              <w:spacing w:after="0"/>
              <w:rPr>
                <w:sz w:val="17"/>
                <w:szCs w:val="17"/>
                <w:color w:val="auto"/>
              </w:rPr>
            </w:pPr>
          </w:p>
        </w:tc>
        <w:tc>
          <w:tcPr>
            <w:tcW w:w="5920" w:type="dxa"/>
            <w:vAlign w:val="bottom"/>
          </w:tcPr>
          <w:p>
            <w:pPr>
              <w:jc w:val="center"/>
              <w:ind w:left="1528"/>
              <w:spacing w:after="0"/>
              <w:rPr>
                <w:sz w:val="20"/>
                <w:szCs w:val="20"/>
                <w:color w:val="auto"/>
              </w:rPr>
            </w:pPr>
            <w:r>
              <w:rPr>
                <w:rFonts w:ascii="Arial" w:cs="Arial" w:eastAsia="Arial" w:hAnsi="Arial"/>
                <w:sz w:val="14"/>
                <w:szCs w:val="14"/>
                <w:color w:val="auto"/>
                <w:w w:val="92"/>
              </w:rPr>
              <w:t>/s/ Faisal Sultan</w:t>
            </w:r>
          </w:p>
        </w:tc>
      </w:tr>
    </w:tbl>
    <w:p>
      <w:pPr>
        <w:sectPr>
          <w:pgSz w:w="11900" w:h="16838" w:orient="portrait"/>
          <w:cols w:equalWidth="0" w:num="1">
            <w:col w:w="11220"/>
          </w:cols>
          <w:pgMar w:left="320" w:top="1440" w:right="359" w:bottom="1440" w:gutter="0" w:footer="0" w:header="0"/>
        </w:sectPr>
      </w:pPr>
    </w:p>
    <w:bookmarkStart w:id="91" w:name="page92"/>
    <w:bookmarkEnd w:id="9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3542665</wp:posOffset>
            </wp:positionH>
            <wp:positionV relativeFrom="page">
              <wp:posOffset>88900</wp:posOffset>
            </wp:positionV>
            <wp:extent cx="471805" cy="3340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471805" cy="3340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The other Clauses of the Agreement, not subject to this Amendment, shall remain unchanged.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Amendment has been executed in two (2) counterparts, and each Party shall receive an original copy to act accordingly.</w:t>
      </w:r>
    </w:p>
    <w:p>
      <w:pPr>
        <w:spacing w:after="0" w:line="320" w:lineRule="exact"/>
        <w:rPr>
          <w:sz w:val="20"/>
          <w:szCs w:val="20"/>
          <w:color w:val="auto"/>
        </w:rPr>
      </w:pPr>
    </w:p>
    <w:p>
      <w:pPr>
        <w:ind w:left="20" w:right="680"/>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and in the presence of the authorized signatories of the Parties, this amendment letter has</w:t>
      </w:r>
      <w:r>
        <w:rPr>
          <w:rFonts w:ascii="Arial" w:cs="Arial" w:eastAsia="Arial" w:hAnsi="Arial"/>
          <w:sz w:val="22"/>
          <w:szCs w:val="22"/>
          <w:b w:val="1"/>
          <w:bCs w:val="1"/>
          <w:color w:val="auto"/>
        </w:rPr>
        <w:t xml:space="preserve"> </w:t>
      </w:r>
      <w:r>
        <w:rPr>
          <w:rFonts w:ascii="Arial" w:cs="Arial" w:eastAsia="Arial" w:hAnsi="Arial"/>
          <w:sz w:val="22"/>
          <w:szCs w:val="22"/>
          <w:color w:val="auto"/>
        </w:rPr>
        <w:t>been executed the day and year first before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20" w:type="dxa"/>
            <w:vAlign w:val="bottom"/>
            <w:gridSpan w:val="8"/>
          </w:tcPr>
          <w:p>
            <w:pPr>
              <w:jc w:val="center"/>
              <w:ind w:right="1890"/>
              <w:spacing w:after="0"/>
              <w:rPr>
                <w:sz w:val="20"/>
                <w:szCs w:val="20"/>
                <w:color w:val="auto"/>
              </w:rPr>
            </w:pPr>
            <w:r>
              <w:rPr>
                <w:rFonts w:ascii="Arial" w:cs="Arial" w:eastAsia="Arial" w:hAnsi="Arial"/>
                <w:sz w:val="18"/>
                <w:szCs w:val="18"/>
                <w:b w:val="1"/>
                <w:bCs w:val="1"/>
                <w:color w:val="auto"/>
                <w:w w:val="91"/>
              </w:rPr>
              <w:t>For and on behalf of the Bank</w:t>
            </w:r>
          </w:p>
        </w:tc>
        <w:tc>
          <w:tcPr>
            <w:tcW w:w="0" w:type="dxa"/>
            <w:vAlign w:val="bottom"/>
          </w:tcPr>
          <w:p>
            <w:pPr>
              <w:spacing w:after="0"/>
              <w:rPr>
                <w:sz w:val="1"/>
                <w:szCs w:val="1"/>
                <w:color w:val="auto"/>
              </w:rPr>
            </w:pPr>
          </w:p>
        </w:tc>
      </w:tr>
      <w:tr>
        <w:trPr>
          <w:trHeight w:val="540"/>
        </w:trPr>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color w:val="auto"/>
                <w:w w:val="94"/>
              </w:rPr>
              <w:t>/s/ Ahmed Al Attas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jc w:val="center"/>
              <w:ind w:right="750"/>
              <w:spacing w:after="0"/>
              <w:rPr>
                <w:sz w:val="20"/>
                <w:szCs w:val="20"/>
                <w:color w:val="auto"/>
              </w:rPr>
            </w:pPr>
            <w:r>
              <w:rPr>
                <w:rFonts w:ascii="Arial" w:cs="Arial" w:eastAsia="Arial" w:hAnsi="Arial"/>
                <w:sz w:val="18"/>
                <w:szCs w:val="18"/>
                <w:color w:val="auto"/>
                <w:w w:val="90"/>
              </w:rPr>
              <w:t>/s/ Tristan Kermadec</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72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Ahmed Al Attas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60" w:type="dxa"/>
            <w:vAlign w:val="bottom"/>
            <w:vMerge w:val="restart"/>
          </w:tcPr>
          <w:p>
            <w:pPr>
              <w:jc w:val="center"/>
              <w:ind w:right="770"/>
              <w:spacing w:after="0"/>
              <w:rPr>
                <w:sz w:val="20"/>
                <w:szCs w:val="20"/>
                <w:color w:val="auto"/>
              </w:rPr>
            </w:pPr>
            <w:r>
              <w:rPr>
                <w:rFonts w:ascii="Arial" w:cs="Arial" w:eastAsia="Arial" w:hAnsi="Arial"/>
                <w:sz w:val="18"/>
                <w:szCs w:val="18"/>
                <w:b w:val="1"/>
                <w:bCs w:val="1"/>
                <w:color w:val="auto"/>
                <w:w w:val="92"/>
              </w:rPr>
              <w:t>Tristan Kermadec</w:t>
            </w: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5600" w:type="dxa"/>
            <w:vAlign w:val="bottom"/>
            <w:gridSpan w:val="6"/>
            <w:vMerge w:val="restart"/>
          </w:tcPr>
          <w:p>
            <w:pPr>
              <w:jc w:val="center"/>
              <w:ind w:right="80"/>
              <w:spacing w:after="0"/>
              <w:rPr>
                <w:sz w:val="20"/>
                <w:szCs w:val="20"/>
                <w:color w:val="auto"/>
              </w:rPr>
            </w:pPr>
            <w:r>
              <w:rPr>
                <w:rFonts w:ascii="Arial" w:cs="Arial" w:eastAsia="Arial" w:hAnsi="Arial"/>
                <w:sz w:val="18"/>
                <w:szCs w:val="18"/>
                <w:b w:val="1"/>
                <w:bCs w:val="1"/>
                <w:color w:val="auto"/>
                <w:w w:val="90"/>
              </w:rPr>
              <w:t>Head of Coverage – Public Sector, Multinationals and Non-Banking</w:t>
            </w: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5480" w:type="dxa"/>
            <w:vAlign w:val="bottom"/>
            <w:gridSpan w:val="3"/>
            <w:vMerge w:val="restart"/>
          </w:tcPr>
          <w:p>
            <w:pPr>
              <w:jc w:val="center"/>
              <w:spacing w:after="0" w:line="181" w:lineRule="exact"/>
              <w:rPr>
                <w:sz w:val="20"/>
                <w:szCs w:val="20"/>
                <w:color w:val="auto"/>
              </w:rPr>
            </w:pPr>
            <w:r>
              <w:rPr>
                <w:rFonts w:ascii="Arial" w:cs="Arial" w:eastAsia="Arial" w:hAnsi="Arial"/>
                <w:sz w:val="18"/>
                <w:szCs w:val="18"/>
                <w:b w:val="1"/>
                <w:bCs w:val="1"/>
                <w:color w:val="auto"/>
                <w:w w:val="90"/>
              </w:rPr>
              <w:t>Relationship Manager - Public Sector, International Companies,</w:t>
            </w:r>
          </w:p>
        </w:tc>
        <w:tc>
          <w:tcPr>
            <w:tcW w:w="0" w:type="dxa"/>
            <w:vAlign w:val="bottom"/>
          </w:tcPr>
          <w:p>
            <w:pPr>
              <w:spacing w:after="0"/>
              <w:rPr>
                <w:sz w:val="1"/>
                <w:szCs w:val="1"/>
                <w:color w:val="auto"/>
              </w:rPr>
            </w:pPr>
          </w:p>
        </w:tc>
      </w:tr>
      <w:tr>
        <w:trPr>
          <w:trHeight w:val="32"/>
        </w:trPr>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20" w:type="dxa"/>
            <w:vAlign w:val="bottom"/>
            <w:gridSpan w:val="2"/>
            <w:vMerge w:val="restart"/>
          </w:tcPr>
          <w:p>
            <w:pPr>
              <w:jc w:val="center"/>
              <w:ind w:right="110"/>
              <w:spacing w:after="0"/>
              <w:rPr>
                <w:sz w:val="20"/>
                <w:szCs w:val="20"/>
                <w:color w:val="auto"/>
              </w:rPr>
            </w:pPr>
            <w:r>
              <w:rPr>
                <w:rFonts w:ascii="Arial" w:cs="Arial" w:eastAsia="Arial" w:hAnsi="Arial"/>
                <w:sz w:val="18"/>
                <w:szCs w:val="18"/>
                <w:b w:val="1"/>
                <w:bCs w:val="1"/>
                <w:color w:val="auto"/>
                <w:w w:val="90"/>
              </w:rPr>
              <w:t>Financial Institutions – Wholesale Banking</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Multinational &amp; NBFI – Wholesale Banking</w:t>
            </w:r>
          </w:p>
        </w:tc>
        <w:tc>
          <w:tcPr>
            <w:tcW w:w="0" w:type="dxa"/>
            <w:vAlign w:val="bottom"/>
          </w:tcPr>
          <w:p>
            <w:pPr>
              <w:spacing w:after="0"/>
              <w:rPr>
                <w:sz w:val="1"/>
                <w:szCs w:val="1"/>
                <w:color w:val="auto"/>
              </w:rPr>
            </w:pPr>
          </w:p>
        </w:tc>
      </w:tr>
      <w:tr>
        <w:trPr>
          <w:trHeight w:val="751"/>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3"/>
              </w:rPr>
              <w:t>For The Borrower</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00" w:type="dxa"/>
            <w:vAlign w:val="bottom"/>
            <w:gridSpan w:val="3"/>
          </w:tcPr>
          <w:p>
            <w:pPr>
              <w:spacing w:after="0"/>
              <w:rPr>
                <w:sz w:val="22"/>
                <w:szCs w:val="22"/>
                <w:color w:val="auto"/>
              </w:rPr>
            </w:pPr>
          </w:p>
        </w:tc>
        <w:tc>
          <w:tcPr>
            <w:tcW w:w="2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20" w:type="dxa"/>
            <w:vAlign w:val="bottom"/>
            <w:gridSpan w:val="4"/>
            <w:shd w:val="clear" w:color="auto" w:fill="A6A6A6"/>
          </w:tcPr>
          <w:p>
            <w:pPr>
              <w:ind w:left="20"/>
              <w:spacing w:after="0"/>
              <w:rPr>
                <w:sz w:val="20"/>
                <w:szCs w:val="20"/>
                <w:color w:val="auto"/>
              </w:rPr>
            </w:pPr>
            <w:r>
              <w:rPr>
                <w:rFonts w:ascii="Arial" w:cs="Arial" w:eastAsia="Arial" w:hAnsi="Arial"/>
                <w:sz w:val="18"/>
                <w:szCs w:val="18"/>
                <w:b w:val="1"/>
                <w:bCs w:val="1"/>
                <w:color w:val="auto"/>
              </w:rPr>
              <w:t>Lucid Limited Company</w:t>
            </w:r>
          </w:p>
        </w:tc>
        <w:tc>
          <w:tcPr>
            <w:tcW w:w="200" w:type="dxa"/>
            <w:vAlign w:val="bottom"/>
            <w:shd w:val="clear" w:color="auto" w:fill="A6A6A6"/>
          </w:tcPr>
          <w:p>
            <w:pPr>
              <w:spacing w:after="0"/>
              <w:rPr>
                <w:sz w:val="19"/>
                <w:szCs w:val="19"/>
                <w:color w:val="auto"/>
              </w:rPr>
            </w:pPr>
          </w:p>
        </w:tc>
        <w:tc>
          <w:tcPr>
            <w:tcW w:w="700" w:type="dxa"/>
            <w:vAlign w:val="bottom"/>
            <w:shd w:val="clear" w:color="auto" w:fill="A6A6A6"/>
          </w:tcPr>
          <w:p>
            <w:pPr>
              <w:spacing w:after="0"/>
              <w:rPr>
                <w:sz w:val="19"/>
                <w:szCs w:val="19"/>
                <w:color w:val="auto"/>
              </w:rPr>
            </w:pPr>
          </w:p>
        </w:tc>
        <w:tc>
          <w:tcPr>
            <w:tcW w:w="80" w:type="dxa"/>
            <w:vAlign w:val="bottom"/>
            <w:shd w:val="clear" w:color="auto" w:fill="A6A6A6"/>
          </w:tcPr>
          <w:p>
            <w:pPr>
              <w:spacing w:after="0"/>
              <w:rPr>
                <w:sz w:val="19"/>
                <w:szCs w:val="19"/>
                <w:color w:val="auto"/>
              </w:rPr>
            </w:pPr>
          </w:p>
        </w:tc>
        <w:tc>
          <w:tcPr>
            <w:tcW w:w="40" w:type="dxa"/>
            <w:vAlign w:val="bottom"/>
            <w:shd w:val="clear" w:color="auto" w:fill="A6A6A6"/>
          </w:tcPr>
          <w:p>
            <w:pPr>
              <w:spacing w:after="0"/>
              <w:rPr>
                <w:sz w:val="19"/>
                <w:szCs w:val="19"/>
                <w:color w:val="auto"/>
              </w:rPr>
            </w:pPr>
          </w:p>
        </w:tc>
        <w:tc>
          <w:tcPr>
            <w:tcW w:w="600" w:type="dxa"/>
            <w:vAlign w:val="bottom"/>
            <w:shd w:val="clear" w:color="auto" w:fill="A6A6A6"/>
          </w:tcPr>
          <w:p>
            <w:pPr>
              <w:spacing w:after="0"/>
              <w:rPr>
                <w:sz w:val="19"/>
                <w:szCs w:val="19"/>
                <w:color w:val="auto"/>
              </w:rPr>
            </w:pPr>
          </w:p>
        </w:tc>
        <w:tc>
          <w:tcPr>
            <w:tcW w:w="220" w:type="dxa"/>
            <w:vAlign w:val="bottom"/>
            <w:shd w:val="clear" w:color="auto" w:fill="A6A6A6"/>
          </w:tcPr>
          <w:p>
            <w:pPr>
              <w:spacing w:after="0"/>
              <w:rPr>
                <w:sz w:val="19"/>
                <w:szCs w:val="19"/>
                <w:color w:val="auto"/>
              </w:rPr>
            </w:pPr>
          </w:p>
        </w:tc>
        <w:tc>
          <w:tcPr>
            <w:tcW w:w="4660" w:type="dxa"/>
            <w:vAlign w:val="bottom"/>
            <w:shd w:val="clear" w:color="auto" w:fill="A6A6A6"/>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Signature:</w:t>
            </w:r>
          </w:p>
        </w:tc>
        <w:tc>
          <w:tcPr>
            <w:tcW w:w="800" w:type="dxa"/>
            <w:vAlign w:val="bottom"/>
          </w:tcPr>
          <w:p>
            <w:pPr>
              <w:spacing w:after="0"/>
              <w:rPr>
                <w:sz w:val="24"/>
                <w:szCs w:val="24"/>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Faisal Sultan</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80"/>
              <w:spacing w:after="0"/>
              <w:rPr>
                <w:sz w:val="20"/>
                <w:szCs w:val="20"/>
                <w:color w:val="auto"/>
              </w:rPr>
            </w:pPr>
            <w:r>
              <w:rPr>
                <w:rFonts w:ascii="Arial" w:cs="Arial" w:eastAsia="Arial" w:hAnsi="Arial"/>
                <w:sz w:val="18"/>
                <w:szCs w:val="18"/>
                <w:color w:val="auto"/>
                <w:w w:val="87"/>
              </w:rPr>
              <w:t>Signature Date:</w:t>
            </w:r>
          </w:p>
        </w:tc>
        <w:tc>
          <w:tcPr>
            <w:tcW w:w="800" w:type="dxa"/>
            <w:vAlign w:val="bottom"/>
          </w:tcPr>
          <w:p>
            <w:pPr>
              <w:spacing w:after="0"/>
              <w:rPr>
                <w:sz w:val="19"/>
                <w:szCs w:val="19"/>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12, 2023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Name:</w:t>
            </w:r>
          </w:p>
        </w:tc>
        <w:tc>
          <w:tcPr>
            <w:tcW w:w="800" w:type="dxa"/>
            <w:vAlign w:val="bottom"/>
          </w:tcPr>
          <w:p>
            <w:pPr>
              <w:spacing w:after="0"/>
              <w:rPr>
                <w:sz w:val="19"/>
                <w:szCs w:val="19"/>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Faisal Sultan</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right="180" w:firstLine="7"/>
        <w:spacing w:after="0" w:line="243" w:lineRule="auto"/>
        <w:tabs>
          <w:tab w:leader="none" w:pos="3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the undersigned, employee of Gulf International Bank Saudi Arabia hereby confirm that the above signatory (ies) as authorized signatory (ies) of the Borrower signed this Agreement in my presence.</w:t>
      </w:r>
    </w:p>
    <w:tbl>
      <w:tblPr>
        <w:tblLayout w:type="fixed"/>
        <w:tblInd w:w="160" w:type="dxa"/>
        <w:tblCellMar>
          <w:top w:w="0" w:type="dxa"/>
          <w:left w:w="0" w:type="dxa"/>
          <w:bottom w:w="0" w:type="dxa"/>
          <w:right w:w="0" w:type="dxa"/>
        </w:tblCellMar>
      </w:tblP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Salah AlMhqani</w:t>
            </w: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Salah AlMhqani</w:t>
            </w: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Date:</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12, 2023</w:t>
            </w:r>
          </w:p>
        </w:tc>
      </w:tr>
      <w:tr>
        <w:trPr>
          <w:trHeight w:val="210"/>
        </w:trPr>
        <w:tc>
          <w:tcPr>
            <w:tcW w:w="1800" w:type="dxa"/>
            <w:vAlign w:val="bottom"/>
          </w:tcPr>
          <w:p>
            <w:pPr>
              <w:spacing w:after="0"/>
              <w:rPr>
                <w:sz w:val="20"/>
                <w:szCs w:val="20"/>
                <w:color w:val="auto"/>
              </w:rPr>
            </w:pPr>
            <w:r>
              <w:rPr>
                <w:rFonts w:ascii="Arial" w:cs="Arial" w:eastAsia="Arial" w:hAnsi="Arial"/>
                <w:sz w:val="18"/>
                <w:szCs w:val="18"/>
                <w:color w:val="auto"/>
              </w:rPr>
              <w:t>ID No.:</w:t>
            </w:r>
          </w:p>
        </w:tc>
        <w:tc>
          <w:tcPr>
            <w:tcW w:w="3700" w:type="dxa"/>
            <w:vAlign w:val="bottom"/>
            <w:tcBorders>
              <w:bottom w:val="single" w:sz="8" w:color="auto"/>
            </w:tcBorders>
          </w:tcPr>
          <w:p>
            <w:pPr>
              <w:spacing w:after="0"/>
              <w:rPr>
                <w:sz w:val="18"/>
                <w:szCs w:val="18"/>
                <w:color w:val="auto"/>
              </w:rPr>
            </w:pP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Occupation</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
        <w:spacing w:after="0"/>
        <w:tabs>
          <w:tab w:leader="none" w:pos="1700" w:val="left"/>
        </w:tabs>
        <w:rPr>
          <w:sz w:val="20"/>
          <w:szCs w:val="20"/>
          <w:color w:val="auto"/>
        </w:rPr>
      </w:pPr>
      <w:r>
        <w:rPr>
          <w:rFonts w:ascii="Arial" w:cs="Arial" w:eastAsia="Arial" w:hAnsi="Arial"/>
          <w:sz w:val="14"/>
          <w:szCs w:val="14"/>
          <w:color w:val="auto"/>
        </w:rPr>
        <w:t>Amend FLA/CLOS-7565</w:t>
      </w:r>
      <w:r>
        <w:rPr>
          <w:sz w:val="20"/>
          <w:szCs w:val="20"/>
          <w:color w:val="auto"/>
        </w:rPr>
        <w:tab/>
      </w:r>
      <w:r>
        <w:rPr>
          <w:rFonts w:ascii="Arial" w:cs="Arial" w:eastAsia="Arial" w:hAnsi="Arial"/>
          <w:sz w:val="12"/>
          <w:szCs w:val="12"/>
          <w:color w:val="auto"/>
        </w:rPr>
        <w:t>Page 4 of 4</w:t>
      </w:r>
    </w:p>
    <w:p>
      <w:pPr>
        <w:sectPr>
          <w:pgSz w:w="11900" w:h="16838" w:orient="portrait"/>
          <w:cols w:equalWidth="0" w:num="1">
            <w:col w:w="11220"/>
          </w:cols>
          <w:pgMar w:left="320" w:top="1440" w:right="3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Peter Rawlinson, certify that:</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May 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Peter Rawlinson</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Sherry House, certify that:</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May 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039"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820" w:hanging="326"/>
        <w:spacing w:after="0" w:line="277" w:lineRule="auto"/>
        <w:tabs>
          <w:tab w:leader="none" w:pos="8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2023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May 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Peter Rawlinson</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59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820" w:hanging="326"/>
        <w:spacing w:after="0" w:line="277" w:lineRule="auto"/>
        <w:tabs>
          <w:tab w:leader="none" w:pos="8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2023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May 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Sherry House</w:t>
            </w:r>
          </w:p>
        </w:tc>
      </w:tr>
      <w:tr>
        <w:trPr>
          <w:trHeight w:val="229"/>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2"/>
    </w:lvl>
  </w:abstractNum>
  <w:abstractNum w:abstractNumId="34">
    <w:nsid w:val="5C482A97"/>
    <w:multiLevelType w:val="hybridMultilevel"/>
    <w:lvl w:ilvl="0">
      <w:lvlJc w:val="left"/>
      <w:lvlText w:val="(%1)"/>
      <w:numFmt w:val="upperLetter"/>
      <w:start w:val="3"/>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jpeg"/><Relationship Id="rId108" Type="http://schemas.openxmlformats.org/officeDocument/2006/relationships/image" Target="media/image98.png"/><Relationship Id="rId109" Type="http://schemas.openxmlformats.org/officeDocument/2006/relationships/image" Target="media/image99.jpe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jpe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jpeg"/><Relationship Id="rId122" Type="http://schemas.openxmlformats.org/officeDocument/2006/relationships/image" Target="media/image112.png"/><Relationship Id="rId123" Type="http://schemas.openxmlformats.org/officeDocument/2006/relationships/image" Target="media/image113.png"/><Relationship Id="rId103" Type="http://schemas.openxmlformats.org/officeDocument/2006/relationships/hyperlink" Target="https://www.sec.gov/Archives/edgar/data/1811210/000110465923049685/tm2313633d1_ex3-1.htm" TargetMode="External"/><Relationship Id="rId104" Type="http://schemas.openxmlformats.org/officeDocument/2006/relationships/hyperlink" Target="https://www.sec.gov/Archives/edgar/data/1811210/000110465923028423/tm238322d1_ex3-2.htm" TargetMode="External"/><Relationship Id="rId105" Type="http://schemas.openxmlformats.org/officeDocument/2006/relationships/hyperlink" Target="https://www.sec.gov/Archives/edgar/data/1811210/000110465923049685/tm231363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2023-05-08T15:43:14Z</dcterms:created>
  <dcterms:modified xsi:type="dcterms:W3CDTF">2023-05-08T15:43:14Z</dcterms:modified>
</cp:coreProperties>
</file>