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20,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7"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3">
            <w:col w:w="4320" w:space="720"/>
            <w:col w:w="2280" w:space="720"/>
            <w:col w:w="3200"/>
          </w:cols>
          <w:pgMar w:left="320" w:top="697" w:right="339" w:bottom="1440" w:gutter="0" w:footer="0" w:header="0"/>
          <w:type w:val="continuous"/>
        </w:sectPr>
      </w:pPr>
    </w:p>
    <w:p>
      <w:pPr>
        <w:jc w:val="center"/>
        <w:ind w:right="1660"/>
        <w:spacing w:after="0"/>
        <w:rPr>
          <w:sz w:val="20"/>
          <w:szCs w:val="20"/>
          <w:color w:val="auto"/>
        </w:rPr>
      </w:pPr>
      <w:r>
        <w:rPr>
          <w:rFonts w:ascii="Arial" w:cs="Arial" w:eastAsia="Arial" w:hAnsi="Arial"/>
          <w:sz w:val="18"/>
          <w:szCs w:val="18"/>
          <w:b w:val="1"/>
          <w:bCs w:val="1"/>
          <w:color w:val="auto"/>
        </w:rPr>
        <w:t>7373 Gateway Boulevard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4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06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Lucid Group, Inc. (the “Company”) previously announced on its Form 8-K filed on February 6, 2023, the Company filed a petition on January 31, 2023 in the Delaware Court of Chancery (the “Court of Chancery”) under 8 Del. C. §205, or Section 205 of the Delaware General Corporation Law (the “Petition”) in order to resolve potential uncertainty with respect to the Company’s capitalization resulting from a recent Court of Chancery ruling. The Court of Chancery set a hearing date for February 20, 2023.</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20, 2023, the hearing took place and the Court of Chancery approved the Company’s request for relief. The Court of Chancery then entered an order under 8 Del. C. §205 on February 21, 2023 (1) declaring the Company’s current certificate of incorporation (the “Current Certificate of Incorporation”), including the filing and effectiveness thereof, as validated and effective retroactive to the date of its filing with the Office of the Secretary of State of the State of Delaware on July 23, 2021, and all amendments effected thereby and (2) ordering that the Company’s securities (and the issuance of the securities) described in the Petition and any other securities issued in reliance on the validity of the Current Certificate of Incorporation are validated and declared effective, each as of the original issuance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February 21, 2023</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2023-02-22T05:29:19Z</dcterms:created>
  <dcterms:modified xsi:type="dcterms:W3CDTF">2023-02-22T05:29:19Z</dcterms:modified>
</cp:coreProperties>
</file>