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273"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As filed with the Securities and Exchange Commission on May 8, 2023</w:t>
      </w:r>
    </w:p>
    <w:p>
      <w:pPr>
        <w:spacing w:after="0" w:line="28"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        ​</w:t>
      </w:r>
    </w:p>
    <w:p>
      <w:pPr>
        <w:spacing w:after="0" w:line="42" w:lineRule="exact"/>
        <w:rPr>
          <w:sz w:val="24"/>
          <w:szCs w:val="24"/>
          <w:color w:val="auto"/>
        </w:rPr>
      </w:pPr>
    </w:p>
    <w:p>
      <w:pPr>
        <w:ind w:left="500"/>
        <w:spacing w:after="0"/>
        <w:rPr>
          <w:sz w:val="20"/>
          <w:szCs w:val="20"/>
          <w:color w:val="auto"/>
        </w:rPr>
      </w:pPr>
      <w:r>
        <w:rPr>
          <w:rFonts w:ascii="Arial" w:cs="Arial" w:eastAsia="Arial" w:hAnsi="Arial"/>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-5715</wp:posOffset>
            </wp:positionV>
            <wp:extent cx="6189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1714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36830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30480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95"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color w:val="auto"/>
        </w:rPr>
        <w:t>FORM S-3</w:t>
      </w:r>
    </w:p>
    <w:p>
      <w:pPr>
        <w:spacing w:after="0" w:line="1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REGISTRATION STATEMENT</w:t>
      </w:r>
    </w:p>
    <w:p>
      <w:pPr>
        <w:jc w:val="center"/>
        <w:ind w:right="-419"/>
        <w:spacing w:after="0" w:line="191" w:lineRule="auto"/>
        <w:rPr>
          <w:sz w:val="20"/>
          <w:szCs w:val="20"/>
          <w:color w:val="auto"/>
        </w:rPr>
      </w:pPr>
      <w:r>
        <w:rPr>
          <w:rFonts w:ascii="Arial" w:cs="Arial" w:eastAsia="Arial" w:hAnsi="Arial"/>
          <w:sz w:val="14"/>
          <w:szCs w:val="14"/>
          <w:b w:val="1"/>
          <w:bCs w:val="1"/>
          <w:color w:val="auto"/>
        </w:rPr>
        <w:t>UNDER</w:t>
      </w:r>
    </w:p>
    <w:p>
      <w:pPr>
        <w:ind w:left="4340"/>
        <w:spacing w:after="0" w:line="224" w:lineRule="auto"/>
        <w:rPr>
          <w:sz w:val="20"/>
          <w:szCs w:val="20"/>
          <w:color w:val="auto"/>
        </w:rPr>
      </w:pPr>
      <w:r>
        <w:rPr>
          <w:rFonts w:ascii="Arial" w:cs="Arial" w:eastAsia="Arial" w:hAnsi="Arial"/>
          <w:sz w:val="14"/>
          <w:szCs w:val="14"/>
          <w:b w:val="1"/>
          <w:bCs w:val="1"/>
          <w:color w:val="auto"/>
        </w:rPr>
        <w:t>THE SECURITIES ACT OF 1933</w:t>
      </w:r>
      <w:r>
        <w:rPr>
          <w:rFonts w:ascii="Arial" w:cs="Arial" w:eastAsia="Arial" w:hAnsi="Arial"/>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11430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1"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LUCID GROUP, INC.</w:t>
      </w:r>
    </w:p>
    <w:p>
      <w:pPr>
        <w:ind w:left="3940"/>
        <w:spacing w:after="0"/>
        <w:rPr>
          <w:sz w:val="20"/>
          <w:szCs w:val="20"/>
          <w:color w:val="auto"/>
        </w:rPr>
      </w:pPr>
      <w:r>
        <w:rPr>
          <w:rFonts w:ascii="Arial" w:cs="Arial" w:eastAsia="Arial" w:hAnsi="Arial"/>
          <w:sz w:val="13"/>
          <w:szCs w:val="13"/>
          <w:color w:val="auto"/>
        </w:rPr>
        <w:t>(Exact Name of Registrant as Specified in Its Charter)</w:t>
      </w:r>
    </w:p>
    <w:p>
      <w:pPr>
        <w:spacing w:after="0" w:line="58" w:lineRule="exact"/>
        <w:rPr>
          <w:sz w:val="24"/>
          <w:szCs w:val="24"/>
          <w:color w:val="auto"/>
        </w:rPr>
      </w:pPr>
    </w:p>
    <w:tbl>
      <w:tblPr>
        <w:tblLayout w:type="fixed"/>
        <w:tblInd w:w="50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3"/>
                <w:szCs w:val="13"/>
                <w:color w:val="auto"/>
              </w:rPr>
              <w:t>​</w:t>
            </w:r>
          </w:p>
        </w:tc>
        <w:tc>
          <w:tcPr>
            <w:tcW w:w="3160" w:type="dxa"/>
            <w:vAlign w:val="bottom"/>
          </w:tcPr>
          <w:p>
            <w:pPr>
              <w:jc w:val="center"/>
              <w:ind w:left="31"/>
              <w:spacing w:after="0"/>
              <w:rPr>
                <w:sz w:val="20"/>
                <w:szCs w:val="20"/>
                <w:color w:val="auto"/>
              </w:rPr>
            </w:pPr>
            <w:r>
              <w:rPr>
                <w:rFonts w:ascii="Arial" w:cs="Arial" w:eastAsia="Arial" w:hAnsi="Arial"/>
                <w:sz w:val="14"/>
                <w:szCs w:val="14"/>
                <w:b w:val="1"/>
                <w:bCs w:val="1"/>
                <w:color w:val="auto"/>
                <w:w w:val="94"/>
              </w:rPr>
              <w:t>Delaware</w:t>
            </w:r>
          </w:p>
        </w:tc>
        <w:tc>
          <w:tcPr>
            <w:tcW w:w="1940" w:type="dxa"/>
            <w:vAlign w:val="bottom"/>
          </w:tcPr>
          <w:p>
            <w:pPr>
              <w:jc w:val="center"/>
              <w:spacing w:after="0"/>
              <w:rPr>
                <w:sz w:val="20"/>
                <w:szCs w:val="20"/>
                <w:color w:val="auto"/>
              </w:rPr>
            </w:pPr>
            <w:r>
              <w:rPr>
                <w:rFonts w:ascii="Arial" w:cs="Arial" w:eastAsia="Arial" w:hAnsi="Arial"/>
                <w:sz w:val="13"/>
                <w:szCs w:val="13"/>
                <w:color w:val="auto"/>
              </w:rPr>
              <w:t>​  ​</w:t>
            </w:r>
          </w:p>
        </w:tc>
        <w:tc>
          <w:tcPr>
            <w:tcW w:w="3100" w:type="dxa"/>
            <w:vAlign w:val="bottom"/>
          </w:tcPr>
          <w:p>
            <w:pPr>
              <w:jc w:val="right"/>
              <w:ind w:right="1190"/>
              <w:spacing w:after="0"/>
              <w:rPr>
                <w:sz w:val="20"/>
                <w:szCs w:val="20"/>
                <w:color w:val="auto"/>
              </w:rPr>
            </w:pPr>
            <w:r>
              <w:rPr>
                <w:rFonts w:ascii="Arial" w:cs="Arial" w:eastAsia="Arial" w:hAnsi="Arial"/>
                <w:sz w:val="14"/>
                <w:szCs w:val="14"/>
                <w:b w:val="1"/>
                <w:bCs w:val="1"/>
                <w:color w:val="auto"/>
              </w:rPr>
              <w:t>85-0891392</w:t>
            </w:r>
          </w:p>
        </w:tc>
        <w:tc>
          <w:tcPr>
            <w:tcW w:w="820" w:type="dxa"/>
            <w:vAlign w:val="bottom"/>
          </w:tcPr>
          <w:p>
            <w:pPr>
              <w:ind w:left="7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740" w:type="dxa"/>
            <w:vAlign w:val="bottom"/>
          </w:tcPr>
          <w:p>
            <w:pPr>
              <w:spacing w:after="0"/>
              <w:rPr>
                <w:sz w:val="11"/>
                <w:szCs w:val="11"/>
                <w:color w:val="auto"/>
              </w:rPr>
            </w:pPr>
          </w:p>
        </w:tc>
        <w:tc>
          <w:tcPr>
            <w:tcW w:w="3160" w:type="dxa"/>
            <w:vAlign w:val="bottom"/>
          </w:tcPr>
          <w:p>
            <w:pPr>
              <w:ind w:left="820"/>
              <w:spacing w:after="0" w:line="135" w:lineRule="exact"/>
              <w:rPr>
                <w:sz w:val="20"/>
                <w:szCs w:val="20"/>
                <w:color w:val="auto"/>
              </w:rPr>
            </w:pPr>
            <w:r>
              <w:rPr>
                <w:rFonts w:ascii="Arial" w:cs="Arial" w:eastAsia="Arial" w:hAnsi="Arial"/>
                <w:sz w:val="13"/>
                <w:szCs w:val="13"/>
                <w:color w:val="auto"/>
              </w:rPr>
              <w:t>(State or Other Jurisdiction of</w:t>
            </w:r>
          </w:p>
        </w:tc>
        <w:tc>
          <w:tcPr>
            <w:tcW w:w="1940" w:type="dxa"/>
            <w:vAlign w:val="bottom"/>
          </w:tcPr>
          <w:p>
            <w:pPr>
              <w:spacing w:after="0"/>
              <w:rPr>
                <w:sz w:val="11"/>
                <w:szCs w:val="11"/>
                <w:color w:val="auto"/>
              </w:rPr>
            </w:pPr>
          </w:p>
        </w:tc>
        <w:tc>
          <w:tcPr>
            <w:tcW w:w="3100" w:type="dxa"/>
            <w:vAlign w:val="bottom"/>
          </w:tcPr>
          <w:p>
            <w:pPr>
              <w:jc w:val="center"/>
              <w:ind w:right="70"/>
              <w:spacing w:after="0" w:line="135" w:lineRule="exact"/>
              <w:rPr>
                <w:sz w:val="20"/>
                <w:szCs w:val="20"/>
                <w:color w:val="auto"/>
              </w:rPr>
            </w:pPr>
            <w:r>
              <w:rPr>
                <w:rFonts w:ascii="Arial" w:cs="Arial" w:eastAsia="Arial" w:hAnsi="Arial"/>
                <w:sz w:val="13"/>
                <w:szCs w:val="13"/>
                <w:color w:val="auto"/>
                <w:w w:val="92"/>
              </w:rPr>
              <w:t>(I.R.S. Employer</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3160" w:type="dxa"/>
            <w:vAlign w:val="bottom"/>
          </w:tcPr>
          <w:p>
            <w:pPr>
              <w:jc w:val="center"/>
              <w:ind w:left="71"/>
              <w:spacing w:after="0"/>
              <w:rPr>
                <w:sz w:val="20"/>
                <w:szCs w:val="20"/>
                <w:color w:val="auto"/>
              </w:rPr>
            </w:pPr>
            <w:r>
              <w:rPr>
                <w:rFonts w:ascii="Arial" w:cs="Arial" w:eastAsia="Arial" w:hAnsi="Arial"/>
                <w:sz w:val="13"/>
                <w:szCs w:val="13"/>
                <w:color w:val="auto"/>
                <w:w w:val="96"/>
              </w:rPr>
              <w:t>Incorporation or Organization)</w:t>
            </w:r>
            <w:r>
              <w:rPr>
                <w:rFonts w:ascii="Arial" w:cs="Arial" w:eastAsia="Arial" w:hAnsi="Arial"/>
                <w:sz w:val="14"/>
                <w:szCs w:val="14"/>
                <w:color w:val="auto"/>
                <w:w w:val="96"/>
              </w:rPr>
              <w:t>​</w:t>
            </w: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7373 Gateway Blvd</w:t>
            </w:r>
          </w:p>
        </w:tc>
        <w:tc>
          <w:tcPr>
            <w:tcW w:w="3100" w:type="dxa"/>
            <w:vAlign w:val="bottom"/>
          </w:tcPr>
          <w:p>
            <w:pPr>
              <w:jc w:val="center"/>
              <w:ind w:right="50"/>
              <w:spacing w:after="0"/>
              <w:rPr>
                <w:sz w:val="20"/>
                <w:szCs w:val="20"/>
                <w:color w:val="auto"/>
              </w:rPr>
            </w:pPr>
            <w:r>
              <w:rPr>
                <w:rFonts w:ascii="Arial" w:cs="Arial" w:eastAsia="Arial" w:hAnsi="Arial"/>
                <w:sz w:val="13"/>
                <w:szCs w:val="13"/>
                <w:color w:val="auto"/>
                <w:w w:val="95"/>
              </w:rPr>
              <w:t>Identification Number)</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74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3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Newark, CA 94560</w:t>
            </w:r>
          </w:p>
        </w:tc>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Telephone: (510) 648-3553</w:t>
            </w:r>
          </w:p>
        </w:tc>
        <w:tc>
          <w:tcPr>
            <w:tcW w:w="3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8200" w:type="dxa"/>
            <w:vAlign w:val="bottom"/>
            <w:gridSpan w:val="3"/>
          </w:tcPr>
          <w:p>
            <w:pPr>
              <w:jc w:val="center"/>
              <w:ind w:left="11"/>
              <w:spacing w:after="0"/>
              <w:rPr>
                <w:sz w:val="20"/>
                <w:szCs w:val="20"/>
                <w:color w:val="auto"/>
              </w:rPr>
            </w:pPr>
            <w:r>
              <w:rPr>
                <w:rFonts w:ascii="Arial" w:cs="Arial" w:eastAsia="Arial" w:hAnsi="Arial"/>
                <w:sz w:val="13"/>
                <w:szCs w:val="13"/>
                <w:color w:val="auto"/>
                <w:w w:val="93"/>
              </w:rPr>
              <w:t>(Address, Including Zip Code, and Telephone Number, Including Area Code, of Registrant’s Principal Executive Offices)</w:t>
            </w:r>
            <w:r>
              <w:rPr>
                <w:rFonts w:ascii="Arial" w:cs="Arial" w:eastAsia="Arial" w:hAnsi="Arial"/>
                <w:sz w:val="14"/>
                <w:szCs w:val="14"/>
                <w:color w:val="auto"/>
                <w:w w:val="93"/>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c>
          <w:tcPr>
            <w:tcW w:w="3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7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Peter Rawlinson</w:t>
            </w:r>
          </w:p>
        </w:tc>
        <w:tc>
          <w:tcPr>
            <w:tcW w:w="3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Chief Executive Officer</w:t>
            </w: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7373 Gateway Blvd.</w:t>
            </w:r>
          </w:p>
        </w:tc>
        <w:tc>
          <w:tcPr>
            <w:tcW w:w="3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Newark, CA 94560</w:t>
            </w:r>
          </w:p>
        </w:tc>
        <w:tc>
          <w:tcPr>
            <w:tcW w:w="3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Telephone: (510) 648-3553</w:t>
            </w:r>
            <w:r>
              <w:rPr>
                <w:rFonts w:ascii="Arial" w:cs="Arial" w:eastAsia="Arial" w:hAnsi="Arial"/>
                <w:sz w:val="12"/>
                <w:szCs w:val="12"/>
                <w:color w:val="auto"/>
                <w:w w:val="89"/>
              </w:rPr>
              <w:t>​</w:t>
            </w:r>
          </w:p>
        </w:tc>
        <w:tc>
          <w:tcPr>
            <w:tcW w:w="3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40" w:type="dxa"/>
            <w:vAlign w:val="bottom"/>
          </w:tcPr>
          <w:p>
            <w:pPr>
              <w:spacing w:after="0"/>
              <w:rPr>
                <w:sz w:val="15"/>
                <w:szCs w:val="15"/>
                <w:color w:val="auto"/>
              </w:rPr>
            </w:pPr>
          </w:p>
        </w:tc>
        <w:tc>
          <w:tcPr>
            <w:tcW w:w="8200" w:type="dxa"/>
            <w:vAlign w:val="bottom"/>
            <w:gridSpan w:val="3"/>
          </w:tcPr>
          <w:p>
            <w:pPr>
              <w:jc w:val="center"/>
              <w:ind w:left="11"/>
              <w:spacing w:after="0"/>
              <w:rPr>
                <w:sz w:val="20"/>
                <w:szCs w:val="20"/>
                <w:color w:val="auto"/>
              </w:rPr>
            </w:pPr>
            <w:r>
              <w:rPr>
                <w:rFonts w:ascii="Arial" w:cs="Arial" w:eastAsia="Arial" w:hAnsi="Arial"/>
                <w:sz w:val="13"/>
                <w:szCs w:val="13"/>
                <w:color w:val="auto"/>
                <w:w w:val="93"/>
              </w:rPr>
              <w:t>(Name, Address, Including Zip Code, and Telephone Number, Including Area Code, of Agent For Service)</w:t>
            </w:r>
            <w:r>
              <w:rPr>
                <w:rFonts w:ascii="Arial" w:cs="Arial" w:eastAsia="Arial" w:hAnsi="Arial"/>
                <w:sz w:val="14"/>
                <w:szCs w:val="14"/>
                <w:color w:val="auto"/>
                <w:w w:val="93"/>
              </w:rPr>
              <w: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7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3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4"/>
              </w:rPr>
              <w:t>Copy to:</w:t>
            </w:r>
          </w:p>
        </w:tc>
        <w:tc>
          <w:tcPr>
            <w:tcW w:w="3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20"/>
                <w:szCs w:val="20"/>
                <w:color w:val="auto"/>
              </w:rPr>
            </w:pPr>
            <w:r>
              <w:rPr>
                <w:rFonts w:ascii="Arial" w:cs="Arial" w:eastAsia="Arial" w:hAnsi="Arial"/>
                <w:sz w:val="14"/>
                <w:szCs w:val="14"/>
                <w:b w:val="1"/>
                <w:bCs w:val="1"/>
                <w:color w:val="auto"/>
              </w:rPr>
              <w:t>​</w:t>
            </w:r>
          </w:p>
        </w:tc>
        <w:tc>
          <w:tcPr>
            <w:tcW w:w="3160" w:type="dxa"/>
            <w:vAlign w:val="bottom"/>
          </w:tcPr>
          <w:p>
            <w:pPr>
              <w:jc w:val="center"/>
              <w:ind w:left="11"/>
              <w:spacing w:after="0"/>
              <w:rPr>
                <w:sz w:val="20"/>
                <w:szCs w:val="20"/>
                <w:color w:val="auto"/>
              </w:rPr>
            </w:pPr>
            <w:r>
              <w:rPr>
                <w:rFonts w:ascii="Arial" w:cs="Arial" w:eastAsia="Arial" w:hAnsi="Arial"/>
                <w:sz w:val="14"/>
                <w:szCs w:val="14"/>
                <w:b w:val="1"/>
                <w:bCs w:val="1"/>
                <w:color w:val="auto"/>
                <w:w w:val="90"/>
              </w:rPr>
              <w:t>Jonathan Butler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 ​</w:t>
            </w:r>
          </w:p>
        </w:tc>
        <w:tc>
          <w:tcPr>
            <w:tcW w:w="3100" w:type="dxa"/>
            <w:vAlign w:val="bottom"/>
          </w:tcPr>
          <w:p>
            <w:pPr>
              <w:jc w:val="center"/>
              <w:ind w:right="70"/>
              <w:spacing w:after="0"/>
              <w:rPr>
                <w:sz w:val="20"/>
                <w:szCs w:val="20"/>
                <w:color w:val="auto"/>
              </w:rPr>
            </w:pPr>
            <w:r>
              <w:rPr>
                <w:rFonts w:ascii="Arial" w:cs="Arial" w:eastAsia="Arial" w:hAnsi="Arial"/>
                <w:sz w:val="14"/>
                <w:szCs w:val="14"/>
                <w:b w:val="1"/>
                <w:bCs w:val="1"/>
                <w:color w:val="auto"/>
                <w:w w:val="89"/>
              </w:rPr>
              <w:t>Emily Roberts</w:t>
            </w:r>
          </w:p>
        </w:tc>
        <w:tc>
          <w:tcPr>
            <w:tcW w:w="820" w:type="dxa"/>
            <w:vAlign w:val="bottom"/>
          </w:tcPr>
          <w:p>
            <w:pPr>
              <w:ind w:left="7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jc w:val="center"/>
              <w:ind w:left="11"/>
              <w:spacing w:after="0"/>
              <w:rPr>
                <w:sz w:val="20"/>
                <w:szCs w:val="20"/>
                <w:color w:val="auto"/>
              </w:rPr>
            </w:pPr>
            <w:r>
              <w:rPr>
                <w:rFonts w:ascii="Arial" w:cs="Arial" w:eastAsia="Arial" w:hAnsi="Arial"/>
                <w:sz w:val="14"/>
                <w:szCs w:val="14"/>
                <w:b w:val="1"/>
                <w:bCs w:val="1"/>
                <w:color w:val="auto"/>
                <w:w w:val="88"/>
              </w:rPr>
              <w:t>General Counsel and Secretary</w:t>
            </w:r>
          </w:p>
        </w:tc>
        <w:tc>
          <w:tcPr>
            <w:tcW w:w="1940" w:type="dxa"/>
            <w:vAlign w:val="bottom"/>
          </w:tcPr>
          <w:p>
            <w:pPr>
              <w:spacing w:after="0"/>
              <w:rPr>
                <w:sz w:val="14"/>
                <w:szCs w:val="14"/>
                <w:color w:val="auto"/>
              </w:rPr>
            </w:pPr>
          </w:p>
        </w:tc>
        <w:tc>
          <w:tcPr>
            <w:tcW w:w="310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Davis Polk &amp; Wardwell LLP</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2"/>
              </w:rPr>
              <w:t>Lucid Group, Inc.</w:t>
            </w:r>
          </w:p>
        </w:tc>
        <w:tc>
          <w:tcPr>
            <w:tcW w:w="1940" w:type="dxa"/>
            <w:vAlign w:val="bottom"/>
          </w:tcPr>
          <w:p>
            <w:pPr>
              <w:spacing w:after="0"/>
              <w:rPr>
                <w:sz w:val="14"/>
                <w:szCs w:val="14"/>
                <w:color w:val="auto"/>
              </w:rPr>
            </w:pPr>
          </w:p>
        </w:tc>
        <w:tc>
          <w:tcPr>
            <w:tcW w:w="3100" w:type="dxa"/>
            <w:vAlign w:val="bottom"/>
          </w:tcPr>
          <w:p>
            <w:pPr>
              <w:jc w:val="center"/>
              <w:ind w:right="70"/>
              <w:spacing w:after="0"/>
              <w:rPr>
                <w:sz w:val="20"/>
                <w:szCs w:val="20"/>
                <w:color w:val="auto"/>
              </w:rPr>
            </w:pPr>
            <w:r>
              <w:rPr>
                <w:rFonts w:ascii="Arial" w:cs="Arial" w:eastAsia="Arial" w:hAnsi="Arial"/>
                <w:sz w:val="14"/>
                <w:szCs w:val="14"/>
                <w:b w:val="1"/>
                <w:bCs w:val="1"/>
                <w:color w:val="auto"/>
                <w:w w:val="90"/>
              </w:rPr>
              <w:t>1600 El Camino Real</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0"/>
              </w:rPr>
              <w:t>7373 Gateway Blvd.</w:t>
            </w:r>
          </w:p>
        </w:tc>
        <w:tc>
          <w:tcPr>
            <w:tcW w:w="1940" w:type="dxa"/>
            <w:vAlign w:val="bottom"/>
          </w:tcPr>
          <w:p>
            <w:pPr>
              <w:spacing w:after="0"/>
              <w:rPr>
                <w:sz w:val="14"/>
                <w:szCs w:val="14"/>
                <w:color w:val="auto"/>
              </w:rPr>
            </w:pPr>
          </w:p>
        </w:tc>
        <w:tc>
          <w:tcPr>
            <w:tcW w:w="3100" w:type="dxa"/>
            <w:vAlign w:val="bottom"/>
          </w:tcPr>
          <w:p>
            <w:pPr>
              <w:jc w:val="center"/>
              <w:ind w:right="70"/>
              <w:spacing w:after="0"/>
              <w:rPr>
                <w:sz w:val="20"/>
                <w:szCs w:val="20"/>
                <w:color w:val="auto"/>
              </w:rPr>
            </w:pPr>
            <w:r>
              <w:rPr>
                <w:rFonts w:ascii="Arial" w:cs="Arial" w:eastAsia="Arial" w:hAnsi="Arial"/>
                <w:sz w:val="14"/>
                <w:szCs w:val="14"/>
                <w:b w:val="1"/>
                <w:bCs w:val="1"/>
                <w:color w:val="auto"/>
                <w:w w:val="93"/>
              </w:rPr>
              <w:t>Menlo Park, CA 94025</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3160" w:type="dxa"/>
            <w:vAlign w:val="bottom"/>
          </w:tcPr>
          <w:p>
            <w:pPr>
              <w:jc w:val="center"/>
              <w:ind w:left="11"/>
              <w:spacing w:after="0"/>
              <w:rPr>
                <w:sz w:val="20"/>
                <w:szCs w:val="20"/>
                <w:color w:val="auto"/>
              </w:rPr>
            </w:pPr>
            <w:r>
              <w:rPr>
                <w:rFonts w:ascii="Arial" w:cs="Arial" w:eastAsia="Arial" w:hAnsi="Arial"/>
                <w:sz w:val="14"/>
                <w:szCs w:val="14"/>
                <w:b w:val="1"/>
                <w:bCs w:val="1"/>
                <w:color w:val="auto"/>
                <w:w w:val="92"/>
              </w:rPr>
              <w:t>Newark, CA 94560</w:t>
            </w:r>
          </w:p>
        </w:tc>
        <w:tc>
          <w:tcPr>
            <w:tcW w:w="1940" w:type="dxa"/>
            <w:vAlign w:val="bottom"/>
          </w:tcPr>
          <w:p>
            <w:pPr>
              <w:spacing w:after="0"/>
              <w:rPr>
                <w:sz w:val="14"/>
                <w:szCs w:val="14"/>
                <w:color w:val="auto"/>
              </w:rPr>
            </w:pPr>
          </w:p>
        </w:tc>
        <w:tc>
          <w:tcPr>
            <w:tcW w:w="3100" w:type="dxa"/>
            <w:vAlign w:val="bottom"/>
          </w:tcPr>
          <w:p>
            <w:pPr>
              <w:jc w:val="right"/>
              <w:ind w:right="1110"/>
              <w:spacing w:after="0"/>
              <w:rPr>
                <w:sz w:val="20"/>
                <w:szCs w:val="20"/>
                <w:color w:val="auto"/>
              </w:rPr>
            </w:pPr>
            <w:r>
              <w:rPr>
                <w:rFonts w:ascii="Arial" w:cs="Arial" w:eastAsia="Arial" w:hAnsi="Arial"/>
                <w:sz w:val="14"/>
                <w:szCs w:val="14"/>
                <w:b w:val="1"/>
                <w:bCs w:val="1"/>
                <w:color w:val="auto"/>
              </w:rPr>
              <w:t>(650) 752-2000</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40" w:type="dxa"/>
            <w:vAlign w:val="bottom"/>
          </w:tcPr>
          <w:p>
            <w:pPr>
              <w:spacing w:after="0"/>
              <w:rPr>
                <w:sz w:val="16"/>
                <w:szCs w:val="16"/>
                <w:color w:val="auto"/>
              </w:rPr>
            </w:pPr>
          </w:p>
        </w:tc>
        <w:tc>
          <w:tcPr>
            <w:tcW w:w="3160" w:type="dxa"/>
            <w:vAlign w:val="bottom"/>
          </w:tcPr>
          <w:p>
            <w:pPr>
              <w:jc w:val="center"/>
              <w:ind w:left="31"/>
              <w:spacing w:after="0"/>
              <w:rPr>
                <w:sz w:val="20"/>
                <w:szCs w:val="20"/>
                <w:color w:val="auto"/>
              </w:rPr>
            </w:pPr>
            <w:r>
              <w:rPr>
                <w:rFonts w:ascii="Arial" w:cs="Arial" w:eastAsia="Arial" w:hAnsi="Arial"/>
                <w:sz w:val="14"/>
                <w:szCs w:val="14"/>
                <w:b w:val="1"/>
                <w:bCs w:val="1"/>
                <w:color w:val="auto"/>
                <w:w w:val="89"/>
              </w:rPr>
              <w:t>(510) 648-3553</w:t>
            </w:r>
          </w:p>
        </w:tc>
        <w:tc>
          <w:tcPr>
            <w:tcW w:w="19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24765</wp:posOffset>
            </wp:positionV>
            <wp:extent cx="1234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77" w:lineRule="exact"/>
        <w:rPr>
          <w:sz w:val="24"/>
          <w:szCs w:val="24"/>
          <w:color w:val="auto"/>
        </w:rPr>
      </w:pPr>
    </w:p>
    <w:p>
      <w:pPr>
        <w:ind w:left="8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4"/>
          <w:szCs w:val="14"/>
          <w:color w:val="auto"/>
        </w:rPr>
        <w:t>If the only securities being registered on this Form are being offered pursuant to dividend or interest reinvestment plans, please check the following box.</w:t>
      </w:r>
    </w:p>
    <w:p>
      <w:pPr>
        <w:spacing w:after="0" w:line="8" w:lineRule="exact"/>
        <w:rPr>
          <w:sz w:val="24"/>
          <w:szCs w:val="24"/>
          <w:color w:val="auto"/>
        </w:rPr>
      </w:pPr>
    </w:p>
    <w:p>
      <w:pPr>
        <w:ind w:left="500"/>
        <w:spacing w:after="0" w:line="141" w:lineRule="exact"/>
        <w:rPr>
          <w:sz w:val="20"/>
          <w:szCs w:val="20"/>
          <w:color w:val="auto"/>
        </w:rPr>
      </w:pPr>
      <w:r>
        <w:rPr>
          <w:rFonts w:ascii="MS PGothic" w:cs="MS PGothic" w:eastAsia="MS PGothic" w:hAnsi="MS PGothic"/>
          <w:sz w:val="14"/>
          <w:szCs w:val="14"/>
          <w:color w:val="auto"/>
        </w:rPr>
        <w:t>☐</w:t>
      </w:r>
    </w:p>
    <w:p>
      <w:pPr>
        <w:spacing w:after="0" w:line="41" w:lineRule="exact"/>
        <w:rPr>
          <w:sz w:val="24"/>
          <w:szCs w:val="24"/>
          <w:color w:val="auto"/>
        </w:rPr>
      </w:pPr>
    </w:p>
    <w:p>
      <w:pPr>
        <w:ind w:left="500" w:right="260" w:firstLine="36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60" w:firstLine="36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44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220" w:firstLine="360"/>
        <w:spacing w:after="0" w:line="162"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360" w:firstLine="360"/>
        <w:spacing w:after="0" w:line="162"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500" w:right="180" w:firstLine="36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80"/>
          </w:cols>
          <w:pgMar w:left="580" w:top="239" w:right="1039" w:bottom="1440" w:gutter="0" w:footer="0" w:header="0"/>
        </w:sectPr>
      </w:pPr>
    </w:p>
    <w:p>
      <w:pPr>
        <w:spacing w:after="0" w:line="1" w:lineRule="exact"/>
        <w:rPr>
          <w:sz w:val="24"/>
          <w:szCs w:val="24"/>
          <w:color w:val="auto"/>
        </w:rPr>
      </w:pPr>
    </w:p>
    <w:p>
      <w:pPr>
        <w:ind w:left="86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ind w:left="860"/>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1" w:lineRule="exact"/>
        <w:rPr>
          <w:sz w:val="24"/>
          <w:szCs w:val="24"/>
          <w:color w:val="auto"/>
        </w:rPr>
      </w:pPr>
    </w:p>
    <w:p>
      <w:pPr>
        <w:ind w:left="860"/>
        <w:spacing w:after="0"/>
        <w:rPr>
          <w:sz w:val="20"/>
          <w:szCs w:val="20"/>
          <w:color w:val="auto"/>
        </w:rPr>
      </w:pPr>
      <w:r>
        <w:rPr>
          <w:rFonts w:ascii="Arial" w:cs="Arial" w:eastAsia="Arial" w:hAnsi="Arial"/>
          <w:sz w:val="14"/>
          <w:szCs w:val="14"/>
          <w:color w:val="auto"/>
        </w:rPr>
        <w:t>​</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120" w:type="dxa"/>
            <w:vAlign w:val="bottom"/>
          </w:tcPr>
          <w:p>
            <w:pPr>
              <w:ind w:left="40"/>
              <w:spacing w:after="0" w:line="143"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320" w:type="dxa"/>
            <w:vAlign w:val="bottom"/>
          </w:tcPr>
          <w:p>
            <w:pPr>
              <w:ind w:left="300"/>
              <w:spacing w:after="0"/>
              <w:rPr>
                <w:sz w:val="20"/>
                <w:szCs w:val="20"/>
                <w:color w:val="auto"/>
              </w:rPr>
            </w:pPr>
            <w:r>
              <w:rPr>
                <w:rFonts w:ascii="Arial" w:cs="Arial" w:eastAsia="Arial" w:hAnsi="Arial"/>
                <w:sz w:val="1"/>
                <w:szCs w:val="1"/>
                <w:color w:val="auto"/>
                <w:w w:val="4294942296"/>
              </w:rPr>
              <w:t>​</w:t>
            </w:r>
          </w:p>
        </w:tc>
      </w:tr>
      <w:tr>
        <w:trPr>
          <w:trHeight w:val="175"/>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1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320" w:type="dxa"/>
            <w:vAlign w:val="bottom"/>
          </w:tcPr>
          <w:p>
            <w:pPr>
              <w:ind w:left="300"/>
              <w:spacing w:after="0"/>
              <w:rPr>
                <w:sz w:val="20"/>
                <w:szCs w:val="20"/>
                <w:color w:val="auto"/>
              </w:rPr>
            </w:pPr>
            <w:r>
              <w:rPr>
                <w:rFonts w:ascii="Arial" w:cs="Arial" w:eastAsia="Arial" w:hAnsi="Arial"/>
                <w:sz w:val="1"/>
                <w:szCs w:val="1"/>
                <w:color w:val="auto"/>
                <w:w w:val="4294942296"/>
              </w:rPr>
              <w:t>​</w:t>
            </w:r>
          </w:p>
        </w:tc>
      </w:tr>
      <w:tr>
        <w:trPr>
          <w:trHeight w:val="226"/>
        </w:trPr>
        <w:tc>
          <w:tcPr>
            <w:tcW w:w="18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120" w:type="dxa"/>
            <w:vAlign w:val="bottom"/>
          </w:tcPr>
          <w:p>
            <w:pPr>
              <w:ind w:left="4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c>
          <w:tcPr>
            <w:tcW w:w="320" w:type="dxa"/>
            <w:vAlign w:val="bottom"/>
          </w:tcPr>
          <w:p>
            <w:pPr>
              <w:ind w:left="300"/>
              <w:spacing w:after="0"/>
              <w:rPr>
                <w:sz w:val="20"/>
                <w:szCs w:val="20"/>
                <w:color w:val="auto"/>
              </w:rPr>
            </w:pPr>
            <w:r>
              <w:rPr>
                <w:rFonts w:ascii="Arial" w:cs="Arial" w:eastAsia="Arial" w:hAnsi="Arial"/>
                <w:sz w:val="1"/>
                <w:szCs w:val="1"/>
                <w:color w:val="auto"/>
                <w:w w:val="4294942296"/>
              </w:rPr>
              <w:t>​</w:t>
            </w:r>
          </w:p>
        </w:tc>
      </w:tr>
    </w:tbl>
    <w:p>
      <w:pPr>
        <w:spacing w:after="0" w:line="139" w:lineRule="exact"/>
        <w:rPr>
          <w:sz w:val="24"/>
          <w:szCs w:val="24"/>
          <w:color w:val="auto"/>
        </w:rPr>
      </w:pPr>
    </w:p>
    <w:p>
      <w:pPr>
        <w:sectPr>
          <w:pgSz w:w="11900" w:h="16838" w:orient="portrait"/>
          <w:cols w:equalWidth="0" w:num="2">
            <w:col w:w="6560" w:space="720"/>
            <w:col w:w="3000"/>
          </w:cols>
          <w:pgMar w:left="580" w:top="239" w:right="1039" w:bottom="1440" w:gutter="0" w:footer="0" w:header="0"/>
          <w:type w:val="continuous"/>
        </w:sectPr>
      </w:pPr>
    </w:p>
    <w:p>
      <w:pPr>
        <w:ind w:left="500" w:right="140" w:firstLine="3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68" w:lineRule="exact"/>
        <w:rPr>
          <w:sz w:val="24"/>
          <w:szCs w:val="24"/>
          <w:color w:val="auto"/>
        </w:rPr>
      </w:pPr>
    </w:p>
    <w:p>
      <w:pPr>
        <w:jc w:val="center"/>
        <w:ind w:right="-459"/>
        <w:spacing w:after="0"/>
        <w:rPr>
          <w:sz w:val="20"/>
          <w:szCs w:val="20"/>
          <w:color w:val="auto"/>
        </w:rPr>
      </w:pPr>
      <w:r>
        <w:rPr>
          <w:rFonts w:ascii="Arial" w:cs="Arial" w:eastAsia="Arial" w:hAnsi="Arial"/>
          <w:sz w:val="14"/>
          <w:szCs w:val="14"/>
          <w:b w:val="1"/>
          <w:bCs w:val="1"/>
          <w:color w:val="auto"/>
        </w:rPr>
        <w:t>STATEMENT PURSUANT TO RULE 429</w:t>
      </w:r>
    </w:p>
    <w:p>
      <w:pPr>
        <w:spacing w:after="0" w:line="25" w:lineRule="exact"/>
        <w:rPr>
          <w:sz w:val="24"/>
          <w:szCs w:val="24"/>
          <w:color w:val="auto"/>
        </w:rPr>
      </w:pPr>
    </w:p>
    <w:p>
      <w:pPr>
        <w:ind w:left="500" w:right="220" w:firstLine="360"/>
        <w:spacing w:after="0" w:line="253" w:lineRule="auto"/>
        <w:rPr>
          <w:sz w:val="20"/>
          <w:szCs w:val="20"/>
          <w:color w:val="auto"/>
        </w:rPr>
      </w:pPr>
      <w:r>
        <w:rPr>
          <w:rFonts w:ascii="Arial" w:cs="Arial" w:eastAsia="Arial" w:hAnsi="Arial"/>
          <w:sz w:val="13"/>
          <w:szCs w:val="13"/>
          <w:color w:val="auto"/>
        </w:rPr>
        <w:t>Pursuant to Rule 429 under the Securities Act, the prospectus that is a part of this registration statement is a combined prospectus that relates to and will be used in connection with: (1) the offer, issuance and sale by Lucid Group, Inc. (the “Company”) of up to $7,400,017,750 in the aggregate of the securities</w:t>
      </w:r>
    </w:p>
    <w:p>
      <w:pPr>
        <w:spacing w:after="0" w:line="1" w:lineRule="exact"/>
        <w:rPr>
          <w:sz w:val="24"/>
          <w:szCs w:val="24"/>
          <w:color w:val="auto"/>
        </w:rPr>
      </w:pPr>
    </w:p>
    <w:p>
      <w:pPr>
        <w:ind w:left="500" w:right="200"/>
        <w:spacing w:after="0" w:line="245" w:lineRule="auto"/>
        <w:rPr>
          <w:sz w:val="20"/>
          <w:szCs w:val="20"/>
          <w:color w:val="auto"/>
        </w:rPr>
      </w:pPr>
      <w:r>
        <w:rPr>
          <w:rFonts w:ascii="Arial" w:cs="Arial" w:eastAsia="Arial" w:hAnsi="Arial"/>
          <w:sz w:val="13"/>
          <w:szCs w:val="13"/>
          <w:color w:val="auto"/>
        </w:rPr>
        <w:t>identified herein from time to time in one or more offerings; (2) the issuance by the Company of an aggregate of up to 44,350,000 shares of Class A common stock, par value $0.0001 per share (“common stock”), consisting of (a) 42,850,000 shares of common stock issuable upon exercise of the Private Placement Warrants (as defined below) and (b) 1,500,000 shares of common stock issuable upon exercise of the Working Capital Warrants (as defined below); and (3) the</w:t>
      </w:r>
    </w:p>
    <w:p>
      <w:pPr>
        <w:spacing w:after="0" w:line="1" w:lineRule="exact"/>
        <w:rPr>
          <w:sz w:val="24"/>
          <w:szCs w:val="24"/>
          <w:color w:val="auto"/>
        </w:rPr>
      </w:pPr>
    </w:p>
    <w:p>
      <w:pPr>
        <w:ind w:left="500" w:right="200"/>
        <w:spacing w:after="0" w:line="245" w:lineRule="auto"/>
        <w:rPr>
          <w:sz w:val="20"/>
          <w:szCs w:val="20"/>
          <w:color w:val="auto"/>
        </w:rPr>
      </w:pPr>
      <w:r>
        <w:rPr>
          <w:rFonts w:ascii="Arial" w:cs="Arial" w:eastAsia="Arial" w:hAnsi="Arial"/>
          <w:sz w:val="13"/>
          <w:szCs w:val="13"/>
          <w:color w:val="auto"/>
        </w:rPr>
        <w:t>offer and resale from time to time by the selling securityholders named herein (the “Selling Securityholders”), or their permitted transferees, of: (a) up to 1,161,947,946 shares of common stock, consisting of (i) 1,076,235,267 shares of common stock, including issued and outstanding shares of common stock, shares of common stock subject to vesting and/or exercise of the assumed Legacy Lucid Awards (as defined below) and shares of common stock issuable upon</w:t>
      </w:r>
    </w:p>
    <w:p>
      <w:pPr>
        <w:spacing w:after="0" w:line="1" w:lineRule="exact"/>
        <w:rPr>
          <w:sz w:val="24"/>
          <w:szCs w:val="24"/>
          <w:color w:val="auto"/>
        </w:rPr>
      </w:pPr>
    </w:p>
    <w:p>
      <w:pPr>
        <w:ind w:left="500" w:right="480"/>
        <w:spacing w:after="0" w:line="237" w:lineRule="auto"/>
        <w:rPr>
          <w:sz w:val="20"/>
          <w:szCs w:val="20"/>
          <w:color w:val="auto"/>
        </w:rPr>
      </w:pPr>
      <w:r>
        <w:rPr>
          <w:rFonts w:ascii="Arial" w:cs="Arial" w:eastAsia="Arial" w:hAnsi="Arial"/>
          <w:sz w:val="14"/>
          <w:szCs w:val="14"/>
          <w:color w:val="auto"/>
        </w:rPr>
        <w:t>exercise of certain Private Placement Warrants and (ii) 85,712,679 shares of common stock issued to Ayar (as defined below) pursuant to the Subscription Agreement (as defined below); and (b) 7,221,921 warrants representing certain Private Placement Warrants.</w:t>
      </w:r>
    </w:p>
    <w:p>
      <w:pPr>
        <w:spacing w:after="0" w:line="1" w:lineRule="exact"/>
        <w:rPr>
          <w:sz w:val="24"/>
          <w:szCs w:val="24"/>
          <w:color w:val="auto"/>
        </w:rPr>
      </w:pPr>
    </w:p>
    <w:p>
      <w:pPr>
        <w:ind w:left="500" w:right="100" w:firstLine="360"/>
        <w:spacing w:after="0" w:line="248" w:lineRule="auto"/>
        <w:rPr>
          <w:sz w:val="20"/>
          <w:szCs w:val="20"/>
          <w:color w:val="auto"/>
        </w:rPr>
      </w:pPr>
      <w:r>
        <w:rPr>
          <w:rFonts w:ascii="Arial" w:cs="Arial" w:eastAsia="Arial" w:hAnsi="Arial"/>
          <w:sz w:val="13"/>
          <w:szCs w:val="13"/>
          <w:color w:val="auto"/>
        </w:rPr>
        <w:t>All of the securities listed in (1), (2), (3)(a)(i), and (3)(b) above were previously registered on the Company’s registration statement on Form S-3 (File No. 333-267147), which was originally declared effective on September 2, 2022, or the Company’s registration statement on Form S -1 (File No. 333-258348), as amended, which was originally declared effective on August 24, 2021 (together, the “Existing Registration Statements”). To the registrant’s knowledge, all of</w:t>
      </w:r>
    </w:p>
    <w:p>
      <w:pPr>
        <w:spacing w:after="0" w:line="1" w:lineRule="exact"/>
        <w:rPr>
          <w:sz w:val="24"/>
          <w:szCs w:val="24"/>
          <w:color w:val="auto"/>
        </w:rPr>
      </w:pPr>
    </w:p>
    <w:p>
      <w:pPr>
        <w:ind w:left="500" w:right="120"/>
        <w:spacing w:after="0" w:line="232" w:lineRule="auto"/>
        <w:rPr>
          <w:sz w:val="20"/>
          <w:szCs w:val="20"/>
          <w:color w:val="auto"/>
        </w:rPr>
      </w:pPr>
      <w:r>
        <w:rPr>
          <w:rFonts w:ascii="Arial" w:cs="Arial" w:eastAsia="Arial" w:hAnsi="Arial"/>
          <w:sz w:val="14"/>
          <w:szCs w:val="14"/>
          <w:color w:val="auto"/>
        </w:rPr>
        <w:t>the securities listed in (3)(a)(i) and 3(b) above have not been sold or otherwise disposed of by the Selling Securityholders. This registration statement shall constitute a post-effective amendment to the Existing Registration Statements, and such post-effective amendment shall hereafter become effective concurrently with the effectiveness of this registration statement and in accordance with Section 8(c) of the Securities Act.</w:t>
      </w:r>
    </w:p>
    <w:p>
      <w:pPr>
        <w:ind w:left="500" w:right="80" w:firstLine="360"/>
        <w:spacing w:after="0" w:line="253"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w:t>
      </w:r>
    </w:p>
    <w:p>
      <w:pPr>
        <w:spacing w:after="0" w:line="1" w:lineRule="exact"/>
        <w:rPr>
          <w:sz w:val="24"/>
          <w:szCs w:val="24"/>
          <w:color w:val="auto"/>
        </w:rPr>
      </w:pPr>
    </w:p>
    <w:p>
      <w:pPr>
        <w:ind w:left="500" w:right="700"/>
        <w:spacing w:after="0" w:line="237" w:lineRule="auto"/>
        <w:rPr>
          <w:sz w:val="20"/>
          <w:szCs w:val="20"/>
          <w:color w:val="auto"/>
        </w:rPr>
      </w:pPr>
      <w:r>
        <w:rPr>
          <w:rFonts w:ascii="Arial" w:cs="Arial" w:eastAsia="Arial" w:hAnsi="Arial"/>
          <w:sz w:val="14"/>
          <w:szCs w:val="14"/>
          <w:color w:val="auto"/>
        </w:rPr>
        <w:t>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25400</wp:posOffset>
            </wp:positionV>
            <wp:extent cx="61893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345" cy="8890"/>
                    </a:xfrm>
                    <a:prstGeom prst="rect">
                      <a:avLst/>
                    </a:prstGeom>
                    <a:noFill/>
                  </pic:spPr>
                </pic:pic>
              </a:graphicData>
            </a:graphic>
          </wp:anchor>
        </w:drawing>
      </w:r>
    </w:p>
    <w:p>
      <w:pPr>
        <w:sectPr>
          <w:pgSz w:w="11900" w:h="16838" w:orient="portrait"/>
          <w:cols w:equalWidth="0" w:num="1">
            <w:col w:w="10280"/>
          </w:cols>
          <w:pgMar w:left="580" w:top="239" w:right="10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ectPr>
          <w:pgSz w:w="11900" w:h="16838" w:orient="portrait"/>
          <w:cols w:equalWidth="0" w:num="1">
            <w:col w:w="10240"/>
          </w:cols>
          <w:pgMar w:left="580" w:top="131" w:right="1079"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440" w:type="dxa"/>
        <w:tblCellMar>
          <w:top w:w="0" w:type="dxa"/>
          <w:left w:w="0" w:type="dxa"/>
          <w:bottom w:w="0" w:type="dxa"/>
          <w:right w:w="0" w:type="dxa"/>
        </w:tblCellMar>
      </w:tblPr>
      <w:tr>
        <w:trPr>
          <w:trHeight w:val="547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Securities and Exchange Commission is effective. This prospectus is not an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or sale is not permitted.</w:t>
            </w:r>
          </w:p>
        </w:tc>
      </w:tr>
      <w:tr>
        <w:trPr>
          <w:trHeight w:val="141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state where the offer</w:t>
            </w:r>
          </w:p>
        </w:tc>
      </w:tr>
      <w:tr>
        <w:trPr>
          <w:trHeight w:val="256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until the registration</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an offer to buy these securities in any</w:t>
            </w:r>
          </w:p>
        </w:tc>
      </w:tr>
      <w:tr>
        <w:trPr>
          <w:trHeight w:val="246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selling securityholders may not sell</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these securities and is not soliciting</w:t>
            </w:r>
          </w:p>
        </w:tc>
      </w:tr>
      <w:tr>
        <w:trPr>
          <w:trHeight w:val="79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We and 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offer to sell</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FC0014"/>
        </w:rPr>
        <w:t>SUBJECT TO COMPLETION DATED MAY 8, 2023</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146050</wp:posOffset>
            </wp:positionV>
            <wp:extent cx="283718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371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$7,400,017,750</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Common Stock</w:t>
      </w:r>
    </w:p>
    <w:p>
      <w:pPr>
        <w:jc w:val="center"/>
        <w:ind w:right="60"/>
        <w:spacing w:after="0" w:line="230" w:lineRule="auto"/>
        <w:rPr>
          <w:sz w:val="20"/>
          <w:szCs w:val="20"/>
          <w:color w:val="auto"/>
        </w:rPr>
      </w:pPr>
      <w:r>
        <w:rPr>
          <w:rFonts w:ascii="Arial" w:cs="Arial" w:eastAsia="Arial" w:hAnsi="Arial"/>
          <w:sz w:val="22"/>
          <w:szCs w:val="22"/>
          <w:b w:val="1"/>
          <w:bCs w:val="1"/>
          <w:color w:val="auto"/>
        </w:rPr>
        <w:t>Preferred Stock</w:t>
      </w:r>
    </w:p>
    <w:p>
      <w:pPr>
        <w:jc w:val="center"/>
        <w:ind w:right="60"/>
        <w:spacing w:after="0" w:line="231" w:lineRule="auto"/>
        <w:rPr>
          <w:sz w:val="20"/>
          <w:szCs w:val="20"/>
          <w:color w:val="auto"/>
        </w:rPr>
      </w:pPr>
      <w:r>
        <w:rPr>
          <w:rFonts w:ascii="Arial" w:cs="Arial" w:eastAsia="Arial" w:hAnsi="Arial"/>
          <w:sz w:val="22"/>
          <w:szCs w:val="22"/>
          <w:b w:val="1"/>
          <w:bCs w:val="1"/>
          <w:color w:val="auto"/>
        </w:rPr>
        <w:t>Depositary Shares</w:t>
      </w:r>
    </w:p>
    <w:p>
      <w:pPr>
        <w:jc w:val="center"/>
        <w:ind w:right="60"/>
        <w:spacing w:after="0" w:line="230" w:lineRule="auto"/>
        <w:rPr>
          <w:sz w:val="20"/>
          <w:szCs w:val="20"/>
          <w:color w:val="auto"/>
        </w:rPr>
      </w:pPr>
      <w:r>
        <w:rPr>
          <w:rFonts w:ascii="Arial" w:cs="Arial" w:eastAsia="Arial" w:hAnsi="Arial"/>
          <w:sz w:val="22"/>
          <w:szCs w:val="22"/>
          <w:b w:val="1"/>
          <w:bCs w:val="1"/>
          <w:color w:val="auto"/>
        </w:rPr>
        <w:t>Debt Securities</w:t>
      </w:r>
    </w:p>
    <w:p>
      <w:pPr>
        <w:jc w:val="center"/>
        <w:ind w:right="60"/>
        <w:spacing w:after="0" w:line="231" w:lineRule="auto"/>
        <w:rPr>
          <w:sz w:val="20"/>
          <w:szCs w:val="20"/>
          <w:color w:val="auto"/>
        </w:rPr>
      </w:pPr>
      <w:r>
        <w:rPr>
          <w:rFonts w:ascii="Arial" w:cs="Arial" w:eastAsia="Arial" w:hAnsi="Arial"/>
          <w:sz w:val="22"/>
          <w:szCs w:val="22"/>
          <w:b w:val="1"/>
          <w:bCs w:val="1"/>
          <w:color w:val="auto"/>
        </w:rPr>
        <w:t>Warrants</w:t>
      </w:r>
    </w:p>
    <w:p>
      <w:pPr>
        <w:jc w:val="center"/>
        <w:ind w:right="60"/>
        <w:spacing w:after="0" w:line="230" w:lineRule="auto"/>
        <w:rPr>
          <w:sz w:val="20"/>
          <w:szCs w:val="20"/>
          <w:color w:val="auto"/>
        </w:rPr>
      </w:pPr>
      <w:r>
        <w:rPr>
          <w:rFonts w:ascii="Arial" w:cs="Arial" w:eastAsia="Arial" w:hAnsi="Arial"/>
          <w:sz w:val="22"/>
          <w:szCs w:val="22"/>
          <w:b w:val="1"/>
          <w:bCs w:val="1"/>
          <w:color w:val="auto"/>
        </w:rPr>
        <w:t>Purchase Contracts</w:t>
      </w:r>
    </w:p>
    <w:p>
      <w:pPr>
        <w:jc w:val="center"/>
        <w:ind w:right="60"/>
        <w:spacing w:after="0" w:line="231" w:lineRule="auto"/>
        <w:rPr>
          <w:sz w:val="20"/>
          <w:szCs w:val="20"/>
          <w:color w:val="auto"/>
        </w:rPr>
      </w:pPr>
      <w:r>
        <w:rPr>
          <w:rFonts w:ascii="Arial" w:cs="Arial" w:eastAsia="Arial" w:hAnsi="Arial"/>
          <w:sz w:val="22"/>
          <w:szCs w:val="22"/>
          <w:b w:val="1"/>
          <w:bCs w:val="1"/>
          <w:color w:val="auto"/>
        </w:rPr>
        <w:t>Units</w:t>
      </w:r>
    </w:p>
    <w:p>
      <w:pPr>
        <w:jc w:val="center"/>
        <w:ind w:right="60"/>
        <w:spacing w:after="0" w:line="230" w:lineRule="auto"/>
        <w:rPr>
          <w:sz w:val="20"/>
          <w:szCs w:val="20"/>
          <w:color w:val="auto"/>
        </w:rPr>
      </w:pPr>
      <w:r>
        <w:rPr>
          <w:rFonts w:ascii="Arial" w:cs="Arial" w:eastAsia="Arial" w:hAnsi="Arial"/>
          <w:sz w:val="22"/>
          <w:szCs w:val="22"/>
          <w:b w:val="1"/>
          <w:bCs w:val="1"/>
          <w:color w:val="auto"/>
        </w:rPr>
        <w:t>Offered by Lucid Group, Inc.</w:t>
      </w:r>
    </w:p>
    <w:p>
      <w:pPr>
        <w:jc w:val="center"/>
        <w:ind w:right="60"/>
        <w:spacing w:after="0" w:line="231" w:lineRule="auto"/>
        <w:rPr>
          <w:sz w:val="20"/>
          <w:szCs w:val="20"/>
          <w:color w:val="auto"/>
        </w:rPr>
      </w:pPr>
      <w:r>
        <w:rPr>
          <w:rFonts w:ascii="Arial" w:cs="Arial" w:eastAsia="Arial" w:hAnsi="Arial"/>
          <w:sz w:val="22"/>
          <w:szCs w:val="22"/>
          <w:b w:val="1"/>
          <w:bCs w:val="1"/>
          <w:color w:val="auto"/>
        </w:rPr>
        <w:t>Up to 44,350,000 Shares of Common Stock</w:t>
      </w:r>
    </w:p>
    <w:p>
      <w:pPr>
        <w:jc w:val="center"/>
        <w:ind w:right="60"/>
        <w:spacing w:after="0" w:line="230" w:lineRule="auto"/>
        <w:rPr>
          <w:sz w:val="20"/>
          <w:szCs w:val="20"/>
          <w:color w:val="auto"/>
        </w:rPr>
      </w:pPr>
      <w:r>
        <w:rPr>
          <w:rFonts w:ascii="Arial" w:cs="Arial" w:eastAsia="Arial" w:hAnsi="Arial"/>
          <w:sz w:val="22"/>
          <w:szCs w:val="22"/>
          <w:b w:val="1"/>
          <w:bCs w:val="1"/>
          <w:color w:val="auto"/>
        </w:rPr>
        <w:t>and</w:t>
      </w:r>
    </w:p>
    <w:p>
      <w:pPr>
        <w:jc w:val="center"/>
        <w:ind w:right="60"/>
        <w:spacing w:after="0" w:line="231" w:lineRule="auto"/>
        <w:rPr>
          <w:sz w:val="20"/>
          <w:szCs w:val="20"/>
          <w:color w:val="auto"/>
        </w:rPr>
      </w:pPr>
      <w:r>
        <w:rPr>
          <w:rFonts w:ascii="Arial" w:cs="Arial" w:eastAsia="Arial" w:hAnsi="Arial"/>
          <w:sz w:val="22"/>
          <w:szCs w:val="22"/>
          <w:b w:val="1"/>
          <w:bCs w:val="1"/>
          <w:color w:val="auto"/>
        </w:rPr>
        <w:t>Up to 1,161,947,946 Shares of Common Stock</w:t>
      </w:r>
    </w:p>
    <w:p>
      <w:pPr>
        <w:jc w:val="center"/>
        <w:ind w:right="60"/>
        <w:spacing w:after="0" w:line="230" w:lineRule="auto"/>
        <w:rPr>
          <w:sz w:val="20"/>
          <w:szCs w:val="20"/>
          <w:color w:val="auto"/>
        </w:rPr>
      </w:pPr>
      <w:r>
        <w:rPr>
          <w:rFonts w:ascii="Arial" w:cs="Arial" w:eastAsia="Arial" w:hAnsi="Arial"/>
          <w:sz w:val="22"/>
          <w:szCs w:val="22"/>
          <w:b w:val="1"/>
          <w:bCs w:val="1"/>
          <w:color w:val="auto"/>
        </w:rPr>
        <w:t>Up to 7,221,921 Warrants to Purchase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Offered by the Selling Securityholders</w:t>
      </w:r>
    </w:p>
    <w:p>
      <w:pPr>
        <w:spacing w:after="0" w:line="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Lucid Group, Inc. may from time to time offer and sell common stock, preferred stock, depositary shares representing</w:t>
      </w:r>
    </w:p>
    <w:p>
      <w:pPr>
        <w:spacing w:after="0" w:line="6" w:lineRule="exact"/>
        <w:rPr>
          <w:sz w:val="20"/>
          <w:szCs w:val="20"/>
          <w:color w:val="auto"/>
        </w:rPr>
      </w:pPr>
    </w:p>
    <w:p>
      <w:pPr>
        <w:ind w:right="140"/>
        <w:spacing w:after="0" w:line="250" w:lineRule="auto"/>
        <w:rPr>
          <w:sz w:val="20"/>
          <w:szCs w:val="20"/>
          <w:color w:val="auto"/>
        </w:rPr>
      </w:pPr>
      <w:r>
        <w:rPr>
          <w:rFonts w:ascii="Arial" w:cs="Arial" w:eastAsia="Arial" w:hAnsi="Arial"/>
          <w:sz w:val="15"/>
          <w:szCs w:val="15"/>
          <w:color w:val="auto"/>
        </w:rPr>
        <w:t>preferred stock, debt securities, warrants, purchase contracts or units in one or more offerings of up to $7,400,017,750 in aggregate offering price. In addition, this prospectus relates to the issuance by us of up to 44,350,000 shares of the Company’s Class A common stock, par value $0.0001 per share (“common stock”), consisting of (a) 42,850,000 shares of common stock</w:t>
      </w:r>
    </w:p>
    <w:p>
      <w:pPr>
        <w:spacing w:after="0" w:line="1"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that are issuable upon exercise of the Private Placement Warrants (as defined below) and (b) 1,500,000 shares of common stock issuable upon exercise of the Working Capital Warrants (as defined below).</w:t>
      </w:r>
    </w:p>
    <w:p>
      <w:pPr>
        <w:spacing w:after="0" w:line="3" w:lineRule="exact"/>
        <w:rPr>
          <w:sz w:val="20"/>
          <w:szCs w:val="20"/>
          <w:color w:val="auto"/>
        </w:rPr>
      </w:pPr>
    </w:p>
    <w:p>
      <w:pPr>
        <w:ind w:firstLine="360"/>
        <w:spacing w:after="0" w:line="246" w:lineRule="auto"/>
        <w:rPr>
          <w:sz w:val="20"/>
          <w:szCs w:val="20"/>
          <w:color w:val="auto"/>
        </w:rPr>
      </w:pPr>
      <w:r>
        <w:rPr>
          <w:rFonts w:ascii="Arial" w:cs="Arial" w:eastAsia="Arial" w:hAnsi="Arial"/>
          <w:sz w:val="16"/>
          <w:szCs w:val="16"/>
          <w:color w:val="auto"/>
        </w:rPr>
        <w:t>The prospectus also relates to the offer and resale from time to time by the selling securityholders named in this prospectus (the “Selling Securityholders”), or their permitted transferees, of (a) up to 1,161,947,946 shares of common stock, consisting of</w:t>
      </w:r>
    </w:p>
    <w:p>
      <w:pPr>
        <w:spacing w:after="0" w:line="1" w:lineRule="exact"/>
        <w:rPr>
          <w:sz w:val="20"/>
          <w:szCs w:val="20"/>
          <w:color w:val="auto"/>
        </w:rPr>
      </w:pPr>
    </w:p>
    <w:p>
      <w:pPr>
        <w:ind w:right="120"/>
        <w:spacing w:after="0" w:line="255" w:lineRule="auto"/>
        <w:tabs>
          <w:tab w:leader="none" w:pos="215" w:val="left"/>
        </w:tabs>
        <w:numPr>
          <w:ilvl w:val="0"/>
          <w:numId w:val="1"/>
        </w:numPr>
        <w:rPr>
          <w:rFonts w:ascii="Arial" w:cs="Arial" w:eastAsia="Arial" w:hAnsi="Arial"/>
          <w:sz w:val="15"/>
          <w:szCs w:val="15"/>
          <w:color w:val="auto"/>
        </w:rPr>
      </w:pPr>
      <w:r>
        <w:rPr>
          <w:rFonts w:ascii="Arial" w:cs="Arial" w:eastAsia="Arial" w:hAnsi="Arial"/>
          <w:sz w:val="15"/>
          <w:szCs w:val="15"/>
          <w:color w:val="auto"/>
        </w:rPr>
        <w:t>1,076,235,267 shares of common stock, including issued and outstanding shares of common stock, shares of common stock subject to vesting and/or exercise of the assumed Legacy Lucid Awards (as defined below) and shares of common stock issuable upon exercise of certain Private Placement Warrants and (ii) 85,712,679 shares of common stock issued to Ayar Third Investment Company (“Ayar”) pursuant to the Subscription Agreement, dated as of November 8, 2022 between the Company and Ayar (the “Subscription Agreement”) and (b) 7,221,921 warrants representing certain Private Placement Warrants.</w:t>
      </w:r>
    </w:p>
    <w:p>
      <w:pPr>
        <w:spacing w:after="0" w:line="1" w:lineRule="exact"/>
        <w:rPr>
          <w:sz w:val="20"/>
          <w:szCs w:val="20"/>
          <w:color w:val="auto"/>
        </w:rPr>
      </w:pPr>
    </w:p>
    <w:p>
      <w:pPr>
        <w:ind w:right="80" w:firstLine="360"/>
        <w:spacing w:after="0" w:line="246" w:lineRule="auto"/>
        <w:rPr>
          <w:sz w:val="20"/>
          <w:szCs w:val="20"/>
          <w:color w:val="auto"/>
        </w:rPr>
      </w:pPr>
      <w:r>
        <w:rPr>
          <w:rFonts w:ascii="Arial" w:cs="Arial" w:eastAsia="Arial" w:hAnsi="Arial"/>
          <w:sz w:val="16"/>
          <w:szCs w:val="16"/>
          <w:color w:val="auto"/>
        </w:rPr>
        <w:t>Our registration of the securities covered by this prospectus does not mean that either we or the Selling Securityholders will issue, offer or sell, as applicable, any of the securities. We and the Selling Securityholders may offer and sell the securities</w:t>
      </w:r>
    </w:p>
    <w:p>
      <w:pPr>
        <w:spacing w:after="0" w:line="1" w:lineRule="exact"/>
        <w:rPr>
          <w:sz w:val="20"/>
          <w:szCs w:val="20"/>
          <w:color w:val="auto"/>
        </w:rPr>
      </w:pPr>
    </w:p>
    <w:p>
      <w:pPr>
        <w:ind w:right="220"/>
        <w:spacing w:after="0" w:line="234" w:lineRule="auto"/>
        <w:rPr>
          <w:sz w:val="20"/>
          <w:szCs w:val="20"/>
          <w:color w:val="auto"/>
        </w:rPr>
      </w:pPr>
      <w:r>
        <w:rPr>
          <w:rFonts w:ascii="Arial" w:cs="Arial" w:eastAsia="Arial" w:hAnsi="Arial"/>
          <w:sz w:val="16"/>
          <w:szCs w:val="16"/>
          <w:color w:val="auto"/>
        </w:rPr>
        <w:t>covered by this prospectus in a number of different ways and at varying prices. The securities may be sold directly to you, through agents, or through underwriters and dealers. If agents, underwriters or dealers are used to sell the securities, we will name them in a prospectus supplement. We provide more information about how we and the Selling Securityholders may sell</w:t>
      </w:r>
    </w:p>
    <w:p>
      <w:pPr>
        <w:spacing w:after="0" w:line="2" w:lineRule="exact"/>
        <w:rPr>
          <w:sz w:val="20"/>
          <w:szCs w:val="20"/>
          <w:color w:val="auto"/>
        </w:rPr>
      </w:pPr>
    </w:p>
    <w:p>
      <w:pPr>
        <w:ind w:right="340"/>
        <w:spacing w:after="0" w:line="234" w:lineRule="auto"/>
        <w:rPr>
          <w:sz w:val="20"/>
          <w:szCs w:val="20"/>
          <w:color w:val="auto"/>
        </w:rPr>
      </w:pPr>
      <w:r>
        <w:rPr>
          <w:rFonts w:ascii="Arial" w:cs="Arial" w:eastAsia="Arial" w:hAnsi="Arial"/>
          <w:sz w:val="16"/>
          <w:szCs w:val="16"/>
          <w:color w:val="auto"/>
        </w:rPr>
        <w:t>the securities in the section entitled “Plan of Distribution.” In addition, certain of the securities being registered hereby are subject to vesting and/or transfer restrictions that may prevent the Selling Securityholders from offering or selling such securities upon the effectiveness of the registration statement of which this prospectus is a part. See “Description of Capital</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Stock” for more information.</w:t>
      </w:r>
    </w:p>
    <w:p>
      <w:pPr>
        <w:spacing w:after="0" w:line="7" w:lineRule="exact"/>
        <w:rPr>
          <w:sz w:val="20"/>
          <w:szCs w:val="20"/>
          <w:color w:val="auto"/>
        </w:rPr>
      </w:pPr>
    </w:p>
    <w:p>
      <w:pPr>
        <w:ind w:right="40" w:firstLine="360"/>
        <w:spacing w:after="0"/>
        <w:rPr>
          <w:sz w:val="20"/>
          <w:szCs w:val="20"/>
          <w:color w:val="auto"/>
        </w:rPr>
      </w:pPr>
      <w:r>
        <w:rPr>
          <w:rFonts w:ascii="Arial" w:cs="Arial" w:eastAsia="Arial" w:hAnsi="Arial"/>
          <w:sz w:val="16"/>
          <w:szCs w:val="16"/>
          <w:color w:val="auto"/>
        </w:rPr>
        <w:t>The Public Investment Fund, the sovereign wealth fund of Saudi Arabia (“PIF”), both directly and indirectly through Ayar, owned approximately 60.5% of our outstanding common stock as of March 31, 2023. As a result, we are a “controlled company” within the meaning of Nasdaq rules and, as a result, qualify for exemptions from certain corporate governance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requirements. Ayar also currently has the ability to nominate five of the nine directors to our Board (as defined below).</w:t>
      </w:r>
    </w:p>
    <w:p>
      <w:pPr>
        <w:spacing w:after="0" w:line="7" w:lineRule="exact"/>
        <w:rPr>
          <w:sz w:val="20"/>
          <w:szCs w:val="20"/>
          <w:color w:val="auto"/>
        </w:rPr>
      </w:pPr>
    </w:p>
    <w:p>
      <w:pPr>
        <w:ind w:right="100" w:firstLine="360"/>
        <w:spacing w:after="0" w:line="253" w:lineRule="auto"/>
        <w:rPr>
          <w:sz w:val="20"/>
          <w:szCs w:val="20"/>
          <w:color w:val="auto"/>
        </w:rPr>
      </w:pPr>
      <w:r>
        <w:rPr>
          <w:rFonts w:ascii="Arial" w:cs="Arial" w:eastAsia="Arial" w:hAnsi="Arial"/>
          <w:sz w:val="15"/>
          <w:szCs w:val="15"/>
          <w:color w:val="auto"/>
        </w:rPr>
        <w:t>We will receive proceeds from the issuance and sale of our common stock, preferred stock, depositary shares representing preferred stock, debt securities, warrants, purchase contracts or units. We will not receive any proceeds from the sale of shares of common stock or warrants by the Selling Securityholders pursuant to this prospectus, except with respect to amounts received by us upon exercise of the warrants to the extent such warrants are exercised for cash. However, we will pay certain</w:t>
      </w:r>
    </w:p>
    <w:p>
      <w:pPr>
        <w:spacing w:after="0" w:line="2" w:lineRule="exact"/>
        <w:rPr>
          <w:sz w:val="20"/>
          <w:szCs w:val="20"/>
          <w:color w:val="auto"/>
        </w:rPr>
      </w:pPr>
    </w:p>
    <w:p>
      <w:pPr>
        <w:ind w:right="900"/>
        <w:spacing w:after="0" w:line="230" w:lineRule="auto"/>
        <w:rPr>
          <w:sz w:val="20"/>
          <w:szCs w:val="20"/>
          <w:color w:val="auto"/>
        </w:rPr>
      </w:pPr>
      <w:r>
        <w:rPr>
          <w:rFonts w:ascii="Arial" w:cs="Arial" w:eastAsia="Arial" w:hAnsi="Arial"/>
          <w:sz w:val="17"/>
          <w:szCs w:val="17"/>
          <w:color w:val="auto"/>
        </w:rPr>
        <w:t>expenses associated with the sale of securities pursuant to this prospectus, as described in the section titled “Plan of Distribution.”</w:t>
      </w:r>
    </w:p>
    <w:p>
      <w:pPr>
        <w:spacing w:after="0" w:line="3" w:lineRule="exact"/>
        <w:rPr>
          <w:sz w:val="20"/>
          <w:szCs w:val="20"/>
          <w:color w:val="auto"/>
        </w:rPr>
      </w:pPr>
    </w:p>
    <w:p>
      <w:pPr>
        <w:ind w:right="320" w:firstLine="360"/>
        <w:spacing w:after="0" w:line="239" w:lineRule="auto"/>
        <w:rPr>
          <w:sz w:val="20"/>
          <w:szCs w:val="20"/>
          <w:color w:val="auto"/>
        </w:rPr>
      </w:pPr>
      <w:r>
        <w:rPr>
          <w:rFonts w:ascii="Arial" w:cs="Arial" w:eastAsia="Arial" w:hAnsi="Arial"/>
          <w:sz w:val="17"/>
          <w:szCs w:val="17"/>
          <w:color w:val="auto"/>
        </w:rPr>
        <w:t>Our common stock is listed on The Nasdaq Stock Market LLC under the symbol “LCID.” On May 5, 2023, the closing price of our common stock was $7.73 per share.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Investing in these securities involves certain risks. You should review carefully the risks and uncertainties described under the</w:t>
      </w:r>
    </w:p>
    <w:p>
      <w:pPr>
        <w:spacing w:after="0" w:line="43" w:lineRule="exact"/>
        <w:rPr>
          <w:sz w:val="20"/>
          <w:szCs w:val="20"/>
          <w:color w:val="auto"/>
        </w:rPr>
      </w:pPr>
    </w:p>
    <w:p>
      <w:pPr>
        <w:jc w:val="both"/>
        <w:ind w:right="200"/>
        <w:spacing w:after="0" w:line="274" w:lineRule="auto"/>
        <w:rPr>
          <w:sz w:val="20"/>
          <w:szCs w:val="20"/>
          <w:color w:val="auto"/>
        </w:rPr>
      </w:pPr>
      <w:r>
        <w:rPr>
          <w:rFonts w:ascii="Arial" w:cs="Arial" w:eastAsia="Arial" w:hAnsi="Arial"/>
          <w:sz w:val="14"/>
          <w:szCs w:val="14"/>
          <w:b w:val="1"/>
          <w:bCs w:val="1"/>
          <w:color w:val="auto"/>
        </w:rPr>
        <w:t xml:space="preserve">heading “Risk Factors” beginning on page </w:t>
      </w:r>
      <w:r>
        <w:rPr>
          <w:rFonts w:ascii="Arial" w:cs="Arial" w:eastAsia="Arial" w:hAnsi="Arial"/>
          <w:sz w:val="14"/>
          <w:szCs w:val="14"/>
          <w:b w:val="1"/>
          <w:bCs w:val="1"/>
          <w:u w:val="single" w:color="auto"/>
          <w:color w:val="0000EE"/>
        </w:rPr>
        <w:t>3</w:t>
      </w:r>
      <w:r>
        <w:rPr>
          <w:rFonts w:ascii="Arial" w:cs="Arial" w:eastAsia="Arial" w:hAnsi="Arial"/>
          <w:sz w:val="14"/>
          <w:szCs w:val="14"/>
          <w:b w:val="1"/>
          <w:bCs w:val="1"/>
          <w:color w:val="auto"/>
        </w:rPr>
        <w:t xml:space="preserve"> of this prospectus, and in our Quarterly Report on Form 10-Q for the quarter ended March 31, 2023, which is incorporated herein by reference, as amended or supplemented from time to time by any risk factors we include in subsequent Annual or Quarterly Reports on Form 10-K or 10-Q, respectively, and incorporated herein by reference.</w:t>
      </w:r>
    </w:p>
    <w:p>
      <w:pPr>
        <w:jc w:val="center"/>
        <w:ind w:right="480"/>
        <w:spacing w:after="0"/>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w:t>
      </w:r>
    </w:p>
    <w:p>
      <w:pPr>
        <w:spacing w:after="0" w:line="32" w:lineRule="exact"/>
        <w:rPr>
          <w:sz w:val="20"/>
          <w:szCs w:val="20"/>
          <w:color w:val="auto"/>
        </w:rPr>
      </w:pPr>
    </w:p>
    <w:p>
      <w:pPr>
        <w:ind w:right="600"/>
        <w:spacing w:after="0" w:line="230" w:lineRule="auto"/>
        <w:rPr>
          <w:sz w:val="20"/>
          <w:szCs w:val="20"/>
          <w:color w:val="auto"/>
        </w:rPr>
      </w:pPr>
      <w:r>
        <w:rPr>
          <w:rFonts w:ascii="Arial" w:cs="Arial" w:eastAsia="Arial" w:hAnsi="Arial"/>
          <w:sz w:val="17"/>
          <w:szCs w:val="17"/>
          <w:b w:val="1"/>
          <w:bCs w:val="1"/>
          <w:color w:val="auto"/>
        </w:rPr>
        <w:t>disapproved these securities, or determined if this prospectus is truthful or complete. Any representation to the contrary is a criminal offense.</w:t>
      </w:r>
    </w:p>
    <w:p>
      <w:pPr>
        <w:spacing w:after="0" w:line="3" w:lineRule="exact"/>
        <w:rPr>
          <w:sz w:val="20"/>
          <w:szCs w:val="20"/>
          <w:color w:val="auto"/>
        </w:rPr>
      </w:pPr>
    </w:p>
    <w:p>
      <w:pPr>
        <w:ind w:left="2820"/>
        <w:spacing w:after="0"/>
        <w:rPr>
          <w:sz w:val="20"/>
          <w:szCs w:val="20"/>
          <w:color w:val="auto"/>
        </w:rPr>
      </w:pPr>
      <w:r>
        <w:rPr>
          <w:rFonts w:ascii="Arial" w:cs="Arial" w:eastAsia="Arial" w:hAnsi="Arial"/>
          <w:sz w:val="17"/>
          <w:szCs w:val="17"/>
          <w:color w:val="auto"/>
        </w:rPr>
        <w:t>The date of this prospectus is 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134620</wp:posOffset>
            </wp:positionV>
            <wp:extent cx="1234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825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182245</wp:posOffset>
            </wp:positionV>
            <wp:extent cx="68065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42545"/>
                    </a:xfrm>
                    <a:prstGeom prst="rect">
                      <a:avLst/>
                    </a:prstGeom>
                    <a:noFill/>
                  </pic:spPr>
                </pic:pic>
              </a:graphicData>
            </a:graphic>
          </wp:anchor>
        </w:drawing>
      </w:r>
    </w:p>
    <w:p>
      <w:pPr>
        <w:sectPr>
          <w:pgSz w:w="11900" w:h="16838" w:orient="portrait"/>
          <w:cols w:equalWidth="0" w:num="2">
            <w:col w:w="740" w:space="400"/>
            <w:col w:w="9100"/>
          </w:cols>
          <w:pgMar w:left="580" w:top="131" w:right="107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192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180340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15240</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About This Prospectus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Frequently Used Terms</w:t>
      </w:r>
    </w:p>
    <w:p>
      <w:pPr>
        <w:spacing w:after="0" w:line="5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Special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Summary</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Use of Proceeds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Debt Securities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Warrants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Purchase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Description of Units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Selling Securityholders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Material United States Federal Income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Legal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Experts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P</w:t>
      </w:r>
      <w:r>
        <w:rPr>
          <w:rFonts w:ascii="Arial" w:cs="Arial" w:eastAsia="Arial" w:hAnsi="Arial"/>
          <w:sz w:val="10"/>
          <w:szCs w:val="10"/>
          <w:b w:val="1"/>
          <w:bCs w:val="1"/>
          <w:color w:val="auto"/>
        </w:rPr>
        <w:t>AGE</w:t>
      </w:r>
      <w:r>
        <w:rPr>
          <w:rFonts w:ascii="Arial" w:cs="Arial" w:eastAsia="Arial" w:hAnsi="Arial"/>
          <w:sz w:val="28"/>
          <w:szCs w:val="28"/>
          <w:b w:val="1"/>
          <w:bCs w:val="1"/>
          <w:color w:val="auto"/>
          <w:vertAlign w:val="subscript"/>
        </w:rPr>
        <w:t>​</w:t>
      </w: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99"/>
              </w:rPr>
              <w:t>ii</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r>
        <w:trPr>
          <w:trHeight w:val="237"/>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140" w:type="dxa"/>
            <w:vAlign w:val="bottom"/>
            <w:tcBorders>
              <w:bottom w:val="single" w:sz="8" w:color="0000EE"/>
            </w:tcBorders>
            <w:gridSpan w:val="2"/>
          </w:tcPr>
          <w:p>
            <w:pPr>
              <w:jc w:val="right"/>
              <w:spacing w:after="0"/>
              <w:rPr>
                <w:sz w:val="20"/>
                <w:szCs w:val="20"/>
                <w:color w:val="auto"/>
              </w:rPr>
            </w:pPr>
            <w:r>
              <w:rPr>
                <w:rFonts w:ascii="Arial" w:cs="Arial" w:eastAsia="Arial" w:hAnsi="Arial"/>
                <w:sz w:val="18"/>
                <w:szCs w:val="18"/>
                <w:color w:val="0000EE"/>
                <w:w w:val="91"/>
              </w:rPr>
              <w:t>iv</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r>
        <w:trPr>
          <w:trHeight w:val="236"/>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20"/>
                <w:szCs w:val="20"/>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88"/>
              </w:rPr>
              <w:t>v</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bl>
    <w:p>
      <w:pPr>
        <w:spacing w:after="0" w:line="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 ​</w:t>
      </w:r>
      <w:r>
        <w:rPr>
          <w:rFonts w:ascii="Arial" w:cs="Arial" w:eastAsia="Arial" w:hAnsi="Arial"/>
          <w:sz w:val="18"/>
          <w:szCs w:val="18"/>
          <w:u w:val="single" w:color="auto"/>
          <w:color w:val="0000EE"/>
        </w:rPr>
        <w:t>viii</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340" w:type="dxa"/>
            <w:vAlign w:val="bottom"/>
          </w:tcPr>
          <w:p>
            <w:pPr>
              <w:spacing w:after="0"/>
              <w:rPr>
                <w:sz w:val="20"/>
                <w:szCs w:val="20"/>
                <w:color w:val="auto"/>
              </w:rPr>
            </w:pPr>
            <w:r>
              <w:rPr>
                <w:rFonts w:ascii="Arial" w:cs="Arial" w:eastAsia="Arial" w:hAnsi="Arial"/>
                <w:sz w:val="18"/>
                <w:szCs w:val="18"/>
                <w:color w:val="auto"/>
              </w:rPr>
              <w:t>​ ​ ​</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1</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 ​ ​</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r>
        <w:trPr>
          <w:trHeight w:val="250"/>
        </w:trPr>
        <w:tc>
          <w:tcPr>
            <w:tcW w:w="340" w:type="dxa"/>
            <w:vAlign w:val="bottom"/>
          </w:tcPr>
          <w:p>
            <w:pPr>
              <w:spacing w:after="0"/>
              <w:rPr>
                <w:sz w:val="20"/>
                <w:szCs w:val="20"/>
                <w:color w:val="auto"/>
              </w:rPr>
            </w:pPr>
            <w:r>
              <w:rPr>
                <w:rFonts w:ascii="Arial" w:cs="Arial" w:eastAsia="Arial" w:hAnsi="Arial"/>
                <w:sz w:val="18"/>
                <w:szCs w:val="18"/>
                <w:color w:val="auto"/>
              </w:rPr>
              <w:t>​ ​ ​</w:t>
            </w: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9</w:t>
            </w:r>
          </w:p>
        </w:tc>
        <w:tc>
          <w:tcPr>
            <w:tcW w:w="80" w:type="dxa"/>
            <w:vAlign w:val="bottom"/>
          </w:tcPr>
          <w:p>
            <w:pPr>
              <w:ind w:left="20"/>
              <w:spacing w:after="0"/>
              <w:rPr>
                <w:sz w:val="20"/>
                <w:szCs w:val="20"/>
                <w:color w:val="auto"/>
              </w:rPr>
            </w:pPr>
            <w:r>
              <w:rPr>
                <w:rFonts w:ascii="Arial" w:cs="Arial" w:eastAsia="Arial" w:hAnsi="Arial"/>
                <w:sz w:val="18"/>
                <w:szCs w:val="18"/>
                <w:b w:val="1"/>
                <w:bCs w:val="1"/>
                <w:color w:val="auto"/>
              </w:rPr>
              <w:t>​</w:t>
            </w: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10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18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26</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27</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29</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30</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38</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44</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u w:val="single" w:color="auto"/>
          <w:color w:val="0000EE"/>
        </w:rPr>
        <w:t>45</w:t>
      </w:r>
      <w:r>
        <w:rPr>
          <w:rFonts w:ascii="Arial" w:cs="Arial" w:eastAsia="Arial" w:hAnsi="Arial"/>
          <w:sz w:val="18"/>
          <w:szCs w:val="18"/>
          <w:color w:val="auto"/>
        </w:rPr>
        <w:t xml:space="preserve"> </w:t>
      </w:r>
      <w:r>
        <w:rPr>
          <w:rFonts w:ascii="Arial" w:cs="Arial" w:eastAsia="Arial" w:hAnsi="Arial"/>
          <w:sz w:val="18"/>
          <w:szCs w:val="18"/>
          <w:b w:val="1"/>
          <w:bCs w:val="1"/>
          <w:color w:val="auto"/>
        </w:rPr>
        <w:t>​</w:t>
      </w:r>
    </w:p>
    <w:p>
      <w:pPr>
        <w:sectPr>
          <w:pgSz w:w="11900" w:h="16838" w:orient="portrait"/>
          <w:cols w:equalWidth="0" w:num="2">
            <w:col w:w="8220" w:space="720"/>
            <w:col w:w="939"/>
          </w:cols>
          <w:pgMar w:left="580" w:top="131"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ABOUT THIS PROSPECTUS</w:t>
      </w:r>
    </w:p>
    <w:p>
      <w:pPr>
        <w:spacing w:after="0" w:line="162" w:lineRule="exact"/>
        <w:rPr>
          <w:sz w:val="20"/>
          <w:szCs w:val="20"/>
          <w:color w:val="auto"/>
        </w:rPr>
      </w:pPr>
    </w:p>
    <w:p>
      <w:pPr>
        <w:ind w:left="1260" w:right="779" w:firstLine="360"/>
        <w:spacing w:after="0" w:line="246"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and the Selling Securityholders may, from time to time, issue, offer and sell, as applicable,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w:t>
      </w:r>
    </w:p>
    <w:p>
      <w:pPr>
        <w:spacing w:after="0" w:line="1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prospectus supplement may also add, update or change information included in this prospectus.</w:t>
      </w:r>
    </w:p>
    <w:p>
      <w:pPr>
        <w:spacing w:after="0" w:line="12" w:lineRule="exact"/>
        <w:rPr>
          <w:sz w:val="20"/>
          <w:szCs w:val="20"/>
          <w:color w:val="auto"/>
        </w:rPr>
      </w:pPr>
    </w:p>
    <w:p>
      <w:pPr>
        <w:ind w:left="1260" w:right="419"/>
        <w:spacing w:after="0" w:line="261" w:lineRule="auto"/>
        <w:rPr>
          <w:sz w:val="20"/>
          <w:szCs w:val="20"/>
          <w:color w:val="auto"/>
        </w:rPr>
      </w:pPr>
      <w:r>
        <w:rPr>
          <w:rFonts w:ascii="Arial" w:cs="Arial" w:eastAsia="Arial" w:hAnsi="Arial"/>
          <w:sz w:val="17"/>
          <w:szCs w:val="17"/>
          <w:color w:val="auto"/>
        </w:rPr>
        <w:t>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w:t>
      </w:r>
    </w:p>
    <w:p>
      <w:pPr>
        <w:spacing w:after="0" w:line="106"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or any accompanying prospectus supplement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or any applicable prospectus supplement.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22"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w:t>
      </w:r>
    </w:p>
    <w:p>
      <w:pPr>
        <w:spacing w:after="0" w:line="20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FAQ: About This Form S-3</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is a Form S-3 registration statement?</w:t>
      </w:r>
    </w:p>
    <w:p>
      <w:pPr>
        <w:spacing w:after="0" w:line="144" w:lineRule="exact"/>
        <w:rPr>
          <w:sz w:val="20"/>
          <w:szCs w:val="20"/>
          <w:color w:val="auto"/>
        </w:rPr>
      </w:pPr>
    </w:p>
    <w:p>
      <w:pPr>
        <w:ind w:left="1260" w:right="519" w:firstLine="360"/>
        <w:spacing w:after="0" w:line="256" w:lineRule="auto"/>
        <w:rPr>
          <w:sz w:val="20"/>
          <w:szCs w:val="20"/>
          <w:color w:val="auto"/>
        </w:rPr>
      </w:pPr>
      <w:r>
        <w:rPr>
          <w:rFonts w:ascii="Arial" w:cs="Arial" w:eastAsia="Arial" w:hAnsi="Arial"/>
          <w:sz w:val="18"/>
          <w:szCs w:val="18"/>
          <w:color w:val="auto"/>
        </w:rPr>
        <w:t>Form S-3 is a simplified and abbreviated form for registering securities with the SEC. In certain cases, domestic companies are eligible to use Form S-3 instead of a longer Form S-1. Filing a Form S-3 offers distinct time and cost savings over filing a Form S-1.</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Why is Lucid filing a new Form S-3?</w:t>
      </w:r>
    </w:p>
    <w:p>
      <w:pPr>
        <w:spacing w:after="0" w:line="158" w:lineRule="exact"/>
        <w:rPr>
          <w:sz w:val="20"/>
          <w:szCs w:val="20"/>
          <w:color w:val="auto"/>
        </w:rPr>
      </w:pPr>
    </w:p>
    <w:p>
      <w:pPr>
        <w:ind w:left="1260" w:right="759" w:firstLine="360"/>
        <w:spacing w:after="0" w:line="278" w:lineRule="auto"/>
        <w:rPr>
          <w:sz w:val="20"/>
          <w:szCs w:val="20"/>
          <w:color w:val="auto"/>
        </w:rPr>
      </w:pPr>
      <w:r>
        <w:rPr>
          <w:rFonts w:ascii="Arial" w:cs="Arial" w:eastAsia="Arial" w:hAnsi="Arial"/>
          <w:sz w:val="17"/>
          <w:szCs w:val="17"/>
          <w:color w:val="auto"/>
        </w:rPr>
        <w:t>In December 2022, Ayar purchased 85,712,679 shares of our common stock from us in a private placement for aggregate gross proceeds to Lucid of $915.0 million. As part of the private placement, we agreed to register such shares within six months of the closing of the private placement.</w:t>
      </w:r>
    </w:p>
    <w:p>
      <w:pPr>
        <w:spacing w:after="0" w:line="90"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as of the date of this registration statement. This registration statement is being filed to register the 85,712,679 shares of common stock purchased by Ayar, as described above. The remainder of the securities listed in this prospectus were previously registered as discussed below.</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Is Lucid offering and selling any new securities?</w:t>
      </w:r>
    </w:p>
    <w:p>
      <w:pPr>
        <w:spacing w:after="0" w:line="158"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Lucid is not offering or selling any new securities under this registration statement. The approximately $7.4 billion of securities that may be offered and sold by Lucid under this registration statement were previously registered on our Form S-3 shelf registration statement (File No. 333-267147), which was initially</w:t>
      </w:r>
    </w:p>
    <w:p>
      <w:pPr>
        <w:sectPr>
          <w:pgSz w:w="11900" w:h="16838" w:orient="portrait"/>
          <w:cols w:equalWidth="0" w:num="1">
            <w:col w:w="9879"/>
          </w:cols>
          <w:pgMar w:left="580" w:top="132" w:right="1440" w:bottom="1440" w:gutter="0" w:footer="0" w:header="0"/>
        </w:sectPr>
      </w:pPr>
    </w:p>
    <w:p>
      <w:pPr>
        <w:spacing w:after="0" w:line="3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declared effective by the SEC on September 2, 2022 (the “2022 S-3”). We are simply combining, for efficiency’s sake, the prospectus which relates to this registration statement with the prospectus that formed a part of our previous registration statement on Form S-3.</w:t>
      </w:r>
    </w:p>
    <w:p>
      <w:pPr>
        <w:spacing w:after="0" w:line="116"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After this registration statement is declared effective by the SEC, we may, from time to time, issue, offer and sell any combination of the securities described in this prospectus in one or more offerings, up to an aggregate offering amount of approximately $7.4 billion, over the three years after the effectiveness of the 2022 S-3. (This amount does not include shares of common stock that we may issue to holders of the Private Placement Warrants and the Working Capital Warrants pursuant to the exercise of those warrants described in this prospectus.) If Lucid decides to raise capital in an offering using this prospectus, Lucid will describe the specific details of that future offering in a prospectus supplement that is filed with the SEC.</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are the other shares of common stock and warrants that are described in this prospectus?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This prospectus is also intended for the resale of up to 1,076,235,267 shares of common stock, including issued and outstanding shares of common stock, shares of common tock subject to vesting and/or exercise of the assumed Legacy Lucid Awards and shares of common stock issuable upon exercise of certain Private Placement Warrants and up to 7,221,921 warrants held by selling securityholders named in the section of this prospectus titled “Selling Securityholders” and referred to herein as the “Selling Securityholders.” These securities were originally registered on our Form S-1 shelf registration statement (File No. 333-258348), which was initially declared effective by the SEC on August 24, 2021 (the “2021 S-1”), and then included in the prospectus of our 2022 S-3. They include shares of common stock that are held by certain of our affiliates that are party to the Investor Rights Agreement, shares of common stock that Lucid sold in the PIPE Investment and certain Private Placement Warrants (including shares issuable thereunder). In addition, this prospectus also covers the issuance of up to 44,350,000 shares of common stock that we may issue to holders of the Private Placement Warrants and the Working Capital Warrants upon the exercise of those warrants.</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u w:val="single" w:color="auto"/>
          <w:color w:val="auto"/>
        </w:rPr>
        <w:t>What happens to the previous registration statements on Form S-1 and Form S-3?</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Once declared effective, this registration statement will act as a post-effective amendment to our 2022 S-3 and 2021 S-1.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2" w:lineRule="exact"/>
        <w:rPr>
          <w:sz w:val="20"/>
          <w:szCs w:val="20"/>
          <w:color w:val="auto"/>
        </w:rPr>
      </w:pPr>
    </w:p>
    <w:p>
      <w:pPr>
        <w:ind w:left="1260" w:right="599" w:firstLine="360"/>
        <w:spacing w:after="0" w:line="279" w:lineRule="auto"/>
        <w:rPr>
          <w:sz w:val="20"/>
          <w:szCs w:val="20"/>
          <w:color w:val="auto"/>
        </w:rPr>
      </w:pPr>
      <w:r>
        <w:rPr>
          <w:rFonts w:ascii="Arial" w:cs="Arial" w:eastAsia="Arial" w:hAnsi="Arial"/>
          <w:sz w:val="17"/>
          <w:szCs w:val="17"/>
          <w:color w:val="auto"/>
        </w:rPr>
        <w:t>The SEC allows us to incorporate by reference information in this document. This means that we can disclose important information to you by referring you to another document filed separately with the SEC. The information incorporated by reference is considered to be part of this document, except for any information that is superseded by information that is included directly in this document.</w:t>
      </w:r>
    </w:p>
    <w:p>
      <w:pPr>
        <w:spacing w:after="0" w:line="104"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We are incorporating by reference the filings listed below and any additional documents that we may file with the SEC pursuant to Section 13(a), 13(c), 14 or 15(d) of the Exchange Act on or after the date hereof and prior to the termination of any offering (other than documents or information deemed to have been furnished and not filed in accordance with SEC rules):</w:t>
      </w:r>
    </w:p>
    <w:p>
      <w:pPr>
        <w:spacing w:after="0" w:line="79" w:lineRule="exact"/>
        <w:rPr>
          <w:sz w:val="20"/>
          <w:szCs w:val="20"/>
          <w:color w:val="auto"/>
        </w:rPr>
      </w:pPr>
    </w:p>
    <w:p>
      <w:pPr>
        <w:ind w:left="1800" w:right="879" w:hanging="180"/>
        <w:spacing w:after="0" w:line="277" w:lineRule="auto"/>
        <w:tabs>
          <w:tab w:leader="none" w:pos="1800" w:val="left"/>
        </w:tabs>
        <w:numPr>
          <w:ilvl w:val="0"/>
          <w:numId w:val="2"/>
        </w:numPr>
        <w:rPr>
          <w:rFonts w:ascii="Arial" w:cs="Arial" w:eastAsia="Arial" w:hAnsi="Arial"/>
          <w:sz w:val="18"/>
          <w:szCs w:val="18"/>
          <w:u w:val="single" w:color="auto"/>
          <w:color w:val="0000EE"/>
        </w:rPr>
      </w:pPr>
      <w:hyperlink r:id="rId30">
        <w:r>
          <w:rPr>
            <w:rFonts w:ascii="Arial" w:cs="Arial" w:eastAsia="Arial" w:hAnsi="Arial"/>
            <w:sz w:val="18"/>
            <w:szCs w:val="18"/>
            <w:u w:val="single" w:color="auto"/>
            <w:color w:val="0000EE"/>
          </w:rPr>
          <w:t>our Annual Report on Form 10-K for the year ended December 31, 2022, filed with the SEC on</w:t>
        </w:r>
      </w:hyperlink>
      <w:r>
        <w:rPr>
          <w:rFonts w:ascii="Arial" w:cs="Arial" w:eastAsia="Arial" w:hAnsi="Arial"/>
          <w:sz w:val="18"/>
          <w:szCs w:val="18"/>
          <w:u w:val="single" w:color="auto"/>
          <w:color w:val="0000EE"/>
        </w:rPr>
        <w:t xml:space="preserve"> </w:t>
      </w:r>
      <w:hyperlink r:id="rId30">
        <w:r>
          <w:rPr>
            <w:rFonts w:ascii="Arial" w:cs="Arial" w:eastAsia="Arial" w:hAnsi="Arial"/>
            <w:sz w:val="18"/>
            <w:szCs w:val="18"/>
            <w:u w:val="single" w:color="auto"/>
            <w:color w:val="0000EE"/>
          </w:rPr>
          <w:t>February 28, 2023;</w:t>
        </w:r>
      </w:hyperlink>
    </w:p>
    <w:p>
      <w:pPr>
        <w:spacing w:after="0" w:line="62" w:lineRule="exact"/>
        <w:rPr>
          <w:rFonts w:ascii="Arial" w:cs="Arial" w:eastAsia="Arial" w:hAnsi="Arial"/>
          <w:sz w:val="18"/>
          <w:szCs w:val="18"/>
          <w:u w:val="single" w:color="auto"/>
          <w:color w:val="0000EE"/>
        </w:rPr>
      </w:pPr>
    </w:p>
    <w:p>
      <w:pPr>
        <w:ind w:left="1800" w:right="779" w:hanging="180"/>
        <w:spacing w:after="0" w:line="277" w:lineRule="auto"/>
        <w:tabs>
          <w:tab w:leader="none" w:pos="1800" w:val="left"/>
        </w:tabs>
        <w:numPr>
          <w:ilvl w:val="0"/>
          <w:numId w:val="2"/>
        </w:numPr>
        <w:rPr>
          <w:rFonts w:ascii="Arial" w:cs="Arial" w:eastAsia="Arial" w:hAnsi="Arial"/>
          <w:sz w:val="18"/>
          <w:szCs w:val="18"/>
          <w:u w:val="single" w:color="auto"/>
          <w:color w:val="0000EE"/>
        </w:rPr>
      </w:pPr>
      <w:hyperlink r:id="rId31">
        <w:r>
          <w:rPr>
            <w:rFonts w:ascii="Arial" w:cs="Arial" w:eastAsia="Arial" w:hAnsi="Arial"/>
            <w:sz w:val="18"/>
            <w:szCs w:val="18"/>
            <w:u w:val="single" w:color="auto"/>
            <w:color w:val="0000EE"/>
          </w:rPr>
          <w:t>our Quarterly Report on Form 10-Q for the quarter ended March 31, 2023, filed with the SEC on</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May 8, 2023;</w:t>
        </w:r>
      </w:hyperlink>
    </w:p>
    <w:p>
      <w:pPr>
        <w:spacing w:after="0" w:line="62" w:lineRule="exact"/>
        <w:rPr>
          <w:rFonts w:ascii="Arial" w:cs="Arial" w:eastAsia="Arial" w:hAnsi="Arial"/>
          <w:sz w:val="18"/>
          <w:szCs w:val="18"/>
          <w:u w:val="single" w:color="auto"/>
          <w:color w:val="0000EE"/>
        </w:rPr>
      </w:pPr>
    </w:p>
    <w:p>
      <w:pPr>
        <w:jc w:val="both"/>
        <w:ind w:left="1800" w:right="499" w:hanging="180"/>
        <w:spacing w:after="0" w:line="263" w:lineRule="auto"/>
        <w:tabs>
          <w:tab w:leader="none" w:pos="1800" w:val="left"/>
        </w:tabs>
        <w:numPr>
          <w:ilvl w:val="0"/>
          <w:numId w:val="2"/>
        </w:numPr>
        <w:rPr>
          <w:rFonts w:ascii="Arial" w:cs="Arial" w:eastAsia="Arial" w:hAnsi="Arial"/>
          <w:sz w:val="18"/>
          <w:szCs w:val="18"/>
          <w:u w:val="single" w:color="auto"/>
          <w:color w:val="0000EE"/>
        </w:rPr>
      </w:pPr>
      <w:hyperlink r:id="rId30">
        <w:r>
          <w:rPr>
            <w:rFonts w:ascii="Arial" w:cs="Arial" w:eastAsia="Arial" w:hAnsi="Arial"/>
            <w:sz w:val="18"/>
            <w:szCs w:val="18"/>
            <w:color w:val="auto"/>
          </w:rPr>
          <w:t xml:space="preserve">information specifically incorporated by reference in our </w:t>
        </w:r>
        <w:r>
          <w:rPr>
            <w:rFonts w:ascii="Arial" w:cs="Arial" w:eastAsia="Arial" w:hAnsi="Arial"/>
            <w:sz w:val="18"/>
            <w:szCs w:val="18"/>
            <w:u w:val="single" w:color="auto"/>
            <w:color w:val="0000EE"/>
          </w:rPr>
          <w:t>Annual Report on Form 10-K for the fiscal</w:t>
        </w:r>
      </w:hyperlink>
      <w:r>
        <w:rPr>
          <w:rFonts w:ascii="Arial" w:cs="Arial" w:eastAsia="Arial" w:hAnsi="Arial"/>
          <w:sz w:val="18"/>
          <w:szCs w:val="18"/>
          <w:color w:val="auto"/>
        </w:rPr>
        <w:t xml:space="preserve"> </w:t>
      </w:r>
      <w:hyperlink r:id="rId32">
        <w:r>
          <w:rPr>
            <w:rFonts w:ascii="Arial" w:cs="Arial" w:eastAsia="Arial" w:hAnsi="Arial"/>
            <w:sz w:val="18"/>
            <w:szCs w:val="18"/>
            <w:u w:val="single" w:color="auto"/>
            <w:color w:val="0000EE"/>
          </w:rPr>
          <w:t>year ended December 31, 2022</w:t>
        </w:r>
        <w:r>
          <w:rPr>
            <w:rFonts w:ascii="Arial" w:cs="Arial" w:eastAsia="Arial" w:hAnsi="Arial"/>
            <w:sz w:val="18"/>
            <w:szCs w:val="18"/>
            <w:color w:val="0000EE"/>
          </w:rPr>
          <w:t xml:space="preserve"> </w:t>
        </w:r>
        <w:r>
          <w:rPr>
            <w:rFonts w:ascii="Arial" w:cs="Arial" w:eastAsia="Arial" w:hAnsi="Arial"/>
            <w:sz w:val="18"/>
            <w:szCs w:val="18"/>
            <w:color w:val="000000"/>
          </w:rPr>
          <w:t>from our</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Definitive Proxy Statement on Schedule 14A filed with the</w:t>
        </w:r>
      </w:hyperlink>
      <w:r>
        <w:rPr>
          <w:rFonts w:ascii="Arial" w:cs="Arial" w:eastAsia="Arial" w:hAnsi="Arial"/>
          <w:sz w:val="18"/>
          <w:szCs w:val="18"/>
          <w:color w:val="0000EE"/>
        </w:rPr>
        <w:t xml:space="preserve"> </w:t>
      </w:r>
      <w:hyperlink r:id="rId32">
        <w:r>
          <w:rPr>
            <w:rFonts w:ascii="Arial" w:cs="Arial" w:eastAsia="Arial" w:hAnsi="Arial"/>
            <w:sz w:val="18"/>
            <w:szCs w:val="18"/>
            <w:u w:val="single" w:color="auto"/>
            <w:color w:val="0000EE"/>
          </w:rPr>
          <w:t>SEC on March 13, 2023;</w:t>
        </w:r>
      </w:hyperlink>
    </w:p>
    <w:p>
      <w:pPr>
        <w:spacing w:after="0" w:line="75" w:lineRule="exact"/>
        <w:rPr>
          <w:rFonts w:ascii="Arial" w:cs="Arial" w:eastAsia="Arial" w:hAnsi="Arial"/>
          <w:sz w:val="18"/>
          <w:szCs w:val="18"/>
          <w:u w:val="single" w:color="auto"/>
          <w:color w:val="0000EE"/>
        </w:rPr>
      </w:pPr>
    </w:p>
    <w:p>
      <w:pPr>
        <w:ind w:left="1800" w:right="719" w:hanging="180"/>
        <w:spacing w:after="0" w:line="263" w:lineRule="auto"/>
        <w:tabs>
          <w:tab w:leader="none" w:pos="1800" w:val="left"/>
        </w:tabs>
        <w:numPr>
          <w:ilvl w:val="0"/>
          <w:numId w:val="2"/>
        </w:numPr>
        <w:rPr>
          <w:rFonts w:ascii="Arial" w:cs="Arial" w:eastAsia="Arial" w:hAnsi="Arial"/>
          <w:sz w:val="18"/>
          <w:szCs w:val="18"/>
          <w:u w:val="single" w:color="auto"/>
          <w:color w:val="0000EE"/>
        </w:rPr>
      </w:pPr>
      <w:r>
        <w:rPr>
          <w:rFonts w:ascii="Arial" w:cs="Arial" w:eastAsia="Arial" w:hAnsi="Arial"/>
          <w:sz w:val="18"/>
          <w:szCs w:val="18"/>
          <w:color w:val="auto"/>
        </w:rPr>
        <w:t xml:space="preserve">our Current Reports on Form 8-K filed with the SEC on </w:t>
      </w:r>
      <w:hyperlink r:id="rId33">
        <w:r>
          <w:rPr>
            <w:rFonts w:ascii="Arial" w:cs="Arial" w:eastAsia="Arial" w:hAnsi="Arial"/>
            <w:sz w:val="18"/>
            <w:szCs w:val="18"/>
            <w:u w:val="single" w:color="auto"/>
            <w:color w:val="0000EE"/>
          </w:rPr>
          <w:t>January 27, 2023</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February 1, 2023</w:t>
        </w:r>
      </w:hyperlink>
      <w:r>
        <w:rPr>
          <w:rFonts w:ascii="Arial" w:cs="Arial" w:eastAsia="Arial" w:hAnsi="Arial"/>
          <w:sz w:val="18"/>
          <w:szCs w:val="18"/>
          <w:color w:val="auto"/>
        </w:rPr>
        <w:t xml:space="preserve">, </w:t>
      </w:r>
      <w:hyperlink r:id="rId35">
        <w:r>
          <w:rPr>
            <w:rFonts w:ascii="Arial" w:cs="Arial" w:eastAsia="Arial" w:hAnsi="Arial"/>
            <w:sz w:val="18"/>
            <w:szCs w:val="18"/>
            <w:u w:val="single" w:color="auto"/>
            <w:color w:val="0000EE"/>
          </w:rPr>
          <w:t>February 6,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February 22,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3,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28, 2023</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25, 2023</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May 2,</w:t>
        </w:r>
      </w:hyperlink>
      <w:r>
        <w:rPr>
          <w:rFonts w:ascii="Arial" w:cs="Arial" w:eastAsia="Arial" w:hAnsi="Arial"/>
          <w:sz w:val="18"/>
          <w:szCs w:val="18"/>
          <w:color w:val="0000EE"/>
        </w:rPr>
        <w:t xml:space="preserve"> </w:t>
      </w:r>
      <w:hyperlink r:id="rId35">
        <w:r>
          <w:rPr>
            <w:rFonts w:ascii="Arial" w:cs="Arial" w:eastAsia="Arial" w:hAnsi="Arial"/>
            <w:sz w:val="18"/>
            <w:szCs w:val="18"/>
            <w:u w:val="single" w:color="auto"/>
            <w:color w:val="0000EE"/>
          </w:rPr>
          <w:t>2023.</w:t>
        </w:r>
      </w:hyperlink>
    </w:p>
    <w:p>
      <w:pPr>
        <w:spacing w:after="0" w:line="75" w:lineRule="exact"/>
        <w:rPr>
          <w:rFonts w:ascii="Arial" w:cs="Arial" w:eastAsia="Arial" w:hAnsi="Arial"/>
          <w:sz w:val="18"/>
          <w:szCs w:val="18"/>
          <w:u w:val="single" w:color="auto"/>
          <w:color w:val="0000EE"/>
        </w:rPr>
      </w:pPr>
    </w:p>
    <w:p>
      <w:pPr>
        <w:ind w:left="1800" w:right="499" w:hanging="180"/>
        <w:spacing w:after="0" w:line="263" w:lineRule="auto"/>
        <w:tabs>
          <w:tab w:leader="none" w:pos="1800" w:val="left"/>
        </w:tabs>
        <w:numPr>
          <w:ilvl w:val="0"/>
          <w:numId w:val="2"/>
        </w:numPr>
        <w:rPr>
          <w:rFonts w:ascii="Arial" w:cs="Arial" w:eastAsia="Arial" w:hAnsi="Arial"/>
          <w:sz w:val="18"/>
          <w:szCs w:val="18"/>
          <w:u w:val="single" w:color="auto"/>
          <w:color w:val="0000EE"/>
        </w:rPr>
      </w:pPr>
      <w:hyperlink r:id="rId36">
        <w:r>
          <w:rPr>
            <w:rFonts w:ascii="Arial" w:cs="Arial" w:eastAsia="Arial" w:hAnsi="Arial"/>
            <w:sz w:val="18"/>
            <w:szCs w:val="18"/>
            <w:u w:val="single" w:color="auto"/>
            <w:color w:val="0000EE"/>
          </w:rPr>
          <w:t>the description of our securities contained in our Registration Statement on Form 8-A (File No. 001-</w:t>
        </w:r>
      </w:hyperlink>
      <w:hyperlink r:id="rId36">
        <w:r>
          <w:rPr>
            <w:rFonts w:ascii="Arial" w:cs="Arial" w:eastAsia="Arial" w:hAnsi="Arial"/>
            <w:sz w:val="18"/>
            <w:szCs w:val="18"/>
            <w:u w:val="single" w:color="auto"/>
            <w:color w:val="0000EE"/>
          </w:rPr>
          <w:t>39408), filed with the SEC on July 23, 2021, including any amendments or reports filed for the</w:t>
        </w:r>
      </w:hyperlink>
      <w:r>
        <w:rPr>
          <w:rFonts w:ascii="Arial" w:cs="Arial" w:eastAsia="Arial" w:hAnsi="Arial"/>
          <w:sz w:val="18"/>
          <w:szCs w:val="18"/>
          <w:u w:val="single" w:color="auto"/>
          <w:color w:val="0000EE"/>
        </w:rPr>
        <w:t xml:space="preserve"> </w:t>
      </w:r>
      <w:hyperlink r:id="rId36">
        <w:r>
          <w:rPr>
            <w:rFonts w:ascii="Arial" w:cs="Arial" w:eastAsia="Arial" w:hAnsi="Arial"/>
            <w:sz w:val="18"/>
            <w:szCs w:val="18"/>
            <w:u w:val="single" w:color="auto"/>
            <w:color w:val="0000EE"/>
          </w:rPr>
          <w:t>purpose of updating such description.</w:t>
        </w:r>
      </w:hyperlink>
    </w:p>
    <w:p>
      <w:pPr>
        <w:spacing w:after="0" w:line="103" w:lineRule="exact"/>
        <w:rPr>
          <w:rFonts w:ascii="Arial" w:cs="Arial" w:eastAsia="Arial" w:hAnsi="Arial"/>
          <w:sz w:val="18"/>
          <w:szCs w:val="18"/>
          <w:u w:val="single" w:color="auto"/>
          <w:color w:val="0000EE"/>
        </w:rPr>
      </w:pPr>
    </w:p>
    <w:p>
      <w:pPr>
        <w:ind w:left="1260" w:right="479" w:firstLine="360"/>
        <w:spacing w:after="0" w:line="296" w:lineRule="auto"/>
        <w:rPr>
          <w:sz w:val="20"/>
          <w:szCs w:val="20"/>
          <w:color w:val="auto"/>
        </w:rPr>
      </w:pPr>
      <w:r>
        <w:rPr>
          <w:rFonts w:ascii="Arial" w:cs="Arial" w:eastAsia="Arial" w:hAnsi="Arial"/>
          <w:sz w:val="16"/>
          <w:szCs w:val="16"/>
          <w:color w:val="auto"/>
        </w:rPr>
        <w:t>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w:t>
      </w:r>
    </w:p>
    <w:p>
      <w:pPr>
        <w:spacing w:after="0" w:line="94" w:lineRule="exact"/>
        <w:rPr>
          <w:rFonts w:ascii="Arial" w:cs="Arial" w:eastAsia="Arial" w:hAnsi="Arial"/>
          <w:sz w:val="18"/>
          <w:szCs w:val="18"/>
          <w:u w:val="single" w:color="auto"/>
          <w:color w:val="0000EE"/>
        </w:rPr>
      </w:pPr>
    </w:p>
    <w:p>
      <w:pPr>
        <w:ind w:left="1260" w:right="519" w:firstLine="360"/>
        <w:spacing w:after="0" w:line="271" w:lineRule="auto"/>
        <w:rPr>
          <w:sz w:val="20"/>
          <w:szCs w:val="20"/>
          <w:color w:val="auto"/>
        </w:rPr>
      </w:pPr>
      <w:r>
        <w:rPr>
          <w:rFonts w:ascii="Arial" w:cs="Arial" w:eastAsia="Arial" w:hAnsi="Arial"/>
          <w:sz w:val="17"/>
          <w:szCs w:val="17"/>
          <w:color w:val="auto"/>
        </w:rPr>
        <w:t>The SEC maintains a website at www.sec.gov, from which you can inspect these documents and other information we have filed electronically with the SEC. You may also request copies of these documents, at no cost to you, by contacting us at Investor Relations at 7373 Gateway Boulevard, Newark, CA 94560, by email: investor@lucidmotors.com, or by telephone: (510) 648-3553. Through our website, we make available, free of charge, our following documents as soon as reasonably practicable after they are electronically filed with, or furnished to, the SEC: Annual Reports on Form 10-K; proxy statements for our annual and special shareholder meetings; Quarterly Reports on Form 10-Q; Current Reports on Form 8-K; Forms 3, 4 and 5 and Schedules 13D; and amendments to those documents.</w:t>
      </w:r>
    </w:p>
    <w:p>
      <w:pPr>
        <w:spacing w:after="0" w:line="111" w:lineRule="exact"/>
        <w:rPr>
          <w:rFonts w:ascii="Arial" w:cs="Arial" w:eastAsia="Arial" w:hAnsi="Arial"/>
          <w:sz w:val="18"/>
          <w:szCs w:val="18"/>
          <w:u w:val="single" w:color="auto"/>
          <w:color w:val="0000EE"/>
        </w:rPr>
      </w:pPr>
    </w:p>
    <w:p>
      <w:pPr>
        <w:ind w:left="1260" w:right="479" w:firstLine="360"/>
        <w:spacing w:after="0" w:line="259" w:lineRule="auto"/>
        <w:rPr>
          <w:sz w:val="20"/>
          <w:szCs w:val="20"/>
          <w:color w:val="auto"/>
        </w:rPr>
      </w:pPr>
      <w:r>
        <w:rPr>
          <w:rFonts w:ascii="Arial" w:cs="Arial" w:eastAsia="Arial" w:hAnsi="Arial"/>
          <w:sz w:val="18"/>
          <w:szCs w:val="18"/>
          <w:color w:val="auto"/>
        </w:rPr>
        <w:t>Exhibits to these documents will not be sent, however, unless those exhibits have been specifically incorporated by reference into this prospectus. The information contained on, or that may be accessed through, our website is not part of, and is not incorporated into, this prospectus or the registration statement of which it forms a part.</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88" w:lineRule="exact"/>
        <w:rPr>
          <w:rFonts w:ascii="Arial" w:cs="Arial" w:eastAsia="Arial" w:hAnsi="Arial"/>
          <w:sz w:val="18"/>
          <w:szCs w:val="18"/>
          <w:u w:val="single" w:color="auto"/>
          <w:color w:val="0000EE"/>
        </w:rPr>
      </w:pPr>
    </w:p>
    <w:p>
      <w:pPr>
        <w:ind w:left="5260"/>
        <w:spacing w:after="0"/>
        <w:rPr>
          <w:sz w:val="20"/>
          <w:szCs w:val="20"/>
          <w:color w:val="auto"/>
        </w:rPr>
      </w:pPr>
      <w:r>
        <w:rPr>
          <w:rFonts w:ascii="Arial" w:cs="Arial" w:eastAsia="Arial" w:hAnsi="Arial"/>
          <w:sz w:val="18"/>
          <w:szCs w:val="18"/>
          <w:color w:val="auto"/>
        </w:rPr>
        <w:t>iv</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FREQUENTLY USED TERMS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“2009 Plan” are to the Atieva, Inc. 2009 Share Plan duly adopted by the board of directors of Legacy Lucid on December 17, 2009;</w:t>
      </w:r>
    </w:p>
    <w:p>
      <w:pPr>
        <w:spacing w:after="0" w:line="103" w:lineRule="exact"/>
        <w:rPr>
          <w:sz w:val="20"/>
          <w:szCs w:val="20"/>
          <w:color w:val="auto"/>
        </w:rPr>
      </w:pPr>
    </w:p>
    <w:p>
      <w:pPr>
        <w:ind w:left="1260" w:right="619" w:firstLine="360"/>
        <w:spacing w:after="0" w:line="261" w:lineRule="auto"/>
        <w:rPr>
          <w:sz w:val="20"/>
          <w:szCs w:val="20"/>
          <w:color w:val="auto"/>
        </w:rPr>
      </w:pPr>
      <w:r>
        <w:rPr>
          <w:rFonts w:ascii="Arial" w:cs="Arial" w:eastAsia="Arial" w:hAnsi="Arial"/>
          <w:sz w:val="18"/>
          <w:szCs w:val="18"/>
          <w:color w:val="auto"/>
        </w:rPr>
        <w:t>“2014 Plan” are to the Atieva, Inc. 2014 Share Plan duly adopted by the board of directors of Legacy Lucid on May 14, 2014;</w:t>
      </w:r>
    </w:p>
    <w:p>
      <w:pPr>
        <w:spacing w:after="0" w:line="103" w:lineRule="exact"/>
        <w:rPr>
          <w:sz w:val="20"/>
          <w:szCs w:val="20"/>
          <w:color w:val="auto"/>
        </w:rPr>
      </w:pPr>
    </w:p>
    <w:p>
      <w:pPr>
        <w:ind w:left="1260" w:right="579" w:firstLine="360"/>
        <w:spacing w:after="0" w:line="256" w:lineRule="auto"/>
        <w:rPr>
          <w:sz w:val="20"/>
          <w:szCs w:val="20"/>
          <w:color w:val="auto"/>
        </w:rPr>
      </w:pPr>
      <w:r>
        <w:rPr>
          <w:rFonts w:ascii="Arial" w:cs="Arial" w:eastAsia="Arial" w:hAnsi="Arial"/>
          <w:sz w:val="18"/>
          <w:szCs w:val="18"/>
          <w:color w:val="auto"/>
        </w:rPr>
        <w:t>“2021 Plan” are to the Atieva, Inc. 2021 Stock Incentive Plan duly adopted by the compensation committee of the board of directors of Legacy Lucid on January 13, 2021 and approved by Legacy Lucid’s shareholders on January 21, 2021;</w:t>
      </w:r>
    </w:p>
    <w:p>
      <w:pPr>
        <w:spacing w:after="0" w:line="10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“2026 Notes” are to the 1.25% Convertible Senior Notes due 2026 issued by us in December 2021;</w:t>
      </w:r>
    </w:p>
    <w:p>
      <w:pPr>
        <w:spacing w:after="0" w:line="169" w:lineRule="exact"/>
        <w:rPr>
          <w:sz w:val="20"/>
          <w:szCs w:val="20"/>
          <w:color w:val="auto"/>
        </w:rPr>
      </w:pPr>
    </w:p>
    <w:p>
      <w:pPr>
        <w:ind w:left="1260" w:right="659" w:firstLine="360"/>
        <w:spacing w:after="0" w:line="249" w:lineRule="auto"/>
        <w:rPr>
          <w:sz w:val="20"/>
          <w:szCs w:val="20"/>
          <w:color w:val="auto"/>
        </w:rPr>
      </w:pPr>
      <w:r>
        <w:rPr>
          <w:rFonts w:ascii="Arial" w:cs="Arial" w:eastAsia="Arial" w:hAnsi="Arial"/>
          <w:sz w:val="18"/>
          <w:szCs w:val="18"/>
          <w:color w:val="auto"/>
        </w:rPr>
        <w:t>“ABL Credit Facility” are to the Credit Agreement, dated as of June 9, 2022, by and among Lucid Group, Inc., as the Borrower Representative, the other Borrowers party thereto from time to time, the Lenders and Issuing Banks from time to time party thereto and Bank of America, N.A., as Administrative Agent;</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“Ayar” are to Ayar Third Investment Company, an affiliate of PIF;</w:t>
      </w:r>
    </w:p>
    <w:p>
      <w:pPr>
        <w:spacing w:after="0" w:line="144"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“Board” is, prior to consummation of the Transactions, to the board of directors of Legacy Lucid, and, following consummation of the Transactions, to the board of directors of Lucid Group;</w:t>
      </w:r>
    </w:p>
    <w:p>
      <w:pPr>
        <w:spacing w:after="0" w:line="76" w:lineRule="exact"/>
        <w:rPr>
          <w:sz w:val="20"/>
          <w:szCs w:val="20"/>
          <w:color w:val="auto"/>
        </w:rPr>
      </w:pPr>
    </w:p>
    <w:p>
      <w:pPr>
        <w:ind w:left="1260" w:right="619" w:firstLine="360"/>
        <w:spacing w:after="0" w:line="256" w:lineRule="auto"/>
        <w:rPr>
          <w:sz w:val="20"/>
          <w:szCs w:val="20"/>
          <w:color w:val="auto"/>
        </w:rPr>
      </w:pPr>
      <w:r>
        <w:rPr>
          <w:rFonts w:ascii="Arial" w:cs="Arial" w:eastAsia="Arial" w:hAnsi="Arial"/>
          <w:sz w:val="18"/>
          <w:szCs w:val="18"/>
          <w:color w:val="auto"/>
        </w:rPr>
        <w:t>“Churchill” or “CCIV” are to Churchill Capital Corp IV, a Delaware corporation and our predecessor company prior to the consummation of the Transactions, which changed its name to Lucid Group, Inc. following the consummation of the Transactions, and its consolidated subsidiaries;</w:t>
      </w:r>
    </w:p>
    <w:p>
      <w:pPr>
        <w:spacing w:after="0" w:line="107" w:lineRule="exact"/>
        <w:rPr>
          <w:sz w:val="20"/>
          <w:szCs w:val="20"/>
          <w:color w:val="auto"/>
        </w:rPr>
      </w:pPr>
    </w:p>
    <w:p>
      <w:pPr>
        <w:ind w:left="1260" w:right="599" w:firstLine="360"/>
        <w:spacing w:after="0" w:line="261" w:lineRule="auto"/>
        <w:rPr>
          <w:sz w:val="20"/>
          <w:szCs w:val="20"/>
          <w:color w:val="auto"/>
        </w:rPr>
      </w:pPr>
      <w:r>
        <w:rPr>
          <w:rFonts w:ascii="Arial" w:cs="Arial" w:eastAsia="Arial" w:hAnsi="Arial"/>
          <w:sz w:val="18"/>
          <w:szCs w:val="18"/>
          <w:color w:val="auto"/>
        </w:rPr>
        <w:t>“Churchill’s Class A common stock” are to Churchill’s Class A common stock, par value $0.0001 per share;</w:t>
      </w:r>
    </w:p>
    <w:p>
      <w:pPr>
        <w:spacing w:after="0" w:line="103"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“Churchill’s Class B common stock” are to Churchill’s Class B common stock, par value $0.0001 per share;</w:t>
      </w:r>
    </w:p>
    <w:p>
      <w:pPr>
        <w:spacing w:after="0" w:line="89" w:lineRule="exact"/>
        <w:rPr>
          <w:sz w:val="20"/>
          <w:szCs w:val="20"/>
          <w:color w:val="auto"/>
        </w:rPr>
      </w:pPr>
    </w:p>
    <w:p>
      <w:pPr>
        <w:ind w:left="1260" w:right="1079" w:firstLine="360"/>
        <w:spacing w:after="0" w:line="291" w:lineRule="auto"/>
        <w:rPr>
          <w:sz w:val="20"/>
          <w:szCs w:val="20"/>
          <w:color w:val="auto"/>
        </w:rPr>
      </w:pPr>
      <w:r>
        <w:rPr>
          <w:rFonts w:ascii="Arial" w:cs="Arial" w:eastAsia="Arial" w:hAnsi="Arial"/>
          <w:sz w:val="17"/>
          <w:szCs w:val="17"/>
          <w:color w:val="auto"/>
        </w:rPr>
        <w:t>“Churchill IPO” are to the initial public offering by Churchill which closed on August 3, 2020; “common stock” are to Lucid Group, Inc.’s Class A common stock par value $0.0001 per share;</w:t>
      </w:r>
    </w:p>
    <w:p>
      <w:pPr>
        <w:spacing w:after="0" w:line="7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are to the consummation of the Transactions;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“Closing Date” are to July 23, 2021, the date on which the Transactions were consummated;</w:t>
      </w:r>
    </w:p>
    <w:p>
      <w:pPr>
        <w:spacing w:after="0" w:line="144"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“current bylaws” are to the Company’s Second Amended and Restated Bylaws in effect as of the date of this prospectus;</w:t>
      </w:r>
    </w:p>
    <w:p>
      <w:pPr>
        <w:spacing w:after="0" w:line="89"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“current certificate of incorporation” are to the Company’s Third Amended and Restated Certificate of Incorporation in effect as of the date of this prospectus;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“DGCL” are to the Delaware General Corporation Law, as amended;</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 are to electric vehicle;</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“Exchange Act” are to the Securities Exchange Act of 1934, as amended;</w:t>
      </w:r>
    </w:p>
    <w:p>
      <w:pPr>
        <w:spacing w:after="0" w:line="158" w:lineRule="exact"/>
        <w:rPr>
          <w:sz w:val="20"/>
          <w:szCs w:val="20"/>
          <w:color w:val="auto"/>
        </w:rPr>
      </w:pPr>
    </w:p>
    <w:p>
      <w:pPr>
        <w:ind w:left="1260" w:right="879" w:firstLine="360"/>
        <w:spacing w:after="0" w:line="249" w:lineRule="auto"/>
        <w:rPr>
          <w:sz w:val="20"/>
          <w:szCs w:val="20"/>
          <w:color w:val="auto"/>
        </w:rPr>
      </w:pPr>
      <w:r>
        <w:rPr>
          <w:rFonts w:ascii="Arial" w:cs="Arial" w:eastAsia="Arial" w:hAnsi="Arial"/>
          <w:sz w:val="18"/>
          <w:szCs w:val="18"/>
          <w:color w:val="auto"/>
        </w:rPr>
        <w:t>“Existing Registration Statements” are to the Company’s registration statement on Form S-3 (File No. 333-267147), which was originally declared effective on September 2, 2022, or the Company’s registration statement on Form S-1 (File No. 333-258348), as amended, which was originally declared effective on August 24, 2021;</w:t>
      </w:r>
    </w:p>
    <w:p>
      <w:pPr>
        <w:spacing w:after="0" w:line="113" w:lineRule="exact"/>
        <w:rPr>
          <w:sz w:val="20"/>
          <w:szCs w:val="20"/>
          <w:color w:val="auto"/>
        </w:rPr>
      </w:pPr>
    </w:p>
    <w:p>
      <w:pPr>
        <w:ind w:left="1260" w:right="439" w:firstLine="360"/>
        <w:spacing w:after="0" w:line="278" w:lineRule="auto"/>
        <w:rPr>
          <w:sz w:val="20"/>
          <w:szCs w:val="20"/>
          <w:color w:val="auto"/>
        </w:rPr>
      </w:pPr>
      <w:r>
        <w:rPr>
          <w:rFonts w:ascii="Arial" w:cs="Arial" w:eastAsia="Arial" w:hAnsi="Arial"/>
          <w:sz w:val="17"/>
          <w:szCs w:val="17"/>
          <w:color w:val="auto"/>
        </w:rPr>
        <w:t>“Incentive Plan” are to the Lucid Group, Inc. Second Amended and Restated 2021 Stock Incentive Plan (including the Lucid Group, Inc. 2021 Employee Stock Purchase Plan, attached thereto), duly adopted by the Board on March 2, 2023 and approved by the Company’s stockholders on April 24, 2023;</w:t>
      </w:r>
    </w:p>
    <w:p>
      <w:pPr>
        <w:sectPr>
          <w:pgSz w:w="11900" w:h="16838" w:orient="portrait"/>
          <w:cols w:equalWidth="0" w:num="1">
            <w:col w:w="9879"/>
          </w:cols>
          <w:pgMar w:left="580" w:top="131" w:right="1440" w:bottom="1440" w:gutter="0" w:footer="0" w:header="0"/>
        </w:sectPr>
      </w:pPr>
    </w:p>
    <w:p>
      <w:pPr>
        <w:spacing w:after="0" w:line="333"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56" w:lineRule="auto"/>
        <w:rPr>
          <w:sz w:val="20"/>
          <w:szCs w:val="20"/>
          <w:color w:val="auto"/>
        </w:rPr>
      </w:pPr>
      <w:r>
        <w:rPr>
          <w:rFonts w:ascii="Arial" w:cs="Arial" w:eastAsia="Arial" w:hAnsi="Arial"/>
          <w:sz w:val="18"/>
          <w:szCs w:val="18"/>
          <w:color w:val="auto"/>
        </w:rPr>
        <w:t>“Investor Rights Agreement” are to the Investor Rights Agreement, dated as of February 22, 2021 and as may be amended from time to time, by and among the Company, the Sponsor, Ayar and certain other parties thereto;</w:t>
      </w:r>
    </w:p>
    <w:p>
      <w:pPr>
        <w:spacing w:after="0" w:line="107" w:lineRule="exact"/>
        <w:rPr>
          <w:sz w:val="20"/>
          <w:szCs w:val="20"/>
          <w:color w:val="auto"/>
        </w:rPr>
      </w:pPr>
    </w:p>
    <w:p>
      <w:pPr>
        <w:ind w:left="1260" w:right="579" w:firstLine="360"/>
        <w:spacing w:after="0" w:line="291" w:lineRule="auto"/>
        <w:rPr>
          <w:sz w:val="20"/>
          <w:szCs w:val="20"/>
          <w:color w:val="auto"/>
        </w:rPr>
      </w:pPr>
      <w:r>
        <w:rPr>
          <w:rFonts w:ascii="Arial" w:cs="Arial" w:eastAsia="Arial" w:hAnsi="Arial"/>
          <w:sz w:val="17"/>
          <w:szCs w:val="17"/>
          <w:color w:val="auto"/>
        </w:rPr>
        <w:t>“Legacy Lucid” or “Atieva” are to Atieva, Inc., d/b/a Lucid Motors, an exempted company incorporated with limited liability under the laws of the Cayman Islands, and its consolidated subsidiaries;</w:t>
      </w:r>
    </w:p>
    <w:p>
      <w:pPr>
        <w:spacing w:after="0" w:line="79" w:lineRule="exact"/>
        <w:rPr>
          <w:sz w:val="20"/>
          <w:szCs w:val="20"/>
          <w:color w:val="auto"/>
        </w:rPr>
      </w:pPr>
    </w:p>
    <w:p>
      <w:pPr>
        <w:ind w:left="1260" w:right="559" w:firstLine="360"/>
        <w:spacing w:after="0" w:line="249" w:lineRule="auto"/>
        <w:rPr>
          <w:sz w:val="20"/>
          <w:szCs w:val="20"/>
          <w:color w:val="auto"/>
        </w:rPr>
      </w:pPr>
      <w:r>
        <w:rPr>
          <w:rFonts w:ascii="Arial" w:cs="Arial" w:eastAsia="Arial" w:hAnsi="Arial"/>
          <w:sz w:val="18"/>
          <w:szCs w:val="18"/>
          <w:color w:val="auto"/>
        </w:rPr>
        <w:t>“Legacy Lucid Awards” are to all issued and outstanding stock options, restricted stock units or other compensatory equity securities in respect of shares of Legacy Lucid outstanding as of immediately prior to the Closing of the Merger, including, without limitation, any Legacy Lucid Options and Legacy Lucid RSUs;</w:t>
      </w:r>
    </w:p>
    <w:p>
      <w:pPr>
        <w:spacing w:after="0" w:line="113" w:lineRule="exact"/>
        <w:rPr>
          <w:sz w:val="20"/>
          <w:szCs w:val="20"/>
          <w:color w:val="auto"/>
        </w:rPr>
      </w:pPr>
    </w:p>
    <w:p>
      <w:pPr>
        <w:ind w:left="1260" w:right="759" w:firstLine="360"/>
        <w:spacing w:after="0" w:line="277" w:lineRule="auto"/>
        <w:rPr>
          <w:sz w:val="20"/>
          <w:szCs w:val="20"/>
          <w:color w:val="auto"/>
        </w:rPr>
      </w:pPr>
      <w:r>
        <w:rPr>
          <w:rFonts w:ascii="Arial" w:cs="Arial" w:eastAsia="Arial" w:hAnsi="Arial"/>
          <w:sz w:val="18"/>
          <w:szCs w:val="18"/>
          <w:color w:val="auto"/>
        </w:rPr>
        <w:t>“Legacy Lucid Common Shares” are to the common shares, par value $0.0001 per share, of Legacy Lucid;</w:t>
      </w:r>
    </w:p>
    <w:p>
      <w:pPr>
        <w:spacing w:after="0" w:line="89"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“Legacy Lucid Options” are to all issued and outstanding options to purchase or otherwise acquire Legacy Lucid Common Shares (whether or not vested) held by any person, including share options granted under any Legacy Lucid Share Plan;</w:t>
      </w:r>
    </w:p>
    <w:p>
      <w:pPr>
        <w:spacing w:after="0" w:line="11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“Legacy Lucid RSUs” are to all issued and outstanding restricted stock unit awards with respect to Legacy Lucid Common Shares outstanding under any Legacy Lucid Share Plan;</w:t>
      </w:r>
    </w:p>
    <w:p>
      <w:pPr>
        <w:spacing w:after="0" w:line="89"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“Legacy Lucid Share Plans” are to the 2009 Plan, the 2014 Plan, the 2021 Plan, in each case as amended from time to time in accordance with their terms;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“Lucid Awards” are to Lucid Options and Lucid RSUs;</w:t>
      </w:r>
    </w:p>
    <w:p>
      <w:pPr>
        <w:spacing w:after="0" w:line="144" w:lineRule="exact"/>
        <w:rPr>
          <w:sz w:val="20"/>
          <w:szCs w:val="20"/>
          <w:color w:val="auto"/>
        </w:rPr>
      </w:pPr>
    </w:p>
    <w:p>
      <w:pPr>
        <w:ind w:left="1260" w:right="699" w:firstLine="360"/>
        <w:spacing w:after="0" w:line="256" w:lineRule="auto"/>
        <w:rPr>
          <w:sz w:val="20"/>
          <w:szCs w:val="20"/>
          <w:color w:val="auto"/>
        </w:rPr>
      </w:pPr>
      <w:r>
        <w:rPr>
          <w:rFonts w:ascii="Arial" w:cs="Arial" w:eastAsia="Arial" w:hAnsi="Arial"/>
          <w:sz w:val="18"/>
          <w:szCs w:val="18"/>
          <w:color w:val="auto"/>
        </w:rPr>
        <w:t>“Lucid Group” are to Lucid Group, Inc., a Delaware corporation, and its consolidated subsidiaries; “Lucid Options” are to all issued and outstanding options of the Company to purchase shares of common stock immediately following the closing of the Merger;</w:t>
      </w:r>
    </w:p>
    <w:p>
      <w:pPr>
        <w:spacing w:after="0" w:line="107" w:lineRule="exact"/>
        <w:rPr>
          <w:sz w:val="20"/>
          <w:szCs w:val="20"/>
          <w:color w:val="auto"/>
        </w:rPr>
      </w:pPr>
    </w:p>
    <w:p>
      <w:pPr>
        <w:ind w:left="1260" w:right="939" w:firstLine="360"/>
        <w:spacing w:after="0" w:line="261" w:lineRule="auto"/>
        <w:rPr>
          <w:sz w:val="20"/>
          <w:szCs w:val="20"/>
          <w:color w:val="auto"/>
        </w:rPr>
      </w:pPr>
      <w:r>
        <w:rPr>
          <w:rFonts w:ascii="Arial" w:cs="Arial" w:eastAsia="Arial" w:hAnsi="Arial"/>
          <w:sz w:val="18"/>
          <w:szCs w:val="18"/>
          <w:color w:val="auto"/>
        </w:rPr>
        <w:t>“Lucid RSUs” are to all issued and outstanding restricted stock unit awards of the Company with respect to shares of common stock immediately following the closing of the Merger;</w:t>
      </w:r>
    </w:p>
    <w:p>
      <w:pPr>
        <w:spacing w:after="0" w:line="103"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“M. Klein and Company” are to M. Klein and Company, LLC, a Delaware limited liability company, and its affiliates;</w:t>
      </w:r>
    </w:p>
    <w:p>
      <w:pPr>
        <w:spacing w:after="0" w:line="89"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8"/>
          <w:szCs w:val="18"/>
          <w:color w:val="auto"/>
        </w:rPr>
        <w:t>“Merger” are to the merger of Merger Sub and Legacy Lucid, with Legacy Lucid surviving such merger as a wholly owned subsidiary of Churchill;</w:t>
      </w:r>
    </w:p>
    <w:p>
      <w:pPr>
        <w:spacing w:after="0" w:line="103"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“Merger Agreement” are to that certain Agreement and Plan of Merger, dated as of February 22, 2021, by and among Churchill, Legacy Lucid and Air Merger Sub, Inc., a Delaware corporation and a direct, wholly- owned subsidiary of Churchill, as the same has been or may be amended, modified, supplemented or waived from time to time;</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“Nasdaq” are to The Nasdaq Stock Market LLC;</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“PIF” are to the Public Investment Fund, the sovereign wealth fund of Saudi Arabia;</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Investment” are to the private placement pursuant to which Churchill entered into PIPE</w:t>
      </w:r>
    </w:p>
    <w:p>
      <w:pPr>
        <w:spacing w:after="0" w:line="23" w:lineRule="exact"/>
        <w:rPr>
          <w:sz w:val="20"/>
          <w:szCs w:val="20"/>
          <w:color w:val="auto"/>
        </w:rPr>
      </w:pPr>
    </w:p>
    <w:p>
      <w:pPr>
        <w:jc w:val="both"/>
        <w:ind w:left="1260" w:right="699"/>
        <w:spacing w:after="0"/>
        <w:rPr>
          <w:sz w:val="20"/>
          <w:szCs w:val="20"/>
          <w:color w:val="auto"/>
        </w:rPr>
      </w:pPr>
      <w:r>
        <w:rPr>
          <w:rFonts w:ascii="Arial" w:cs="Arial" w:eastAsia="Arial" w:hAnsi="Arial"/>
          <w:sz w:val="18"/>
          <w:szCs w:val="18"/>
          <w:color w:val="auto"/>
        </w:rPr>
        <w:t>Subscription Agreements with certain investors pursuant to which Churchill issued and sold to the PIPE Investors $2.5 billion of Churchill’s Class A common stock at a purchase price of $15.00 per share at the closing of the Merger;</w:t>
      </w:r>
    </w:p>
    <w:p>
      <w:pPr>
        <w:spacing w:after="0" w:line="12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“PIPE Investors” are to the investors that participated in the PIPE Investment;</w:t>
      </w:r>
    </w:p>
    <w:p>
      <w:pPr>
        <w:spacing w:after="0" w:line="158"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8"/>
          <w:szCs w:val="18"/>
          <w:color w:val="auto"/>
        </w:rPr>
        <w:t>“PIPE Subscription Agreements” are to the common stock subscription agreements entered into by and among Churchill, and the investors party thereto, in each case, dated as of February 22, 2021 and entered into in connection with the PIPE Investment;</w:t>
      </w:r>
    </w:p>
    <w:p>
      <w:pPr>
        <w:spacing w:after="0" w:line="107"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“Private Placement Warrants” are to the Company’s warrants issued to the Sponsor in a private placement simultaneously with the closing of the Churchill IPO;</w:t>
      </w:r>
    </w:p>
    <w:p>
      <w:pPr>
        <w:spacing w:after="0" w:line="36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“Promissory Note” are to the unsecured promissory note issued by Churchill to the Sponsor in an aggregate principal amount of $1,500,000. The Sponsor has elected to exercise its option to convert the unpaid balance of the Note of $1,500,000 into Working Capital Warrants;</w:t>
      </w:r>
    </w:p>
    <w:p>
      <w:pPr>
        <w:spacing w:after="0" w:line="116"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“Restructuring Plan” are to the Company’s restructuring plan to reduce the Company’s operating expenses that was announced on March 28, 2023;</w:t>
      </w:r>
    </w:p>
    <w:p>
      <w:pPr>
        <w:spacing w:after="0" w:line="103" w:lineRule="exact"/>
        <w:rPr>
          <w:sz w:val="20"/>
          <w:szCs w:val="20"/>
          <w:color w:val="auto"/>
        </w:rPr>
      </w:pPr>
    </w:p>
    <w:p>
      <w:pPr>
        <w:ind w:left="1260" w:right="959" w:firstLine="360"/>
        <w:spacing w:after="0" w:line="277" w:lineRule="auto"/>
        <w:rPr>
          <w:sz w:val="20"/>
          <w:szCs w:val="20"/>
          <w:color w:val="auto"/>
        </w:rPr>
      </w:pPr>
      <w:r>
        <w:rPr>
          <w:rFonts w:ascii="Arial" w:cs="Arial" w:eastAsia="Arial" w:hAnsi="Arial"/>
          <w:sz w:val="18"/>
          <w:szCs w:val="18"/>
          <w:color w:val="auto"/>
        </w:rPr>
        <w:t>“SEC” are to the United States Securities and Exchange Commission; “Securities Act” are to the Securities Act of 1933, as amended;</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“Selling Securityholders” are to the selling securityholders named herein;</w:t>
      </w:r>
    </w:p>
    <w:p>
      <w:pPr>
        <w:spacing w:after="0" w:line="158" w:lineRule="exact"/>
        <w:rPr>
          <w:sz w:val="20"/>
          <w:szCs w:val="20"/>
          <w:color w:val="auto"/>
        </w:rPr>
      </w:pPr>
    </w:p>
    <w:p>
      <w:pPr>
        <w:ind w:left="1260" w:right="639" w:firstLine="360"/>
        <w:spacing w:after="0" w:line="308" w:lineRule="auto"/>
        <w:rPr>
          <w:sz w:val="20"/>
          <w:szCs w:val="20"/>
          <w:color w:val="auto"/>
        </w:rPr>
      </w:pPr>
      <w:r>
        <w:rPr>
          <w:rFonts w:ascii="Arial" w:cs="Arial" w:eastAsia="Arial" w:hAnsi="Arial"/>
          <w:sz w:val="17"/>
          <w:szCs w:val="17"/>
          <w:color w:val="auto"/>
        </w:rPr>
        <w:t>“Sponsor” are to Churchill Sponsor IV LLC, a Delaware limited liability company and an affiliate of M. Klein and Company in which certain of Churchill’s directors and officers hold membership interests;</w:t>
      </w:r>
    </w:p>
    <w:p>
      <w:pPr>
        <w:spacing w:after="0" w:line="79"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“Subscription Agreement” are to the Subscription Agreement, dated November 8, 2022, between the Company and Ayar, pursuant to which Ayar agreed to purchase from the Company shares of the Company’s common stock in one or more private placements through at least March 31, 2023, and pursuant to which in December 2022, the Company issued 85,712,679 shares to Ayar at a weighted average price per share of $10.68, and received aggregate proceeds of $915 million;</w:t>
      </w:r>
    </w:p>
    <w:p>
      <w:pPr>
        <w:spacing w:after="0" w:line="107" w:lineRule="exact"/>
        <w:rPr>
          <w:sz w:val="20"/>
          <w:szCs w:val="20"/>
          <w:color w:val="auto"/>
        </w:rPr>
      </w:pPr>
    </w:p>
    <w:p>
      <w:pPr>
        <w:ind w:left="1260" w:right="859" w:firstLine="360"/>
        <w:spacing w:after="0" w:line="277" w:lineRule="auto"/>
        <w:rPr>
          <w:sz w:val="20"/>
          <w:szCs w:val="20"/>
          <w:color w:val="auto"/>
        </w:rPr>
      </w:pPr>
      <w:r>
        <w:rPr>
          <w:rFonts w:ascii="Arial" w:cs="Arial" w:eastAsia="Arial" w:hAnsi="Arial"/>
          <w:sz w:val="18"/>
          <w:szCs w:val="18"/>
          <w:color w:val="auto"/>
        </w:rPr>
        <w:t>“Transactions” are to the Merger, together with the other transactions contemplated by the Merger Agreement and the related agreements;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“warrants” are to the Private Placement Warrants and the Working Capital Warrants;</w:t>
      </w:r>
    </w:p>
    <w:p>
      <w:pPr>
        <w:spacing w:after="0" w:line="158"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“Warrant Agreement” are to the Warrant Agreement, dated July 29, 2020, entered into in connection with the Churchill IPO by and between Continental Stock Transfer &amp; Trust Company and Churchill; and</w:t>
      </w:r>
    </w:p>
    <w:p>
      <w:pPr>
        <w:spacing w:after="0" w:line="65" w:lineRule="exact"/>
        <w:rPr>
          <w:sz w:val="20"/>
          <w:szCs w:val="20"/>
          <w:color w:val="auto"/>
        </w:rPr>
      </w:pPr>
    </w:p>
    <w:p>
      <w:pPr>
        <w:ind w:left="1260" w:right="539" w:firstLine="360"/>
        <w:spacing w:after="0" w:line="308" w:lineRule="auto"/>
        <w:rPr>
          <w:sz w:val="20"/>
          <w:szCs w:val="20"/>
          <w:color w:val="auto"/>
        </w:rPr>
      </w:pPr>
      <w:r>
        <w:rPr>
          <w:rFonts w:ascii="Arial" w:cs="Arial" w:eastAsia="Arial" w:hAnsi="Arial"/>
          <w:sz w:val="17"/>
          <w:szCs w:val="17"/>
          <w:color w:val="auto"/>
        </w:rPr>
        <w:t>“Working Capital Warrants” are to the Company’s warrants to purchase common stock pursuant to the terms of the Promissory Note, on terms identical to the terms of the Private Placement Warrants.</w:t>
      </w:r>
    </w:p>
    <w:p>
      <w:pPr>
        <w:spacing w:after="0" w:line="79" w:lineRule="exact"/>
        <w:rPr>
          <w:sz w:val="20"/>
          <w:szCs w:val="20"/>
          <w:color w:val="auto"/>
        </w:rPr>
      </w:pPr>
    </w:p>
    <w:p>
      <w:pPr>
        <w:jc w:val="both"/>
        <w:ind w:left="1260" w:right="459" w:firstLine="360"/>
        <w:spacing w:after="0" w:line="259" w:lineRule="auto"/>
        <w:rPr>
          <w:sz w:val="20"/>
          <w:szCs w:val="20"/>
          <w:color w:val="auto"/>
        </w:rPr>
      </w:pPr>
      <w:r>
        <w:rPr>
          <w:rFonts w:ascii="Arial" w:cs="Arial" w:eastAsia="Arial" w:hAnsi="Arial"/>
          <w:sz w:val="18"/>
          <w:szCs w:val="18"/>
          <w:color w:val="auto"/>
        </w:rPr>
        <w:t>Unless the context otherwise requires, all references in this section to “Lucid,” the “Company,” “we,” “us,” “our,” and other similar terms refer to Legacy Lucid and its subsidiaries prior to the consummation of the Transaction, and Lucid Group, Inc., a Delaware corporation, and its subsidiaries after the consummation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This prospectus and the documents incorporated by reference into this prospectus contain statements that express our opinions, expectations, beliefs, plans, objectives, assumptions or projections regarding future events or future results and therefore are, or may be deemed to be, “forward-looking statements” within the meaning of Section 27A of the Securities Act of 1933 (the “Securities Act”), and Section 21E of the Securities and Exchange Act of 1934 (the “Exchange Act”).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They appear in a number of places throughout this prospectus and the documents incorporated by reference into this prospectus and include, but are not limited to, statements regarding our intentions, beliefs or current expectations concerning, among other things, results of operations, financial condition, liquidity, capital expenditures, prospects, growth, production volumes, strategies and the markets in which we operate, including expectations of financial and operational metrics, projections of market opportunity, market share and product sales, expectations and timing related to commercial product launches, future strategies and products, including with respect to energy storage systems and automotive partnerships, technology, manufacturing capabilities and facilities, studio openings, sales channels and strategies, future vehicle programs, expansion and the potential success of our direct-to-consumer strategy, our financial and operating outlook, future market launches and international expansion, including our planned manufacturing facility in Saudi Arabia and related timing and value to us, our expectations regarding the Restructuring Plan, including with respect to timing, costs, and expected benefits, and our needs for additional financing. Such forward-looking statements are based on available current market material and our current expectations, beliefs and forecasts concerning future developments. Factors that may impact such forward-looking statements include:</w:t>
      </w:r>
    </w:p>
    <w:p>
      <w:pPr>
        <w:spacing w:after="0" w:line="74" w:lineRule="exact"/>
        <w:rPr>
          <w:sz w:val="20"/>
          <w:szCs w:val="20"/>
          <w:color w:val="auto"/>
        </w:rPr>
      </w:pPr>
    </w:p>
    <w:p>
      <w:pPr>
        <w:jc w:val="both"/>
        <w:ind w:left="1800" w:right="45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 including government closures of banks and liquidity concerns at other financial institutions, a potential global economic recession or other downturn and the ongoing conflict between Russia and Ukraine;</w:t>
      </w:r>
    </w:p>
    <w:p>
      <w:pPr>
        <w:spacing w:after="0" w:line="70" w:lineRule="exact"/>
        <w:rPr>
          <w:rFonts w:ascii="Arial" w:cs="Arial" w:eastAsia="Arial" w:hAnsi="Arial"/>
          <w:sz w:val="17"/>
          <w:szCs w:val="17"/>
          <w:color w:val="auto"/>
        </w:rPr>
      </w:pPr>
    </w:p>
    <w:p>
      <w:pPr>
        <w:ind w:left="1800" w:right="11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changes in overall demand for our products and services and cancellation of reservations and orders for our vehicles;</w:t>
      </w:r>
    </w:p>
    <w:p>
      <w:pPr>
        <w:spacing w:after="0" w:line="62" w:lineRule="exact"/>
        <w:rPr>
          <w:rFonts w:ascii="Arial" w:cs="Arial" w:eastAsia="Arial" w:hAnsi="Arial"/>
          <w:sz w:val="18"/>
          <w:szCs w:val="18"/>
          <w:color w:val="auto"/>
        </w:rPr>
      </w:pPr>
    </w:p>
    <w:p>
      <w:pPr>
        <w:ind w:left="1800" w:right="999" w:hanging="180"/>
        <w:spacing w:after="0" w:line="286" w:lineRule="auto"/>
        <w:tabs>
          <w:tab w:leader="none" w:pos="18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prices and availability of commodities, our supply chain, logistics, inventory management and quality control, and our ability to complete the tooling of our manufacturing facilities over time and scale production of the Lucid Air and other vehicles;</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uncertainty of our projected financial information;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timing of expected business milestones and commercial product launches;</w:t>
      </w:r>
    </w:p>
    <w:p>
      <w:pPr>
        <w:spacing w:after="0" w:line="130"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the expansion of our manufacturing facility, the construction of new manufacturing facilities and the increase of our production capacity;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expenses and control costs;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future market adoption of our offerings;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and the pace and depth of electric vehicle adoption generally on our future business;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requirements, governmental incentives and fuel and energy prices;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rapidly innovate;</w:t>
      </w:r>
    </w:p>
    <w:p>
      <w:pPr>
        <w:spacing w:after="0" w:line="117"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or maintain partnerships with original equipment manufacturers, vendors and technology providers;</w:t>
      </w:r>
    </w:p>
    <w:p>
      <w:pPr>
        <w:spacing w:after="0" w:line="62" w:lineRule="exact"/>
        <w:rPr>
          <w:rFonts w:ascii="Arial" w:cs="Arial" w:eastAsia="Arial" w:hAnsi="Arial"/>
          <w:sz w:val="18"/>
          <w:szCs w:val="18"/>
          <w:color w:val="auto"/>
        </w:rPr>
      </w:pPr>
    </w:p>
    <w:p>
      <w:pPr>
        <w:ind w:left="1800" w:right="79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recruit and retain key employees, including our chief executive officer and executive team;</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potential vehicle recalls;</w:t>
      </w:r>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8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expand our brand, and capture additional market share, and the risks associated with negative press or reputational harm;</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effectively utilize zero emission vehicle credits and obtain and utilize certain tax and other incentives;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issue equity or equity-linked securities in the future;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interest and principal on our indebtedness;</w:t>
      </w:r>
    </w:p>
    <w:p>
      <w:pPr>
        <w:spacing w:after="0" w:line="117" w:lineRule="exact"/>
        <w:rPr>
          <w:rFonts w:ascii="Arial" w:cs="Arial" w:eastAsia="Arial" w:hAnsi="Arial"/>
          <w:sz w:val="18"/>
          <w:szCs w:val="18"/>
          <w:color w:val="auto"/>
        </w:rPr>
      </w:pPr>
    </w:p>
    <w:p>
      <w:pPr>
        <w:ind w:left="1800" w:right="12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changes to vehicle specifications which may impact performance, pricing, and other expectations;</w:t>
      </w:r>
    </w:p>
    <w:p>
      <w:pPr>
        <w:spacing w:after="0" w:line="62"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potential litigation, government and regulatory proceedings, investigations and inquiries;</w:t>
      </w:r>
    </w:p>
    <w:p>
      <w:pPr>
        <w:spacing w:after="0" w:line="62" w:lineRule="exact"/>
        <w:rPr>
          <w:rFonts w:ascii="Arial" w:cs="Arial" w:eastAsia="Arial" w:hAnsi="Arial"/>
          <w:sz w:val="18"/>
          <w:szCs w:val="18"/>
          <w:color w:val="auto"/>
        </w:rPr>
      </w:pPr>
    </w:p>
    <w:p>
      <w:pPr>
        <w:ind w:left="1800" w:right="419" w:hanging="180"/>
        <w:spacing w:after="0" w:line="254"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the Restructuring Plan, including the risk that the charges and expenditures may be greater than anticipated, the risk that the Restructuring Plan may adversely affect our internal programs and initiatives and our ability to recruit and retain skilled and motivated personnel, the risk that the Restructuring Plan may be distracting to employees and management, the risk that the Restructuring Plan may negatively impact our business operations, reputation, or ability to serve customers, and the risk that the Restructuring Plan may not generate their intended benefits to the extent or as quickly as anticipated;</w:t>
      </w:r>
    </w:p>
    <w:p>
      <w:pPr>
        <w:spacing w:after="0" w:line="86" w:lineRule="exact"/>
        <w:rPr>
          <w:rFonts w:ascii="Arial" w:cs="Arial" w:eastAsia="Arial" w:hAnsi="Arial"/>
          <w:sz w:val="18"/>
          <w:szCs w:val="18"/>
          <w:color w:val="auto"/>
        </w:rPr>
      </w:pPr>
    </w:p>
    <w:p>
      <w:pPr>
        <w:ind w:left="1800" w:right="659" w:hanging="180"/>
        <w:spacing w:after="0" w:line="308" w:lineRule="auto"/>
        <w:tabs>
          <w:tab w:leader="none" w:pos="18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of the global COVID-19 pandemic on our supply chain, projected results of operations, financial performance or other financial metrics, or on any of the foregoing risks; and</w:t>
      </w:r>
    </w:p>
    <w:p>
      <w:pPr>
        <w:spacing w:after="0" w:line="38" w:lineRule="exact"/>
        <w:rPr>
          <w:rFonts w:ascii="Arial" w:cs="Arial" w:eastAsia="Arial" w:hAnsi="Arial"/>
          <w:sz w:val="17"/>
          <w:szCs w:val="17"/>
          <w:color w:val="auto"/>
        </w:rPr>
      </w:pPr>
    </w:p>
    <w:p>
      <w:pPr>
        <w:ind w:left="1800" w:right="135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factors disclosed in this prospectus or our other filings with the SEC, including any accompanying prospectus supplement.</w:t>
      </w:r>
    </w:p>
    <w:p>
      <w:pPr>
        <w:spacing w:after="0" w:line="103"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The forward-looking statements contained in this prospectus and the documents incorporated by reference into this prospectus or any prospectus supplement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prospectus. Should one or more of these risks or uncertainties materialize, or should any of the assumptions prove incorrect, actual results may vary in material respects from those projected in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 forward-looking statements at some point in the future, we do not undertake any obligation to update or revise any forward-looking statements, whether as a result of new information, future events or otherwise, except as may be required under applicable securities laws. The forward-looking statements should not be relied upon as representing our assessments as of any date subsequent to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SUMMARY</w:t>
      </w:r>
    </w:p>
    <w:p>
      <w:pPr>
        <w:spacing w:after="0" w:line="162" w:lineRule="exact"/>
        <w:rPr>
          <w:sz w:val="20"/>
          <w:szCs w:val="20"/>
          <w:color w:val="auto"/>
        </w:rPr>
      </w:pPr>
    </w:p>
    <w:p>
      <w:pPr>
        <w:jc w:val="center"/>
        <w:ind w:right="-660"/>
        <w:spacing w:after="0"/>
        <w:rPr>
          <w:sz w:val="20"/>
          <w:szCs w:val="20"/>
          <w:color w:val="auto"/>
        </w:rPr>
      </w:pPr>
      <w:r>
        <w:rPr>
          <w:rFonts w:ascii="Arial" w:cs="Arial" w:eastAsia="Arial" w:hAnsi="Arial"/>
          <w:sz w:val="18"/>
          <w:szCs w:val="18"/>
          <w:i w:val="1"/>
          <w:iCs w:val="1"/>
          <w:color w:val="auto"/>
        </w:rPr>
        <w:t>This summary highlights selected information and does not contain all of the information that is</w:t>
      </w:r>
    </w:p>
    <w:p>
      <w:pPr>
        <w:spacing w:after="0" w:line="12" w:lineRule="exact"/>
        <w:rPr>
          <w:sz w:val="20"/>
          <w:szCs w:val="20"/>
          <w:color w:val="auto"/>
        </w:rPr>
      </w:pPr>
    </w:p>
    <w:p>
      <w:pPr>
        <w:jc w:val="both"/>
        <w:ind w:left="1280" w:right="539"/>
        <w:spacing w:after="0" w:line="242" w:lineRule="auto"/>
        <w:rPr>
          <w:sz w:val="20"/>
          <w:szCs w:val="20"/>
          <w:color w:val="auto"/>
        </w:rPr>
      </w:pPr>
      <w:r>
        <w:rPr>
          <w:rFonts w:ascii="Arial" w:cs="Arial" w:eastAsia="Arial" w:hAnsi="Arial"/>
          <w:sz w:val="18"/>
          <w:szCs w:val="18"/>
          <w:i w:val="1"/>
          <w:iCs w:val="1"/>
          <w:color w:val="auto"/>
        </w:rPr>
        <w:t>important to you. This summary is qualified in its entirety by the more detailed information included in or incorporated by reference into this prospectus. Before making your investment decision with respect to our securities, you should carefully read this entire prospectus, any applicable prospectus supplement and the documents referred to in “Where You Can Find More Information.”</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Mission</w:t>
      </w:r>
    </w:p>
    <w:p>
      <w:pPr>
        <w:spacing w:after="0" w:line="148" w:lineRule="exact"/>
        <w:rPr>
          <w:sz w:val="20"/>
          <w:szCs w:val="20"/>
          <w:color w:val="auto"/>
        </w:rPr>
      </w:pPr>
    </w:p>
    <w:p>
      <w:pPr>
        <w:ind w:left="1280" w:right="499" w:firstLine="360"/>
        <w:spacing w:after="0" w:line="308" w:lineRule="auto"/>
        <w:rPr>
          <w:sz w:val="20"/>
          <w:szCs w:val="20"/>
          <w:color w:val="auto"/>
        </w:rPr>
      </w:pPr>
      <w:r>
        <w:rPr>
          <w:rFonts w:ascii="Arial" w:cs="Arial" w:eastAsia="Arial" w:hAnsi="Arial"/>
          <w:sz w:val="17"/>
          <w:szCs w:val="17"/>
          <w:color w:val="auto"/>
        </w:rPr>
        <w:t>Lucid’s mission is to inspire the adoption of sustainable energy by creating advanced technologies and the most captivating luxury electric vehicles, centered around the human experience.</w:t>
      </w:r>
    </w:p>
    <w:p>
      <w:pPr>
        <w:spacing w:after="0" w:line="129"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About Lucid</w:t>
      </w:r>
    </w:p>
    <w:p>
      <w:pPr>
        <w:spacing w:after="0" w:line="162" w:lineRule="exact"/>
        <w:rPr>
          <w:sz w:val="20"/>
          <w:szCs w:val="20"/>
          <w:color w:val="auto"/>
        </w:rPr>
      </w:pPr>
    </w:p>
    <w:p>
      <w:pPr>
        <w:ind w:left="1280" w:right="439" w:firstLine="360"/>
        <w:spacing w:after="0" w:line="261" w:lineRule="auto"/>
        <w:rPr>
          <w:sz w:val="20"/>
          <w:szCs w:val="20"/>
          <w:color w:val="auto"/>
        </w:rPr>
      </w:pPr>
      <w:r>
        <w:rPr>
          <w:rFonts w:ascii="Arial" w:cs="Arial" w:eastAsia="Arial" w:hAnsi="Arial"/>
          <w:sz w:val="17"/>
          <w:szCs w:val="17"/>
          <w:color w:val="auto"/>
        </w:rPr>
        <w:t>Lucid is a technology and automotive company that is setting new standards with its advanced luxury electric vehicles, beginning with the Lucid Air. Lucid (i) designs, engineers and builds electric vehicles, EV powertrains and battery systems in-house using our own equipment and factories, (ii) offers a refined customer experience at our own geographically distributed retail and service locations and through direct-to-consumer online and retail sales, and (iii) boasts a strong product roadmap of future vehicle programs and technologies. Our focus on in-house technology innovation, vertical integration, and a “clean-sheet” approach to engineering and design have led to the development of the award-winning Lucid Air.</w:t>
      </w:r>
    </w:p>
    <w:p>
      <w:pPr>
        <w:spacing w:after="0" w:line="105" w:lineRule="exact"/>
        <w:rPr>
          <w:sz w:val="20"/>
          <w:szCs w:val="20"/>
          <w:color w:val="auto"/>
        </w:rPr>
      </w:pPr>
    </w:p>
    <w:p>
      <w:pPr>
        <w:ind w:left="1280" w:right="539" w:firstLine="360"/>
        <w:spacing w:after="0" w:line="258" w:lineRule="auto"/>
        <w:rPr>
          <w:sz w:val="20"/>
          <w:szCs w:val="20"/>
          <w:color w:val="auto"/>
        </w:rPr>
      </w:pPr>
      <w:r>
        <w:rPr>
          <w:rFonts w:ascii="Arial" w:cs="Arial" w:eastAsia="Arial" w:hAnsi="Arial"/>
          <w:sz w:val="17"/>
          <w:szCs w:val="17"/>
          <w:color w:val="auto"/>
        </w:rPr>
        <w:t>The Lucid Air is a luxury electric sedan that redefines both the luxury car segment and the electric vehicle space, with game- changing EPA -estimated range of up to 516 miles on a single charge (depending on vehicle configuration). This range is enabled by an efficient, powerful powertrain that Lucid developed and builds in -house through vertically integrated manufacturing capacity. EPA estimated ranges are provided for vehicles equipped with 19-inch wheels, and actual range will vary dependent on many factors including battery age, driving habits, charging habits, temperatures, accessory use, and other factors. The miniaturization of drivetrain components also enables the Lucid Air’s Space Concept vehicle design and layout, delivering a spacious interior ample cargo space despite a smaller exterior footprint. The highly aerodynamic design of the Lucid Air provides longer range, driving faster miles-per-minute charging and the ability to provide equivalent range with a smaller, lower-cost battery pack.</w:t>
      </w:r>
    </w:p>
    <w:p>
      <w:pPr>
        <w:spacing w:after="0" w:line="113" w:lineRule="exact"/>
        <w:rPr>
          <w:sz w:val="20"/>
          <w:szCs w:val="20"/>
          <w:color w:val="auto"/>
        </w:rPr>
      </w:pPr>
    </w:p>
    <w:p>
      <w:pPr>
        <w:ind w:left="1280" w:right="419" w:firstLine="360"/>
        <w:spacing w:after="0" w:line="269" w:lineRule="auto"/>
        <w:rPr>
          <w:sz w:val="20"/>
          <w:szCs w:val="20"/>
          <w:color w:val="auto"/>
        </w:rPr>
      </w:pPr>
      <w:r>
        <w:rPr>
          <w:rFonts w:ascii="Arial" w:cs="Arial" w:eastAsia="Arial" w:hAnsi="Arial"/>
          <w:sz w:val="17"/>
          <w:szCs w:val="17"/>
          <w:color w:val="auto"/>
        </w:rPr>
        <w:t>The Lucid Air is manufactured at our greenfield electric vehicle manufacturing facility in Casa Grande, Arizona, Advanced Manufacturing Plant-1 (“AMP-1”). Our manufacturing footprint in Casa Grande also includes the Lucid Powertrain Manufacturing Plant-1 (“LPM-1”), located a short distance from AMP-1. By building AMP-1 from a clean slate, we expect to achieve greater operational efficiencies and more consistent production quality than would be possible through outsourced manufacturing or adaptation of an existing facility. An emphasis on vertical integration of manufacturing capabilities provides us the opportunity to improve product margins relative to an outsourced manufacturing arrangement. We expect to diversify our vehicle portfolio and increase production capacity through localization of manufacturing in other geographies. In 2022, we broke ground on Lucid’s new advanced electric vehicle manufacturing facility in Saudi Arabia (“AMP-2”), which we anticipate a capacity of 155,000 units upon completion.</w:t>
      </w:r>
    </w:p>
    <w:p>
      <w:pPr>
        <w:spacing w:after="0" w:line="104" w:lineRule="exact"/>
        <w:rPr>
          <w:sz w:val="20"/>
          <w:szCs w:val="20"/>
          <w:color w:val="auto"/>
        </w:rPr>
      </w:pPr>
    </w:p>
    <w:p>
      <w:pPr>
        <w:ind w:left="1280" w:right="399" w:firstLine="360"/>
        <w:spacing w:after="0" w:line="271" w:lineRule="auto"/>
        <w:rPr>
          <w:sz w:val="20"/>
          <w:szCs w:val="20"/>
          <w:color w:val="auto"/>
        </w:rPr>
      </w:pPr>
      <w:r>
        <w:rPr>
          <w:rFonts w:ascii="Arial" w:cs="Arial" w:eastAsia="Arial" w:hAnsi="Arial"/>
          <w:sz w:val="17"/>
          <w:szCs w:val="17"/>
          <w:color w:val="auto"/>
        </w:rPr>
        <w:t>We began delivering the Lucid Air to customers in October 2021, and have now grown the Lucid Air model line to multiple trim and powertrain variants spanning a range of price points. The Lucid Air Sapphire, our highest performance Air, was announced in August 2022 and is expected to reach customers in 2023. We expect to launch additional vehicles over the coming decade. We have already commenced design and engineering work for the Lucid Gravity, a luxury sports utility vehicle (“SUV”) that is expected to leverage and advance the technological innovations from the Lucid Air. After the Lucid Air and the Lucid Gravity SUV, we plan to leverage and expand our technological and manufacturing advancements to develop and manufacture vehicles in progressively higher-volume segments.</w:t>
      </w:r>
    </w:p>
    <w:p>
      <w:pPr>
        <w:spacing w:after="0" w:line="17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Lucid Group, Inc. is a Delaware corporation. Our principal executive offices are located at</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7373 Gateway Blvd. Newark, CA 94560 and our telephone number at that address is (510) 648-3553. Our</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312420</wp:posOffset>
            </wp:positionV>
            <wp:extent cx="5516245" cy="79590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80" w:right="539"/>
        <w:spacing w:after="0" w:line="259" w:lineRule="auto"/>
        <w:rPr>
          <w:sz w:val="20"/>
          <w:szCs w:val="20"/>
          <w:color w:val="auto"/>
        </w:rPr>
      </w:pPr>
      <w:r>
        <w:rPr>
          <w:rFonts w:ascii="Arial" w:cs="Arial" w:eastAsia="Arial" w:hAnsi="Arial"/>
          <w:sz w:val="18"/>
          <w:szCs w:val="18"/>
          <w:color w:val="auto"/>
        </w:rPr>
        <w:t>website is located at https://www.lucidmotors.com. We do not incorporate the information contained on, or accessible through, our corporate website into this prospectus, and you should not consider it part of this prospectus. We have included our website address only as an inactive textual reference and do not intend it to be an active link to our website.</w:t>
      </w:r>
    </w:p>
    <w:p>
      <w:pPr>
        <w:spacing w:after="0" w:line="183"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Controlled Company Exemption</w:t>
      </w:r>
    </w:p>
    <w:p>
      <w:pPr>
        <w:spacing w:after="0" w:line="162" w:lineRule="exact"/>
        <w:rPr>
          <w:sz w:val="20"/>
          <w:szCs w:val="20"/>
          <w:color w:val="auto"/>
        </w:rPr>
      </w:pPr>
    </w:p>
    <w:p>
      <w:pPr>
        <w:ind w:left="1280" w:right="399" w:firstLine="360"/>
        <w:spacing w:after="0" w:line="275" w:lineRule="auto"/>
        <w:rPr>
          <w:sz w:val="20"/>
          <w:szCs w:val="20"/>
          <w:color w:val="auto"/>
        </w:rPr>
      </w:pPr>
      <w:r>
        <w:rPr>
          <w:rFonts w:ascii="Arial" w:cs="Arial" w:eastAsia="Arial" w:hAnsi="Arial"/>
          <w:sz w:val="17"/>
          <w:szCs w:val="17"/>
          <w:color w:val="auto"/>
        </w:rPr>
        <w:t>As of March 31, 2023, PIF, both directly and indirectly through Ayar, owned approximately 60.5% of our outstanding shares of common stock. As a result, we are a “controlled company” within the meaning of Nasdaq rules and, as a result, qualify for exemptions from certain corporate governance requirements. Our stockholders do not have the same protections afforded to stockholders of companies that are subject to such requirements. Ayar also currently has the ability to nominate five of the nine directors to our Board.</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i w:val="1"/>
          <w:iCs w:val="1"/>
          <w:color w:val="auto"/>
        </w:rPr>
        <w:t>An investment in our securities involves a high degree of risk. Before making an investment decision, you should carefully consider the following risk factors, in addition to the risks and uncertainties discussed above under “Special Note Regarding Forward -Looking Statements,” together with the risk factors described in our most recent Annual Report on Form 10-K and Quarterly Report on Form 10 -Q filed with the SEC and any subsequent Annual Report on Form 10-K, Quarterly Reports on Form 10-Q and Current Reports on Form 8-K that we file with the SEC after the date of this prospectus, as well as the other information contained or incorporated by reference in this prospectus, and any applicable prospectus supplement, in light of your particular investment objectives and financial circumstances. The occurrence of one or more of the events or circumstances described in such risk factors, alone or in combination with other events or circumstances, may have an adverse effect on our business, cash flows, financial condition and results of operations. We may face additional risks and uncertainties that are not presently known to us that we currently deem immaterial, which may also impair our business or financial condition.</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Risks Related to Our Common Stock and Warrants</w:t>
      </w:r>
    </w:p>
    <w:p>
      <w:pPr>
        <w:spacing w:after="0" w:line="229" w:lineRule="exact"/>
        <w:rPr>
          <w:sz w:val="20"/>
          <w:szCs w:val="20"/>
          <w:color w:val="auto"/>
        </w:rPr>
      </w:pPr>
    </w:p>
    <w:p>
      <w:pPr>
        <w:ind w:left="1260" w:right="699"/>
        <w:spacing w:after="0" w:line="256" w:lineRule="auto"/>
        <w:rPr>
          <w:sz w:val="20"/>
          <w:szCs w:val="20"/>
          <w:color w:val="auto"/>
        </w:rPr>
      </w:pPr>
      <w:r>
        <w:rPr>
          <w:rFonts w:ascii="Arial" w:cs="Arial" w:eastAsia="Arial" w:hAnsi="Arial"/>
          <w:sz w:val="18"/>
          <w:szCs w:val="18"/>
          <w:b w:val="1"/>
          <w:bCs w:val="1"/>
          <w:i w:val="1"/>
          <w:iCs w:val="1"/>
          <w:color w:val="auto"/>
        </w:rPr>
        <w:t>There is no public market for the Private Placement Warrants and the Working Capital Warrants and we cannot guarantee that an active and liquid public market for the Private Placement Warrants and the Working Capital Warrants will develop.</w:t>
      </w:r>
    </w:p>
    <w:p>
      <w:pPr>
        <w:spacing w:after="0" w:line="107" w:lineRule="exact"/>
        <w:rPr>
          <w:sz w:val="20"/>
          <w:szCs w:val="20"/>
          <w:color w:val="auto"/>
        </w:rPr>
      </w:pPr>
    </w:p>
    <w:p>
      <w:pPr>
        <w:ind w:left="1260" w:right="699" w:firstLine="360"/>
        <w:spacing w:after="0" w:line="248" w:lineRule="auto"/>
        <w:rPr>
          <w:sz w:val="20"/>
          <w:szCs w:val="20"/>
          <w:color w:val="auto"/>
        </w:rPr>
      </w:pPr>
      <w:r>
        <w:rPr>
          <w:rFonts w:ascii="Arial" w:cs="Arial" w:eastAsia="Arial" w:hAnsi="Arial"/>
          <w:sz w:val="18"/>
          <w:szCs w:val="18"/>
          <w:color w:val="auto"/>
        </w:rPr>
        <w:t>Our warrants are not listed on an exchange. A liquid trading market for our warrants may never develop, or if developed, it may not be sustained. In the absence of a liquid public trading market for our warrants:</w:t>
      </w:r>
    </w:p>
    <w:p>
      <w:pPr>
        <w:spacing w:after="0" w:line="74" w:lineRule="exact"/>
        <w:rPr>
          <w:sz w:val="20"/>
          <w:szCs w:val="20"/>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not be able to liquidate your investment in our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not be able to resell your warrants at favorable prices, or at all;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warrants may experience significant price volatility; and</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may be less efficiency in carrying out your purchase and sale orders.</w:t>
      </w:r>
    </w:p>
    <w:p>
      <w:pPr>
        <w:spacing w:after="0" w:line="225" w:lineRule="exact"/>
        <w:rPr>
          <w:sz w:val="20"/>
          <w:szCs w:val="20"/>
          <w:color w:val="auto"/>
        </w:rPr>
      </w:pPr>
    </w:p>
    <w:p>
      <w:pPr>
        <w:ind w:left="1260" w:right="459"/>
        <w:spacing w:after="0" w:line="277" w:lineRule="auto"/>
        <w:rPr>
          <w:sz w:val="20"/>
          <w:szCs w:val="20"/>
          <w:color w:val="auto"/>
        </w:rPr>
      </w:pPr>
      <w:r>
        <w:rPr>
          <w:rFonts w:ascii="Arial" w:cs="Arial" w:eastAsia="Arial" w:hAnsi="Arial"/>
          <w:sz w:val="18"/>
          <w:szCs w:val="18"/>
          <w:b w:val="1"/>
          <w:bCs w:val="1"/>
          <w:i w:val="1"/>
          <w:iCs w:val="1"/>
          <w:color w:val="auto"/>
        </w:rPr>
        <w:t>The price of our common stock is volatile, and this volatility may negatively impact the market price of our common stock and the trading price of the 2026 Notes.</w:t>
      </w:r>
    </w:p>
    <w:p>
      <w:pPr>
        <w:spacing w:after="0" w:line="89"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trading price of our common stock has fluctuated substantially. The trading price of our securities depends on many factors, including those described elsewhere in this “Risk Factors” section, many of which are beyond our control and may not be related to our operating performance. These fluctuations could cause investors to lose all or part of the investment in our securities since investors might be unable to sell them at or above the price the investor paid for them.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1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117" w:lineRule="exact"/>
        <w:rPr>
          <w:sz w:val="20"/>
          <w:szCs w:val="20"/>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market conditions in the broader stock market in general, or in our industry in particular;</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or operating results or the quarterly financial or operating results of companies perceived to be similar to ours;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2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public’s reaction to the number of unit reservations, financial projections and any other guidance or metrics that we may publicly disclose from time to time;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ectPr>
          <w:pgSz w:w="11900" w:h="16838" w:orient="portrait"/>
          <w:cols w:equalWidth="0" w:num="1">
            <w:col w:w="9879"/>
          </w:cols>
          <w:pgMar w:left="580" w:top="132" w:right="1440" w:bottom="1440" w:gutter="0" w:footer="0" w:header="0"/>
        </w:sectPr>
      </w:pP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295910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3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62" w:lineRule="exact"/>
        <w:rPr>
          <w:rFonts w:ascii="Arial" w:cs="Arial" w:eastAsia="Arial" w:hAnsi="Arial"/>
          <w:sz w:val="18"/>
          <w:szCs w:val="18"/>
          <w:color w:val="auto"/>
        </w:rPr>
      </w:pPr>
    </w:p>
    <w:p>
      <w:pPr>
        <w:ind w:left="1800" w:right="6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achievement of objectives under our business plan and the timing and amount of costs we incur in connection therewith;</w:t>
      </w:r>
    </w:p>
    <w:p>
      <w:pPr>
        <w:spacing w:after="0" w:line="62" w:lineRule="exact"/>
        <w:rPr>
          <w:rFonts w:ascii="Arial" w:cs="Arial" w:eastAsia="Arial" w:hAnsi="Arial"/>
          <w:sz w:val="18"/>
          <w:szCs w:val="18"/>
          <w:color w:val="auto"/>
        </w:rPr>
      </w:pPr>
    </w:p>
    <w:p>
      <w:pPr>
        <w:ind w:left="1800" w:right="87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operating and stock price performance of other companies that investors deem comparable to ours;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commencement of, or involvement in, litigation or investigations involving us;</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117" w:lineRule="exact"/>
        <w:rPr>
          <w:rFonts w:ascii="Arial" w:cs="Arial" w:eastAsia="Arial" w:hAnsi="Arial"/>
          <w:sz w:val="18"/>
          <w:szCs w:val="18"/>
          <w:color w:val="auto"/>
        </w:rPr>
      </w:pPr>
    </w:p>
    <w:p>
      <w:pPr>
        <w:ind w:left="1800" w:right="719" w:hanging="180"/>
        <w:spacing w:after="0" w:line="286" w:lineRule="auto"/>
        <w:tabs>
          <w:tab w:leader="none" w:pos="1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sales of substantial amounts of our common stock by our directors, officers or significant stockholders or the perception that such sales could occur, including the expiration of the lock-up periods applicable to certain holders of our common stock pursuant to the Sponsor Agreement;</w:t>
      </w:r>
    </w:p>
    <w:p>
      <w:pPr>
        <w:spacing w:after="0" w:line="57" w:lineRule="exact"/>
        <w:rPr>
          <w:rFonts w:ascii="Arial" w:cs="Arial" w:eastAsia="Arial" w:hAnsi="Arial"/>
          <w:sz w:val="17"/>
          <w:szCs w:val="17"/>
          <w:color w:val="auto"/>
        </w:rPr>
      </w:pPr>
    </w:p>
    <w:p>
      <w:pPr>
        <w:ind w:left="1800" w:right="47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pandemics (such as COVID-19), inflation, government closures of banks and liquidity concerns at other financial institutions, changes in diplomatic and trade relationships, fluctuations in foreign currency exchange rates, acts of war or terrorism, and natural disasters; and</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risk factors listed in this section “Risk Factors.”</w:t>
      </w:r>
    </w:p>
    <w:p>
      <w:pPr>
        <w:spacing w:after="0" w:line="15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ours could depress our stock price and the trading price of the 2026 Notes regardless of our business, prospects, financial conditions or results of operations. Broad market and industry factors, including, the impact of the conflict between Ukraine and Russia, natural disasters, the COVID-19 pandemic, and any other global pandemics, as well as general economic, political and market conditions such as recessions, inflation, government closures of banks and liquidity concerns at other financial institutions, or interest rate changes, may seriously affect the market price of our common stock and other securities, regardless of our actual operating performance. A decline in the market price of our securities also could adversely affect our ability to issue additional securities and our ability to obtain additional financing in the future.</w:t>
      </w:r>
    </w:p>
    <w:p>
      <w:pPr>
        <w:spacing w:after="0" w:line="11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Furthermore, the stock markets in general, and the markets for technology and electric vehicle stocks in particular, have experienced extreme volatility, including as a result of the COVID-19 pandemic, that has sometimes been unrelated to the operating performance of the issuer. The trading price of our common stock may be adversely affected by third parties trying to drive down or drive up the market price. Short sellers and others, some of whom post anonymously on social media, may be positioned to profit if our stock declines or otherwise exhibits volatility, and their activities can negatively affect our stock price and increase the volatility of our stock price. These broad market and industry factors may seriously harm the market price of our common stock, regardless of our operating performance. In addition, hedging activity by holders of the 2026 Notes may impact the market price of our common stock, in particular during any redemption conversion period in connection with a redemption of the 2026 Notes or any observation period for a conversion of the 2026 Notes.</w:t>
      </w:r>
    </w:p>
    <w:p>
      <w:pPr>
        <w:spacing w:after="0" w:line="111"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spacing w:after="0" w:line="278" w:lineRule="auto"/>
        <w:rPr>
          <w:sz w:val="20"/>
          <w:szCs w:val="20"/>
          <w:color w:val="auto"/>
        </w:rPr>
      </w:pPr>
      <w:r>
        <w:rPr>
          <w:rFonts w:ascii="Arial" w:cs="Arial" w:eastAsia="Arial" w:hAnsi="Arial"/>
          <w:sz w:val="17"/>
          <w:szCs w:val="17"/>
          <w:color w:val="auto"/>
        </w:rPr>
        <w:t>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58" w:lineRule="exact"/>
        <w:rPr>
          <w:sz w:val="20"/>
          <w:szCs w:val="20"/>
          <w:color w:val="auto"/>
        </w:rPr>
      </w:pPr>
    </w:p>
    <w:p>
      <w:pPr>
        <w:ind w:left="1260" w:right="839"/>
        <w:spacing w:after="0" w:line="381" w:lineRule="auto"/>
        <w:rPr>
          <w:sz w:val="20"/>
          <w:szCs w:val="20"/>
          <w:color w:val="auto"/>
        </w:rPr>
      </w:pPr>
      <w:r>
        <w:rPr>
          <w:rFonts w:ascii="Arial" w:cs="Arial" w:eastAsia="Arial" w:hAnsi="Arial"/>
          <w:sz w:val="15"/>
          <w:szCs w:val="15"/>
          <w:b w:val="1"/>
          <w:bCs w:val="1"/>
          <w:i w:val="1"/>
          <w:iCs w:val="1"/>
          <w:color w:val="auto"/>
        </w:rPr>
        <w:t>The issuance of additional shares of our common stock or other equity or equity-linked securities, or sales of a significant portion of our common stock, could depress the market price of our common stock.</w:t>
      </w:r>
    </w:p>
    <w:p>
      <w:pPr>
        <w:spacing w:after="0" w:line="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Future issuances of shares of our common stock, or of securities convertible into or exercisable for our common stock, could depress the market price of our common stock and result in significant dilution for holders of our common stock. The exercise of our outstanding warrants and options, the vesting and settlement of our restricted stock units, or the conversion of our 2026 Notes would result in additional dilution to holders of our common stock. In the future, we may issue additional shares of our common stock, or securities convertible into or exercisable for common stock, in connection with generating additional capital, future acquisitions, repayment of outstanding indebtedness, under our stock incentive plan, or for other reasons.</w:t>
      </w:r>
    </w:p>
    <w:p>
      <w:pPr>
        <w:spacing w:after="0" w:line="119" w:lineRule="exact"/>
        <w:rPr>
          <w:sz w:val="20"/>
          <w:szCs w:val="20"/>
          <w:color w:val="auto"/>
        </w:rPr>
      </w:pPr>
    </w:p>
    <w:p>
      <w:pPr>
        <w:ind w:left="1260" w:right="599" w:firstLine="360"/>
        <w:spacing w:after="0" w:line="249" w:lineRule="auto"/>
        <w:rPr>
          <w:sz w:val="20"/>
          <w:szCs w:val="20"/>
          <w:color w:val="auto"/>
        </w:rPr>
      </w:pPr>
      <w:r>
        <w:rPr>
          <w:rFonts w:ascii="Arial" w:cs="Arial" w:eastAsia="Arial" w:hAnsi="Arial"/>
          <w:sz w:val="18"/>
          <w:szCs w:val="18"/>
          <w:color w:val="auto"/>
        </w:rPr>
        <w:t>The market price of shares of our common stock could decline as a result of substantial sales of common stock, particularly by our significant stockholders, a large number of shares of common stock becoming available for sale or the perception in the market that holders of a large number of shares intend to sell their shares.</w:t>
      </w:r>
    </w:p>
    <w:p>
      <w:pPr>
        <w:spacing w:after="0" w:line="113"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In addition, pursuant to the Investor Rights Agreement, Ayar, and certain other parties thereto are entitled to, among other things, certain registration rights, including demand, piggy-back and shelf registration rights. If one or more of these stockholders were to sell a substantial portion of the shares they hold, it could cause the trading price of our common stock to decline.</w:t>
      </w:r>
    </w:p>
    <w:p>
      <w:pPr>
        <w:spacing w:after="0" w:line="194" w:lineRule="exact"/>
        <w:rPr>
          <w:sz w:val="20"/>
          <w:szCs w:val="20"/>
          <w:color w:val="auto"/>
        </w:rPr>
      </w:pPr>
    </w:p>
    <w:p>
      <w:pPr>
        <w:ind w:left="1260" w:right="599"/>
        <w:spacing w:after="0" w:line="294" w:lineRule="auto"/>
        <w:rPr>
          <w:sz w:val="20"/>
          <w:szCs w:val="20"/>
          <w:color w:val="auto"/>
        </w:rPr>
      </w:pPr>
      <w:r>
        <w:rPr>
          <w:rFonts w:ascii="Arial" w:cs="Arial" w:eastAsia="Arial" w:hAnsi="Arial"/>
          <w:sz w:val="16"/>
          <w:szCs w:val="16"/>
          <w:b w:val="1"/>
          <w:bCs w:val="1"/>
          <w:i w:val="1"/>
          <w:iCs w:val="1"/>
          <w:color w:val="auto"/>
        </w:rPr>
        <w:t>We are a “controlled company” within the meaning of the applicable Nasdaq rules and, as a result, qualify for exemptions from certain corporate governance requirements. Our stockholders will not have the same protections afforded to stockholders of companies that are not controlled companies.</w:t>
      </w:r>
    </w:p>
    <w:p>
      <w:pPr>
        <w:spacing w:after="0" w:line="80" w:lineRule="exact"/>
        <w:rPr>
          <w:sz w:val="20"/>
          <w:szCs w:val="20"/>
          <w:color w:val="auto"/>
        </w:rPr>
      </w:pPr>
    </w:p>
    <w:p>
      <w:pPr>
        <w:ind w:left="1260" w:right="419" w:firstLine="360"/>
        <w:spacing w:after="0" w:line="241" w:lineRule="auto"/>
        <w:rPr>
          <w:sz w:val="20"/>
          <w:szCs w:val="20"/>
          <w:color w:val="auto"/>
        </w:rPr>
      </w:pPr>
      <w:r>
        <w:rPr>
          <w:rFonts w:ascii="Arial" w:cs="Arial" w:eastAsia="Arial" w:hAnsi="Arial"/>
          <w:sz w:val="18"/>
          <w:szCs w:val="18"/>
          <w:color w:val="auto"/>
        </w:rPr>
        <w:t>As of March 31, 2023, PIF, both directly and indirectly through Ayar, held approximately 60.5% of our common stock. As a result, we are a “controlled company” within the meaning of the Nasdaq rules, and as a result, we qualify for exemptions from certain corporate governance requirements. Under these rules, a company of which more than 50% of the voting power for the election of directors is held by an individual, group or another company is a “controlled company” and may elect not to comply with certain corporate governance requirements, including the requirements to have: (a) a majority of independent directors on the board; (b) a nominating committee comprised solely of independent directors; (c) compensation of executive officers determined by a majority of the independent directors or a compensation committee comprised solely of independent directors; and (d) director nominees selected, or recommended for the selection by the board, either by a majority of the independent directors or a nominating committee comprised solely of independent directors. Although currently we do not utilize any of these exemptions, we may elect to utilize one or more of these exemptions for so long as we remain a “controlled company.” As a result, our stockholders may not have the same protections afforded to stockholders of companies that are subject to all of the Nasdaq corporate governance requirements. Ayar also has the ability to nominate five of the nine directors to our Board.</w:t>
      </w:r>
    </w:p>
    <w:p>
      <w:pPr>
        <w:spacing w:after="0" w:line="12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Further, this concentration of ownership and voting power allows Ayar to control our decisions, including matters requiring approval by our stockholders (such as, subject to the Investor Rights Agreement, the election of directors and the approval of mergers or other extraordinary transactions), regardless of whether or not other stockholders believe that the transaction is in their own best interests. Such concentration of voting power could also have the effect of delaying, deterring or preventing a change of control or other business combination that might otherwise be beneficial to our stockholders, could deprive our stockholders of an opportunity to receive a premium for their common stock as part of a sale of our company and might ultimately affect the market price of our common stock and the trading price of the 2026 Notes.</w:t>
      </w:r>
    </w:p>
    <w:p>
      <w:pPr>
        <w:spacing w:after="0" w:line="185" w:lineRule="exact"/>
        <w:rPr>
          <w:sz w:val="20"/>
          <w:szCs w:val="20"/>
          <w:color w:val="auto"/>
        </w:rPr>
      </w:pPr>
    </w:p>
    <w:p>
      <w:pPr>
        <w:ind w:left="1260" w:right="959"/>
        <w:spacing w:after="0" w:line="261" w:lineRule="auto"/>
        <w:rPr>
          <w:sz w:val="20"/>
          <w:szCs w:val="20"/>
          <w:color w:val="auto"/>
        </w:rPr>
      </w:pPr>
      <w:r>
        <w:rPr>
          <w:rFonts w:ascii="Arial" w:cs="Arial" w:eastAsia="Arial" w:hAnsi="Arial"/>
          <w:sz w:val="18"/>
          <w:szCs w:val="18"/>
          <w:b w:val="1"/>
          <w:bCs w:val="1"/>
          <w:i w:val="1"/>
          <w:iCs w:val="1"/>
          <w:color w:val="auto"/>
        </w:rPr>
        <w:t>PIF and Ayar beneficially own a significant equity interest in us and may take actions that conflict with your interests.</w:t>
      </w:r>
    </w:p>
    <w:p>
      <w:pPr>
        <w:spacing w:after="0" w:line="103"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interests of PIF and Ayar may not align with our interests and the interests of our other stockholders or securityholders. PIF and Ayar are each in the business of making investments in companies and may</w:t>
      </w:r>
    </w:p>
    <w:p>
      <w:pPr>
        <w:sectPr>
          <w:pgSz w:w="11900" w:h="16838" w:orient="portrait"/>
          <w:cols w:equalWidth="0" w:num="1">
            <w:col w:w="9879"/>
          </w:cols>
          <w:pgMar w:left="580" w:top="132" w:right="1440" w:bottom="1440" w:gutter="0" w:footer="0" w:header="0"/>
        </w:sectPr>
      </w:pPr>
    </w:p>
    <w:p>
      <w:pPr>
        <w:spacing w:after="0" w:line="37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579"/>
        <w:spacing w:after="0" w:line="263" w:lineRule="auto"/>
        <w:rPr>
          <w:sz w:val="20"/>
          <w:szCs w:val="20"/>
          <w:color w:val="auto"/>
        </w:rPr>
      </w:pPr>
      <w:r>
        <w:rPr>
          <w:rFonts w:ascii="Arial" w:cs="Arial" w:eastAsia="Arial" w:hAnsi="Arial"/>
          <w:sz w:val="18"/>
          <w:szCs w:val="18"/>
          <w:color w:val="auto"/>
        </w:rPr>
        <w:t>acquire and hold interests in businesses that compete directly or indirectly with us. PIF and Ayar and their respective affiliates, may also pursue acquisition opportunities that may be complementary to our business and, as a result, those acquisition opportunities may not be available to us.</w:t>
      </w:r>
    </w:p>
    <w:p>
      <w:pPr>
        <w:spacing w:after="0" w:line="184" w:lineRule="exact"/>
        <w:rPr>
          <w:sz w:val="20"/>
          <w:szCs w:val="20"/>
          <w:color w:val="auto"/>
        </w:rPr>
      </w:pPr>
    </w:p>
    <w:p>
      <w:pPr>
        <w:jc w:val="both"/>
        <w:ind w:left="1260" w:right="499"/>
        <w:spacing w:after="0" w:line="263" w:lineRule="auto"/>
        <w:rPr>
          <w:sz w:val="20"/>
          <w:szCs w:val="20"/>
          <w:color w:val="auto"/>
        </w:rPr>
      </w:pPr>
      <w:r>
        <w:rPr>
          <w:rFonts w:ascii="Arial" w:cs="Arial" w:eastAsia="Arial" w:hAnsi="Arial"/>
          <w:sz w:val="18"/>
          <w:szCs w:val="18"/>
          <w:b w:val="1"/>
          <w:bCs w:val="1"/>
          <w:i w:val="1"/>
          <w:iCs w:val="1"/>
          <w:color w:val="auto"/>
        </w:rPr>
        <w:t>Securities or industry analysts may not publish or cease publishing research or reports about us, our business, our market, or change their recommendations regarding our common stock adversely, which could cause the price and trading volume of our common stock to decline.</w:t>
      </w:r>
    </w:p>
    <w:p>
      <w:pPr>
        <w:spacing w:after="0" w:line="116"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trading market for our common stock can be influenced by the research and reports that industry or securities analysts may publish about us, our business and operations, our market, or our competitors. Similarly, if any of the analysts who do cover us change their recommendation regarding our stock adversely, or provide more favorable relative recommendations about our competitors, the price of our common stock may decline. If any analyst who covers us were to cease coverage of us or fail to regularly publish reports on us, we could lose visibility in the financial markets, which could cause our stock price or trading volume to decline.</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158" w:lineRule="exact"/>
        <w:rPr>
          <w:sz w:val="20"/>
          <w:szCs w:val="20"/>
          <w:color w:val="auto"/>
        </w:rPr>
      </w:pPr>
    </w:p>
    <w:p>
      <w:pPr>
        <w:jc w:val="both"/>
        <w:ind w:left="1260" w:right="619" w:firstLine="360"/>
        <w:spacing w:after="0" w:line="259" w:lineRule="auto"/>
        <w:rPr>
          <w:sz w:val="20"/>
          <w:szCs w:val="20"/>
          <w:color w:val="auto"/>
        </w:rPr>
      </w:pPr>
      <w:r>
        <w:rPr>
          <w:rFonts w:ascii="Arial" w:cs="Arial" w:eastAsia="Arial" w:hAnsi="Arial"/>
          <w:sz w:val="18"/>
          <w:szCs w:val="18"/>
          <w:color w:val="auto"/>
        </w:rPr>
        <w:t>We have never declared or paid cash dividends on our capital stock, and we do not anticipate paying any cash dividends in the foreseeable future. In addition, the ABL Credit Facility limits our and certain of our subsidiaries’ ability to pay dividends. We currently intend to retain our future earnings, if any, for the foreseeable future, to fund the development and growth of our business.</w:t>
      </w:r>
    </w:p>
    <w:p>
      <w:pPr>
        <w:spacing w:after="0" w:line="106"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Any future determination to pay dividends will be at the discretion of our Board and will be dependent upon our financial condition, results of operations, capital requirements, applicable contractual restrictions and such other factors as the Board may deem relevant. As a result, capital appreciation in the price of our common stock, if any, will be your only source of gain on an investment in our common stock.</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7"/>
          <w:szCs w:val="17"/>
          <w:b w:val="1"/>
          <w:bCs w:val="1"/>
          <w:i w:val="1"/>
          <w:iCs w:val="1"/>
          <w:color w:val="auto"/>
        </w:rPr>
        <w:t>There is no guarantee that an active and liquid public market for our securities will be sustained.</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a liquid trading market for our common stock is not sustained:</w:t>
      </w:r>
    </w:p>
    <w:p>
      <w:pPr>
        <w:spacing w:after="0" w:line="117" w:lineRule="exact"/>
        <w:rPr>
          <w:sz w:val="20"/>
          <w:szCs w:val="20"/>
          <w:color w:val="auto"/>
        </w:rPr>
      </w:pPr>
    </w:p>
    <w:p>
      <w:pPr>
        <w:ind w:left="1800" w:right="53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our common stock may not be able to liquidate their investment in shares of our common stock;</w:t>
      </w:r>
    </w:p>
    <w:p>
      <w:pPr>
        <w:spacing w:after="0" w:line="75" w:lineRule="exact"/>
        <w:rPr>
          <w:rFonts w:ascii="Arial" w:cs="Arial" w:eastAsia="Arial" w:hAnsi="Arial"/>
          <w:sz w:val="18"/>
          <w:szCs w:val="18"/>
          <w:color w:val="auto"/>
        </w:rPr>
      </w:pPr>
    </w:p>
    <w:p>
      <w:pPr>
        <w:ind w:left="1800" w:right="4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holders of our common stock may not be able to resell their shares of our common stock at favorable prices, or at all;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of shares of our common stock may experience significant price volatility; and</w:t>
      </w:r>
    </w:p>
    <w:p>
      <w:pPr>
        <w:spacing w:after="0" w:line="117"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there may be less efficiency in carrying out purchase and sale orders with respect to our common stock.</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188" w:lineRule="exact"/>
        <w:rPr>
          <w:sz w:val="20"/>
          <w:szCs w:val="20"/>
          <w:color w:val="auto"/>
        </w:rPr>
      </w:pPr>
    </w:p>
    <w:p>
      <w:pPr>
        <w:ind w:left="1260" w:right="439"/>
        <w:spacing w:after="0" w:line="327" w:lineRule="auto"/>
        <w:rPr>
          <w:sz w:val="20"/>
          <w:szCs w:val="20"/>
          <w:color w:val="auto"/>
        </w:rPr>
      </w:pPr>
      <w:r>
        <w:rPr>
          <w:rFonts w:ascii="Arial" w:cs="Arial" w:eastAsia="Arial" w:hAnsi="Arial"/>
          <w:sz w:val="15"/>
          <w:szCs w:val="15"/>
          <w:b w:val="1"/>
          <w:bCs w:val="1"/>
          <w:i w:val="1"/>
          <w:iCs w:val="1"/>
          <w:color w:val="auto"/>
        </w:rPr>
        <w:t>Our current bylaws designate a state court within the State of Delaware, to the fullest extent permitted by law, as the sole and exclusive forum for certain types of actions and proceedings that may be initiated by our stockholders, which could limit the ability of our stockholders to obtain a favorable judicial forum for disputes with us or with our directors, officers or employees and may discourage stockholders from bringing such claims.</w:t>
      </w:r>
    </w:p>
    <w:p>
      <w:pPr>
        <w:spacing w:after="0" w:line="5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Under our current bylaws, unless we consent in writing to the selection of an alternative forum, the sole and exclusive forum will be a state court within the State of Delaware (or, if no state court located within the State of Delaware has jurisdiction, the federal district court for the District of Delaware) for:</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any derivative action or proceeding brought on our behalf;</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of our directors, officers or employees to us or our stockholders;</w:t>
      </w:r>
    </w:p>
    <w:p>
      <w:pPr>
        <w:spacing w:after="0" w:line="62"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arising pursuant to any provision of the DGCL or our certificate of incorporation or bylaws (as either may be amended, restated, modified, supplemented or waived from time to time); or</w:t>
      </w:r>
    </w:p>
    <w:p>
      <w:pPr>
        <w:spacing w:after="0" w:line="75" w:lineRule="exact"/>
        <w:rPr>
          <w:rFonts w:ascii="Arial" w:cs="Arial" w:eastAsia="Arial" w:hAnsi="Arial"/>
          <w:sz w:val="18"/>
          <w:szCs w:val="18"/>
          <w:color w:val="auto"/>
        </w:rPr>
      </w:pPr>
    </w:p>
    <w:p>
      <w:pPr>
        <w:ind w:left="1800" w:right="111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action asserting a claim against us or any of our directors or officers or other employees governed by the internal affairs doctrine.</w:t>
      </w:r>
    </w:p>
    <w:p>
      <w:pPr>
        <w:spacing w:after="0" w:line="89" w:lineRule="exact"/>
        <w:rPr>
          <w:sz w:val="20"/>
          <w:szCs w:val="20"/>
          <w:color w:val="auto"/>
        </w:rPr>
      </w:pPr>
    </w:p>
    <w:p>
      <w:pPr>
        <w:ind w:left="1260" w:right="499" w:firstLine="360"/>
        <w:spacing w:after="0" w:line="256" w:lineRule="auto"/>
        <w:rPr>
          <w:sz w:val="20"/>
          <w:szCs w:val="20"/>
          <w:color w:val="auto"/>
        </w:rPr>
      </w:pPr>
      <w:r>
        <w:rPr>
          <w:rFonts w:ascii="Arial" w:cs="Arial" w:eastAsia="Arial" w:hAnsi="Arial"/>
          <w:sz w:val="17"/>
          <w:szCs w:val="17"/>
          <w:color w:val="auto"/>
        </w:rPr>
        <w:t>For the avoidance of doubt, the foregoing provisions of our current bylaws will not apply to any action or proceeding asserting a claim under the Securities Act or the Exchange Act.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To prevent having to litigate claims in multiple jurisdictions and the threat of inconsistent or contrary rulings by different courts, among other considerations, our current bylaws provide that, unless we consent in writing to the selection of an alternative forum, the federal district courts of the United States will be the exclusive forum for resolving any complaint asserting a cause of action arising under the Securities Act. Although investors cannot waive compliance with the federal securities laws and the rules and regulations thereunder, any person or entity purchasing or otherwise acquiring any interest in shares of our capital stock will be deemed to have notice of, and consented to, the provisions of our current bylaws described in the preceding sentences. These provisions of our current bylaws could limit the ability of our stockholders to obtain a favorable judicial forum for certain disputes with us or with our directors, officers or other employees, which may discourage such lawsuits against us and our directors, officers and employees. Alternatively, if a court were to find these provisions of our current bylaws inapplicable to, or unenforceable in respect of, one or more of the types of actions or proceedings listed above, we may incur additional costs associated with resolving such matters in other jurisdictions, which could adversely affect our business, financial condition and results of operations.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w:t>
      </w:r>
    </w:p>
    <w:p>
      <w:pPr>
        <w:spacing w:after="0" w:line="192" w:lineRule="exact"/>
        <w:rPr>
          <w:sz w:val="20"/>
          <w:szCs w:val="20"/>
          <w:color w:val="auto"/>
        </w:rPr>
      </w:pPr>
    </w:p>
    <w:p>
      <w:pPr>
        <w:ind w:left="1260" w:right="739"/>
        <w:spacing w:after="0" w:line="362" w:lineRule="auto"/>
        <w:rPr>
          <w:sz w:val="20"/>
          <w:szCs w:val="20"/>
          <w:color w:val="auto"/>
        </w:rPr>
      </w:pPr>
      <w:r>
        <w:rPr>
          <w:rFonts w:ascii="Arial" w:cs="Arial" w:eastAsia="Arial" w:hAnsi="Arial"/>
          <w:sz w:val="15"/>
          <w:szCs w:val="15"/>
          <w:b w:val="1"/>
          <w:bCs w:val="1"/>
          <w:i w:val="1"/>
          <w:iCs w:val="1"/>
          <w:color w:val="auto"/>
        </w:rPr>
        <w:t>Some provisions of Delaware law and our current certificate of incorporation and our current bylaws may deter third parties from acquiring us and diminish the value of our common stock and the 2026 Notes.</w:t>
      </w:r>
    </w:p>
    <w:p>
      <w:pPr>
        <w:spacing w:after="0" w:line="3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current certificate of incorporation and our current bylaws provide for, among other things:</w:t>
      </w:r>
    </w:p>
    <w:p>
      <w:pPr>
        <w:spacing w:after="0" w:line="117" w:lineRule="exact"/>
        <w:rPr>
          <w:sz w:val="20"/>
          <w:szCs w:val="20"/>
          <w:color w:val="auto"/>
        </w:rPr>
      </w:pPr>
    </w:p>
    <w:p>
      <w:pPr>
        <w:ind w:left="1800" w:right="619" w:hanging="180"/>
        <w:spacing w:after="0" w:line="263"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of our Board to issue one or more series of preferred stock with voting or other rights or preferences that could have the effect of impeding the success of an attempt to acquire us or otherwise effect a change in control;</w:t>
      </w:r>
    </w:p>
    <w:p>
      <w:pPr>
        <w:spacing w:after="0" w:line="75" w:lineRule="exact"/>
        <w:rPr>
          <w:rFonts w:ascii="Arial" w:cs="Arial" w:eastAsia="Arial" w:hAnsi="Arial"/>
          <w:sz w:val="18"/>
          <w:szCs w:val="18"/>
          <w:color w:val="auto"/>
        </w:rPr>
      </w:pPr>
    </w:p>
    <w:p>
      <w:pPr>
        <w:ind w:left="1800" w:right="639" w:hanging="180"/>
        <w:spacing w:after="0" w:line="342" w:lineRule="auto"/>
        <w:tabs>
          <w:tab w:leader="none" w:pos="1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subject to the Investor Rights Agreement, advance notice for nominations of directors by stockholders and for stockholders to include matters to be considered at stockholder meetings; and</w:t>
      </w:r>
    </w:p>
    <w:p>
      <w:pPr>
        <w:spacing w:after="0" w:line="15" w:lineRule="exact"/>
        <w:rPr>
          <w:rFonts w:ascii="Arial" w:cs="Arial" w:eastAsia="Arial" w:hAnsi="Arial"/>
          <w:sz w:val="16"/>
          <w:szCs w:val="16"/>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44"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In addition, 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pacing w:after="0" w:line="62"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39" w:firstLine="360"/>
        <w:spacing w:after="0" w:line="271"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90"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These provisions also may have the effect of preventing changes in our Board and may make it more difficult to accomplish transactions that stockholders may otherwise deem to be in their best interests.</w:t>
      </w:r>
    </w:p>
    <w:p>
      <w:pPr>
        <w:spacing w:after="0" w:line="99"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These provisions in our current certificate of incorporation and our current bylaws, as well as Delaware law, may discourage, delay or prevent a transaction involving a change in our control that is in the best interest of our minority stockholders. Even in the absence of a takeover attempt, the existence of these provisions may adversely affect the prevailing market price of our common stock or the trading price of the 2026 Notes if they are viewed as discouraging future takeover attempts. These provisions could also make it more difficult for stockholders to nominate directors for election to our Board and take other corporate actions, which could also affect the price investors are willing to pay for our common stock or the 2026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ind w:left="1260" w:right="419" w:firstLine="360"/>
        <w:spacing w:after="0" w:line="286" w:lineRule="auto"/>
        <w:rPr>
          <w:sz w:val="20"/>
          <w:szCs w:val="20"/>
          <w:color w:val="auto"/>
        </w:rPr>
      </w:pPr>
      <w:r>
        <w:rPr>
          <w:rFonts w:ascii="Arial" w:cs="Arial" w:eastAsia="Arial" w:hAnsi="Arial"/>
          <w:sz w:val="17"/>
          <w:szCs w:val="17"/>
          <w:color w:val="auto"/>
        </w:rPr>
        <w:t>All of the shares of common stock and the warrants (including shares of common stock underlying such warrants) offered by the Selling Securityholders pursuant to this prospectus will be sold by the Selling Securityholders for their respective accounts. We will not receive any of the proceeds from these sales.</w:t>
      </w:r>
    </w:p>
    <w:p>
      <w:pPr>
        <w:spacing w:after="0" w:line="98"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We will receive up to an aggregate of approximately $510 million from the exercise of all of the Private Placement Warrants and the Working Capital Warrants, assuming the exercise in full of all such warrants for cash.</w:t>
      </w:r>
    </w:p>
    <w:p>
      <w:pPr>
        <w:spacing w:after="0" w:line="103"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Unless we inform you otherwise in a prospectus supplement, we intend to use the net proceeds from the sale of the securities offered by us by this prospectus, as well as from the exercise of the Private Placement Warrants and the Working Capital Warrants, for general corporate purposes, which may include capital expenditures and working capital. Our management will have broad discretion over the use of such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CAPITAL STOCK</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i w:val="1"/>
          <w:iCs w:val="1"/>
          <w:color w:val="auto"/>
        </w:rPr>
        <w:t>The following is a summary of the rights and preferences of and is qualified in its entirety by, our current certificate of incorporation and current by-laws. The full texts of our current certificate of incorporation and our current bylaws are filed as exhibits the registration statement of which this prospectus is a part. For a complete description of the rights and preferences of our securities, we urge you to read our current certificate of incorporation, our current bylaws and the applicable provisions of Delaware law.</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Authorized and Outstanding Stock</w:t>
      </w:r>
    </w:p>
    <w:p>
      <w:pPr>
        <w:spacing w:after="0" w:line="162"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Our current certificate of incorporation authorizes the issuance of shares of our capital stock, each with a par value of $0.0001, consisting of (a) 15,000,000,000 shares of common stock and (b) 10,000,000 shares of preferred stock. The outstanding shares of common stock are duly authorized, validly issued, fully paid and non-assessable.</w:t>
      </w:r>
    </w:p>
    <w:p>
      <w:pPr>
        <w:spacing w:after="0" w:line="106" w:lineRule="exact"/>
        <w:rPr>
          <w:sz w:val="20"/>
          <w:szCs w:val="20"/>
          <w:color w:val="auto"/>
        </w:rPr>
      </w:pPr>
    </w:p>
    <w:p>
      <w:pPr>
        <w:ind w:left="1260" w:right="699" w:firstLine="360"/>
        <w:spacing w:after="0" w:line="263" w:lineRule="auto"/>
        <w:rPr>
          <w:sz w:val="20"/>
          <w:szCs w:val="20"/>
          <w:color w:val="auto"/>
        </w:rPr>
      </w:pPr>
      <w:r>
        <w:rPr>
          <w:rFonts w:ascii="Arial" w:cs="Arial" w:eastAsia="Arial" w:hAnsi="Arial"/>
          <w:sz w:val="18"/>
          <w:szCs w:val="18"/>
          <w:color w:val="auto"/>
        </w:rPr>
        <w:t>As of March 31, 2023, there were (i) 1,833,385,174 shares of our common stock outstanding, (ii) no shares of preferred stock outstanding, and (iii) 44,350,000 shares of common stock issuable upon the exercise of Private Placement Warrants (including the Working Capital Warrants).</w:t>
      </w:r>
    </w:p>
    <w:p>
      <w:pPr>
        <w:spacing w:after="0" w:line="116" w:lineRule="exact"/>
        <w:rPr>
          <w:sz w:val="20"/>
          <w:szCs w:val="20"/>
          <w:color w:val="auto"/>
        </w:rPr>
      </w:pPr>
    </w:p>
    <w:p>
      <w:pPr>
        <w:ind w:left="1260" w:right="459" w:firstLine="360"/>
        <w:spacing w:after="0" w:line="271" w:lineRule="auto"/>
        <w:rPr>
          <w:sz w:val="20"/>
          <w:szCs w:val="20"/>
          <w:color w:val="auto"/>
        </w:rPr>
      </w:pPr>
      <w:r>
        <w:rPr>
          <w:rFonts w:ascii="Arial" w:cs="Arial" w:eastAsia="Arial" w:hAnsi="Arial"/>
          <w:sz w:val="17"/>
          <w:szCs w:val="17"/>
          <w:color w:val="auto"/>
        </w:rPr>
        <w:t>Our current certificate of incorporation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the common stock and could have anti-takeover effects. The ability of the Board to issue preferred stock without stockholder approval could have the effect of delaying, deferring or preventing a change of control of us or the removal of existing management.</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Power</w:t>
      </w:r>
    </w:p>
    <w:p>
      <w:pPr>
        <w:spacing w:after="0" w:line="162"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under our current certificate of incorporation, the holders of common stock will possess all voting power for the election of directors and all other matters requiring stockholder action and will be entitled to one vote per share on matters to be voted on by stockholders. The holders of our common stock will at all times vote together as one class on all matters submitted to a vote of the common stock under our current certificate of incorporation.</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w:t>
      </w:r>
    </w:p>
    <w:p>
      <w:pPr>
        <w:spacing w:after="0" w:line="148"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Subject to limitations contained in the DGCL and our current certificate of incorporation, under our current bylaws, the Board may declare and pay dividends upon the shares of our common stock, which dividends may be paid either in cash, in property or in shares of our common stock.</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 Further, if we incur any indebtedness, our ability to declare dividends may be limited by restrictive covenants we may agree to in connection therewith.</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Liquidation, Dissolution and Winding Up</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In the event of the voluntary or involuntary liquidation, dissolution, or winding-up of the Company, the holders of our common stock will be entitled to receive all the remaining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sectPr>
          <w:pgSz w:w="11900" w:h="16838" w:orient="portrait"/>
          <w:cols w:equalWidth="0" w:num="1">
            <w:col w:w="9879"/>
          </w:cols>
          <w:pgMar w:left="580" w:top="131"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Preemptive or Other Rights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The holders of our common stock do not have preemptive or other subscription rights and there is no sinking fund or redemption provisions applicable to our common stock.</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Private Placement Warrants and Working Capital Warrants</w:t>
      </w:r>
    </w:p>
    <w:p>
      <w:pPr>
        <w:spacing w:after="0" w:line="144"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The Private Placement Warrants (including the common stock issuable upon exercise of the Private Placement Warrants) are, pursuant to the Investor Rights Agreement, not redeemable by us so long as they are held by the Sponsor or its permitted transferees. The Sponsor, or its permitted transferees, has the option to exercise the Private Placement Warrants on a cashless basis and will be entitled to certain registration rights. The Private Placement Warrants have terms and provisions outlined below.</w:t>
      </w:r>
    </w:p>
    <w:p>
      <w:pPr>
        <w:spacing w:after="0" w:line="101"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their warrants for that number of shares of our common stock equal to the quotient obtained by dividing (x) the product of the number of shares of common stock underlying the</w:t>
      </w:r>
    </w:p>
    <w:p>
      <w:pPr>
        <w:ind w:left="1260" w:right="419"/>
        <w:spacing w:after="0" w:line="243" w:lineRule="auto"/>
        <w:rPr>
          <w:sz w:val="20"/>
          <w:szCs w:val="20"/>
          <w:color w:val="auto"/>
        </w:rPr>
      </w:pPr>
      <w:r>
        <w:rPr>
          <w:rFonts w:ascii="Arial" w:cs="Arial" w:eastAsia="Arial" w:hAnsi="Arial"/>
          <w:sz w:val="18"/>
          <w:szCs w:val="18"/>
          <w:color w:val="auto"/>
        </w:rPr>
        <w:t>warrants, multiplied by the excess of the “fair market value” (defined​ below) over the exercise price per share of the warrants by (y) the fair market value. The “fair market value” shall mean the average closing price per share of our common stock for the ten (10) trading days ending on the third trading day prior to the date on which the notice of redemption is sent to the holders of warrants.</w:t>
      </w:r>
    </w:p>
    <w:p>
      <w:pPr>
        <w:spacing w:after="0" w:line="119" w:lineRule="exact"/>
        <w:rPr>
          <w:sz w:val="20"/>
          <w:szCs w:val="20"/>
          <w:color w:val="auto"/>
        </w:rPr>
      </w:pPr>
    </w:p>
    <w:p>
      <w:pPr>
        <w:ind w:left="1260" w:right="679" w:firstLine="360"/>
        <w:spacing w:after="0" w:line="268"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Sponsor loaned us $1,500,000 funds pursuant to the Promissory Note. The principal amount of such Promissory Note was converted into Working Capital Warrants by the Sponsor. The Working Capital Warrants are identical to the Private Placement Warrants issued to the Sponsor.</w:t>
      </w:r>
    </w:p>
    <w:p>
      <w:pPr>
        <w:spacing w:after="0" w:line="16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8" w:lineRule="exact"/>
        <w:rPr>
          <w:sz w:val="20"/>
          <w:szCs w:val="20"/>
          <w:color w:val="auto"/>
        </w:rPr>
      </w:pPr>
    </w:p>
    <w:p>
      <w:pPr>
        <w:ind w:left="1260" w:right="459" w:firstLine="360"/>
        <w:spacing w:after="0" w:line="267" w:lineRule="auto"/>
        <w:rPr>
          <w:sz w:val="20"/>
          <w:szCs w:val="20"/>
          <w:color w:val="auto"/>
        </w:rPr>
      </w:pPr>
      <w:r>
        <w:rPr>
          <w:rFonts w:ascii="Arial" w:cs="Arial" w:eastAsia="Arial" w:hAnsi="Arial"/>
          <w:sz w:val="17"/>
          <w:szCs w:val="17"/>
          <w:color w:val="auto"/>
        </w:rPr>
        <w:t>If the number of outstanding shares of our common stock is increased by a stock dividend payable in shares of our common stock, or by a split-up of shares of our common stock or other similar event, then, on the effective date of such stock dividend, split-up or similar event, the number of shares of our common stock issuable on exercise of each Private Placement Warrant will be increased in proportion to such increase in the outstanding shares of our common stock. A rights offering to holders of our common stock entitling holders to purchase shares of our common stock at a price less than the fair market value will be deemed a stock dividend of a number of shares of our common stock equal to the product of (1) the number of shares of our common stock actually sold in such rights offering (or issuable under any other equity securities sold in such rights offering that are convertible into or exercisable for our common stock) multiplied by (2) one minus the quotient of (x) the price per share of our common stock paid in such rights offering divided by (y) the fair market value. For these purposes (1) if the rights offering is for securities convertible into or exercisable for our common stock, in determining the price payable for our common stock, there will be taken into account any consideration received for such rights, as well as any additional amount payable upon exercise or conversion and (2) fair market value means the volume weighted average price per share of our common stock as reported during the ten trading day period ending on the trading day prior to the first date on which the shares of our common stock trade on the applicable exchange or in the applicable market, regular way, without the right to receive such rights.</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In addition, if we, at any time while the Private Placement Warrants are outstanding and unexpired, pay a dividend or make a distribution in cash, securities or other assets to the holders of our common stock on account of such shares of common stock (or other shares of our capital stock into which the warrants are convertible), other than (a) as described above and (b) certain ordinary cash dividends, then the Private Placement Warrant exercise price will be decreased, effective immediately after the effective date of such event, by the amount of cash and /or the fair market value of any securities or other assets paid on each share of our common stock in respect of such event.</w:t>
      </w:r>
    </w:p>
    <w:p>
      <w:pPr>
        <w:spacing w:after="0" w:line="127" w:lineRule="exact"/>
        <w:rPr>
          <w:sz w:val="20"/>
          <w:szCs w:val="20"/>
          <w:color w:val="auto"/>
        </w:rPr>
      </w:pPr>
    </w:p>
    <w:p>
      <w:pPr>
        <w:ind w:left="1260" w:right="439" w:firstLine="360"/>
        <w:spacing w:after="0" w:line="308" w:lineRule="auto"/>
        <w:rPr>
          <w:sz w:val="20"/>
          <w:szCs w:val="20"/>
          <w:color w:val="auto"/>
        </w:rPr>
      </w:pPr>
      <w:r>
        <w:rPr>
          <w:rFonts w:ascii="Arial" w:cs="Arial" w:eastAsia="Arial" w:hAnsi="Arial"/>
          <w:sz w:val="17"/>
          <w:szCs w:val="17"/>
          <w:color w:val="auto"/>
        </w:rPr>
        <w:t>If the number of outstanding shares of our common stock is decreased by a consolidation, combination, reverse stock split or reclassification of shares of our common stock or other similar event, then, on the</w:t>
      </w:r>
    </w:p>
    <w:p>
      <w:pPr>
        <w:sectPr>
          <w:pgSz w:w="11900" w:h="16838" w:orient="portrait"/>
          <w:cols w:equalWidth="0" w:num="1">
            <w:col w:w="9879"/>
          </w:cols>
          <w:pgMar w:left="580" w:top="131" w:right="1440" w:bottom="1440" w:gutter="0" w:footer="0" w:header="0"/>
        </w:sectPr>
      </w:pPr>
    </w:p>
    <w:p>
      <w:pPr>
        <w:spacing w:after="0" w:line="322"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spacing w:after="0" w:line="286" w:lineRule="auto"/>
        <w:rPr>
          <w:sz w:val="20"/>
          <w:szCs w:val="20"/>
          <w:color w:val="auto"/>
        </w:rPr>
      </w:pPr>
      <w:r>
        <w:rPr>
          <w:rFonts w:ascii="Arial" w:cs="Arial" w:eastAsia="Arial" w:hAnsi="Arial"/>
          <w:sz w:val="17"/>
          <w:szCs w:val="17"/>
          <w:color w:val="auto"/>
        </w:rPr>
        <w:t>effective date of such consolidation, combination, reverse stock split, reclassification or similar event, the number of shares of our common stock issuable on exercise of each Private Placement Warrant will be decreased in proportion to such decrease in outstanding shares of our common stock.</w:t>
      </w:r>
    </w:p>
    <w:p>
      <w:pPr>
        <w:spacing w:after="0" w:line="98" w:lineRule="exact"/>
        <w:rPr>
          <w:sz w:val="20"/>
          <w:szCs w:val="20"/>
          <w:color w:val="auto"/>
        </w:rPr>
      </w:pPr>
    </w:p>
    <w:p>
      <w:pPr>
        <w:ind w:left="1260" w:right="499" w:firstLine="360"/>
        <w:spacing w:after="0" w:line="273" w:lineRule="auto"/>
        <w:rPr>
          <w:sz w:val="20"/>
          <w:szCs w:val="20"/>
          <w:color w:val="auto"/>
        </w:rPr>
      </w:pPr>
      <w:r>
        <w:rPr>
          <w:rFonts w:ascii="Arial" w:cs="Arial" w:eastAsia="Arial" w:hAnsi="Arial"/>
          <w:sz w:val="17"/>
          <w:szCs w:val="17"/>
          <w:color w:val="auto"/>
        </w:rPr>
        <w:t>Whenever the number of shares of our common stock purchasable upon the exercise of the Private Placement Warrants is adjusted, as described above, the warrant exercise price will be adjusted by multiplying the warrant exercise price immediately prior to such adjustment by a fraction (x) the numerator of which will be the number of shares of our common stock purchasable upon the exercise of the Private Placement Warrants immediately prior to such adjustment, and (y) the denominator of which will be the number of shares of our common stock so purchasable immediately thereafter.</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Arial" w:cs="Arial" w:eastAsia="Arial" w:hAnsi="Arial"/>
          <w:sz w:val="17"/>
          <w:szCs w:val="17"/>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Private Placement Warrants will thereafter have the right to purchase and receive, upon the basis and upon the terms and conditions specified in the Private Placement Warrants and in lieu of the shares of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Private Placement Warrants would have received if such holder had exercised their Private Placement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Private Placement Warrants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13d-5(b)(l)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outstanding shares of our common stock, the holder of a Private Placement Warrants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our common stock held by such holder had been purchased pursuant to such tender or exchange offer, subject to adjustments (from and after the consummation of such tender or exchange offer) as nearly equivalent as possible to the adjustments provided for in the Warrant Agreement. Additionally, if less than 70% of the consideration receivable by the holders of our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Private Placement Warrants within thirty (30) days following public disclosure of such transaction, the warrant exercise price will be reduced as specified in the Warrant Agreement based on the per share consideration minus Black-Scholes Warrant Value (as defined in the Warrant Agreement) of the warrant. The purpose of such exercise price reduction is to provide additional value to holders of the Private Placement Warrants when an extraordinary transaction occurs during the exercise period of the warrants pursuant to which the holders of the warrants otherwise do not receive the full potential value of the warrants in order to determine and realize the option value component of the Private Placement Warrant. This formula is to compensate the warrant holder for the loss of the option value portion of the Private Placement Warrant due to the requirement that the warrant holder exercise the warrant within thirty (30) days of the event. The Black-Scholes model is an accepted pricing model for estimating fair market value where no quoted market price for an instrument is available.</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61" w:lineRule="auto"/>
        <w:rPr>
          <w:sz w:val="20"/>
          <w:szCs w:val="20"/>
          <w:color w:val="auto"/>
        </w:rPr>
      </w:pPr>
      <w:r>
        <w:rPr>
          <w:rFonts w:ascii="Arial" w:cs="Arial" w:eastAsia="Arial" w:hAnsi="Arial"/>
          <w:sz w:val="17"/>
          <w:szCs w:val="17"/>
          <w:color w:val="auto"/>
        </w:rPr>
        <w:t>The Private Placement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by certified or official bank check payable to us, for the number of warrants being exercised. The warrant holders do not have the rights or privileges of holders of common stock and any voting rights until they exercise their warrants and receive shares of our common stock. After the issuance of shares of our common stock upon exercise of the Private Placement Warrants, each holder will be entitled to one vote for each share held of record on all matters to be voted on by stockholders.</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Annual Stockholder Meetings</w:t>
      </w:r>
    </w:p>
    <w:p>
      <w:pPr>
        <w:spacing w:after="0" w:line="162" w:lineRule="exact"/>
        <w:rPr>
          <w:sz w:val="20"/>
          <w:szCs w:val="20"/>
          <w:color w:val="auto"/>
        </w:rPr>
      </w:pPr>
    </w:p>
    <w:p>
      <w:pPr>
        <w:ind w:left="1260" w:right="679" w:firstLine="360"/>
        <w:spacing w:after="0" w:line="248" w:lineRule="auto"/>
        <w:rPr>
          <w:sz w:val="20"/>
          <w:szCs w:val="20"/>
          <w:color w:val="auto"/>
        </w:rPr>
      </w:pPr>
      <w:r>
        <w:rPr>
          <w:rFonts w:ascii="Arial" w:cs="Arial" w:eastAsia="Arial" w:hAnsi="Arial"/>
          <w:sz w:val="18"/>
          <w:szCs w:val="18"/>
          <w:color w:val="auto"/>
        </w:rPr>
        <w:t>Our current certificate of incorporation and our current bylaws provide that annual stockholder meetings will be held at a date, time and place, if any, as exclusively selected by the Board. To the extent permitted under applicable law, we may conduct meetings by remote communications.</w:t>
      </w:r>
    </w:p>
    <w:p>
      <w:pPr>
        <w:spacing w:after="0" w:line="191" w:lineRule="exact"/>
        <w:rPr>
          <w:sz w:val="20"/>
          <w:szCs w:val="20"/>
          <w:color w:val="auto"/>
        </w:rPr>
      </w:pPr>
    </w:p>
    <w:p>
      <w:pPr>
        <w:ind w:left="1260" w:right="599"/>
        <w:spacing w:after="0" w:line="266" w:lineRule="auto"/>
        <w:rPr>
          <w:sz w:val="20"/>
          <w:szCs w:val="20"/>
          <w:color w:val="auto"/>
        </w:rPr>
      </w:pPr>
      <w:r>
        <w:rPr>
          <w:rFonts w:ascii="Arial" w:cs="Arial" w:eastAsia="Arial" w:hAnsi="Arial"/>
          <w:sz w:val="18"/>
          <w:szCs w:val="18"/>
          <w:b w:val="1"/>
          <w:bCs w:val="1"/>
          <w:color w:val="auto"/>
        </w:rPr>
        <w:t>Effects of Our Current Certificate of Incorporation, Our Current Bylaws and Certain Provisions of Delaware Law</w:t>
      </w:r>
    </w:p>
    <w:p>
      <w:pPr>
        <w:spacing w:after="0" w:line="99" w:lineRule="exact"/>
        <w:rPr>
          <w:sz w:val="20"/>
          <w:szCs w:val="20"/>
          <w:color w:val="auto"/>
        </w:rPr>
      </w:pPr>
    </w:p>
    <w:p>
      <w:pPr>
        <w:ind w:left="1260" w:right="539" w:firstLine="360"/>
        <w:spacing w:after="0" w:line="244" w:lineRule="auto"/>
        <w:rPr>
          <w:sz w:val="20"/>
          <w:szCs w:val="20"/>
          <w:color w:val="auto"/>
        </w:rPr>
      </w:pPr>
      <w:r>
        <w:rPr>
          <w:rFonts w:ascii="Arial" w:cs="Arial" w:eastAsia="Arial" w:hAnsi="Arial"/>
          <w:sz w:val="18"/>
          <w:szCs w:val="18"/>
          <w:color w:val="auto"/>
        </w:rPr>
        <w:t>Our current certificate of incorporation, our current bylaws and the DGCL contain provisions, which are summarized in the following paragraphs, that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us. However, these provisions may have the effect of delaying, deterring or preventing a merger or acquisition of the Company by means of a tender offer, a proxy contest or other takeover attempt that a stockholder might consider in its best interest, including attempts that might result in a premium over the prevailing market price for the shares of our common stock held by stockholders.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used in the future may be used for a variety of corporate purposes, including future public offerings, to raise additional capital or to facilitate acquisitions.</w:t>
      </w:r>
    </w:p>
    <w:p>
      <w:pPr>
        <w:spacing w:after="0" w:line="12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Board may generally issue one or more series of preferred shares on terms calculated to discourage, delay or prevent a change of control of the Company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spacing w:after="0" w:line="103" w:lineRule="exact"/>
        <w:rPr>
          <w:sz w:val="20"/>
          <w:szCs w:val="20"/>
          <w:color w:val="auto"/>
        </w:rPr>
      </w:pPr>
    </w:p>
    <w:p>
      <w:pPr>
        <w:ind w:left="1260" w:right="419" w:firstLine="360"/>
        <w:spacing w:after="0" w:line="246" w:lineRule="auto"/>
        <w:rPr>
          <w:sz w:val="20"/>
          <w:szCs w:val="20"/>
          <w:color w:val="auto"/>
        </w:rPr>
      </w:pPr>
      <w:r>
        <w:rPr>
          <w:rFonts w:ascii="Arial" w:cs="Arial" w:eastAsia="Arial" w:hAnsi="Arial"/>
          <w:sz w:val="18"/>
          <w:szCs w:val="18"/>
          <w:color w:val="auto"/>
        </w:rPr>
        <w:t>One of the effects of the existence of authorized and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8"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In our current certificate of incorporation, we have not opted out of Section 203 of the DGCL, which prohibits a Delaware corporation from engaging in certain “business combinations” with any “interested stockholder” for a three-year period following the time that the stockholder became an interested stockholder, unless:</w:t>
      </w:r>
    </w:p>
    <w:p>
      <w:pPr>
        <w:spacing w:after="0" w:line="73" w:lineRule="exact"/>
        <w:rPr>
          <w:sz w:val="20"/>
          <w:szCs w:val="20"/>
          <w:color w:val="auto"/>
        </w:rPr>
      </w:pPr>
    </w:p>
    <w:p>
      <w:pPr>
        <w:ind w:left="1800" w:right="1039" w:hanging="180"/>
        <w:spacing w:after="0" w:line="27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that resulted in the stockholder becoming an interested stockholder;</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1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voting stock outstanding at the time the transaction commenced, excluding certain shares; or</w:t>
      </w:r>
    </w:p>
    <w:p>
      <w:pPr>
        <w:spacing w:after="0" w:line="75" w:lineRule="exact"/>
        <w:rPr>
          <w:rFonts w:ascii="Arial" w:cs="Arial" w:eastAsia="Arial" w:hAnsi="Arial"/>
          <w:sz w:val="18"/>
          <w:szCs w:val="18"/>
          <w:color w:val="auto"/>
        </w:rPr>
      </w:pPr>
    </w:p>
    <w:p>
      <w:pPr>
        <w:ind w:left="1800" w:right="599" w:hanging="180"/>
        <w:spacing w:after="0" w:line="263" w:lineRule="auto"/>
        <w:tabs>
          <w:tab w:leader="none" w:pos="1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and by the affirmative vote of holders of at least two-thirds of the votes of our outstanding voting stock that is not owned by the interested stockholder.</w:t>
      </w:r>
    </w:p>
    <w:p>
      <w:pPr>
        <w:spacing w:after="0" w:line="116" w:lineRule="exact"/>
        <w:rPr>
          <w:sz w:val="20"/>
          <w:szCs w:val="20"/>
          <w:color w:val="auto"/>
        </w:rPr>
      </w:pPr>
    </w:p>
    <w:p>
      <w:pPr>
        <w:jc w:val="both"/>
        <w:ind w:left="1260" w:right="439" w:firstLine="360"/>
        <w:spacing w:after="0" w:line="260"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w:t>
      </w:r>
    </w:p>
    <w:p>
      <w:pPr>
        <w:jc w:val="both"/>
        <w:ind w:left="1260" w:right="419"/>
        <w:spacing w:after="0" w:line="273" w:lineRule="auto"/>
        <w:rPr>
          <w:sz w:val="20"/>
          <w:szCs w:val="20"/>
          <w:color w:val="auto"/>
        </w:rPr>
      </w:pPr>
      <w:r>
        <w:rPr>
          <w:rFonts w:ascii="Arial" w:cs="Arial" w:eastAsia="Arial" w:hAnsi="Arial"/>
          <w:sz w:val="17"/>
          <w:szCs w:val="17"/>
          <w:color w:val="auto"/>
        </w:rPr>
        <w:t>three years owned, 15% or more of the votes of our outstanding voting stock. For purposes of this provision, “voting stock” means any class or series of stock entitled to vote generally in the election of directors.</w:t>
      </w:r>
    </w:p>
    <w:p>
      <w:pPr>
        <w:spacing w:after="0" w:line="94" w:lineRule="exact"/>
        <w:rPr>
          <w:sz w:val="20"/>
          <w:szCs w:val="20"/>
          <w:color w:val="auto"/>
        </w:rPr>
      </w:pPr>
    </w:p>
    <w:p>
      <w:pPr>
        <w:ind w:left="1260" w:right="619" w:firstLine="360"/>
        <w:spacing w:after="0" w:line="280" w:lineRule="auto"/>
        <w:rPr>
          <w:sz w:val="20"/>
          <w:szCs w:val="20"/>
          <w:color w:val="auto"/>
        </w:rPr>
      </w:pPr>
      <w:r>
        <w:rPr>
          <w:rFonts w:ascii="Arial" w:cs="Arial" w:eastAsia="Arial" w:hAnsi="Arial"/>
          <w:sz w:val="16"/>
          <w:szCs w:val="16"/>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because the stockholder approval requirement would be avoided if our Board approves either the business combination or the transaction that results in the stockholder becoming an interested stockholder. This provision also may have the effect of preventing changes in our Board and may make it more difficult to accomplish transactions that stockholders may otherwise deem to be in their best interests.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58"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Under the DGCL, unless otherwise provided in our current certificate of incorporation, directors serving on a board may be removed by the stockholders with or without cause. Our current certificate of incorporation provides that any director may be removed from office by the stockholders, with or without cause, by the affirmative vote of the holders of a majority of the total voting power of all outstanding securities generally entitled to vote in the election of directors, voting together as a single class. However, pursuant to the Investor Rights Agreement, Ayar has the exclusive right to (i) remove its nominees from the Board, and we are required to take all necessary action to cause the removal of any such nominee at the request of Ayar and (ii) designate directors for election or appointment, as applicable, to the Board to fill vacancies created by reason of death, removal or resignation of its nominees to the Board, and we are required to take all necessary action to nominate or cause the Board to appoint, as applicable, replacement directors designated by Ayar to fill any such vacancies created pursuant to clause (i) or (ii) above as promptly as practicable after such designation (and in any event prior to the next meeting or action of the Board or applicable committee). In addition, our current certificate of incorporation provides that, without limiting the rights of any party to the Investor Rights Agreement, vacancies on the Board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and each director so elected shall hold office until such director’s successor shall have been duly elected and qualified or until such director’s earlier death, resignation, or removal. Our current certificate of incorporation provides that, subject to the Investor Rights Agreement, the number of directors constituting the Board can be fixed exclusively by one or more resolutions adopted from time to time solely by the affirmative vote of a majority of the Board.</w:t>
      </w:r>
    </w:p>
    <w:p>
      <w:pPr>
        <w:spacing w:after="0" w:line="38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current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8" w:lineRule="exact"/>
        <w:rPr>
          <w:sz w:val="20"/>
          <w:szCs w:val="20"/>
          <w:color w:val="auto"/>
        </w:rPr>
      </w:pPr>
    </w:p>
    <w:p>
      <w:pPr>
        <w:ind w:left="1260" w:right="759" w:firstLine="360"/>
        <w:spacing w:after="0" w:line="249" w:lineRule="auto"/>
        <w:rPr>
          <w:sz w:val="20"/>
          <w:szCs w:val="20"/>
          <w:color w:val="auto"/>
        </w:rPr>
      </w:pPr>
      <w:r>
        <w:rPr>
          <w:rFonts w:ascii="Arial" w:cs="Arial" w:eastAsia="Arial" w:hAnsi="Arial"/>
          <w:sz w:val="18"/>
          <w:szCs w:val="18"/>
          <w:color w:val="auto"/>
        </w:rPr>
        <w:t>Our current certificate of incorporation provides that special meetings of the stockholders may be called only by the Board acting pursuant to a resolution adopted by a majority of the Board. Our current bylaws prohibit the conduct of any business at a special meeting other than as specified in the notice for such</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meeting. These provisions may have the effect of deferring, delaying or discouraging hostile takeovers, or changes in control or management of the Company.</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58"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Our current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of our stockholders, a stockholder will have to comply with advance notice requirements and provide us with certain information. Generally, to be timely, a stockholder’s notice must be received by our secretary not less than 90 calendar days nor more than 120 calendar days prior to the first anniversary date of the immediately preceding annual meeting of stockholders. Our current bylaws also specify requirements as to the form and content of a stockholder’s notice. Our current bylaws allow the chairperson of the meeting at a meeting of the stockholders to adopt rules and regulations for the conduct of meetings, which may have the effect of precluding the conduct of certain business at a meeting if the rules and regulations are not followed. These provisions may also deter, delay or discourage a potential acquirer from conducting a solicitation of proxies to elect the acquirer’s own slate of directors or otherwise attempting to influence or obtain control of the Company.</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current certificate of incorporation provides otherwise. Our current certificate of incorporation precludes stockholder action by written consent at any time when Ayar and its permitted transferees beneficially own, in the aggregate, less than 50% in voting power of the stock of the Company entitled to vote generally in the election of directors, other than certain rights that holders of our preferred stock may have to act by written consent.</w:t>
      </w:r>
    </w:p>
    <w:p>
      <w:pPr>
        <w:spacing w:after="0" w:line="18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Dissenters’ Rights of Appraisal and Payment</w:t>
      </w:r>
    </w:p>
    <w:p>
      <w:pPr>
        <w:spacing w:after="0" w:line="144" w:lineRule="exact"/>
        <w:rPr>
          <w:sz w:val="20"/>
          <w:szCs w:val="20"/>
          <w:color w:val="auto"/>
        </w:rPr>
      </w:pPr>
    </w:p>
    <w:p>
      <w:pPr>
        <w:ind w:left="1260" w:right="659" w:firstLine="360"/>
        <w:spacing w:after="0" w:line="268"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Stockholders’ Derivative Actions</w:t>
      </w:r>
    </w:p>
    <w:p>
      <w:pPr>
        <w:spacing w:after="0" w:line="144"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incident to which the action relates or such stockholder’s stock thereafter devolved by operation of law.</w:t>
      </w:r>
    </w:p>
    <w:p>
      <w:pPr>
        <w:spacing w:after="0" w:line="194"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44" w:lineRule="exact"/>
        <w:rPr>
          <w:sz w:val="20"/>
          <w:szCs w:val="20"/>
          <w:color w:val="auto"/>
        </w:rPr>
      </w:pPr>
    </w:p>
    <w:p>
      <w:pPr>
        <w:ind w:left="1260" w:right="439" w:firstLine="360"/>
        <w:spacing w:after="0" w:line="258" w:lineRule="auto"/>
        <w:rPr>
          <w:sz w:val="20"/>
          <w:szCs w:val="20"/>
          <w:color w:val="auto"/>
        </w:rPr>
      </w:pPr>
      <w:r>
        <w:rPr>
          <w:rFonts w:ascii="Arial" w:cs="Arial" w:eastAsia="Arial" w:hAnsi="Arial"/>
          <w:sz w:val="17"/>
          <w:szCs w:val="17"/>
          <w:color w:val="auto"/>
        </w:rPr>
        <w:t>Our current bylaws provide that unless the Company consents in writing to the selection of an alternative forum, the sole and exclusive forum for (i) any derivative action or proceeding brought on behalf of the Company, (ii) any action asserting a claim of breach of a fiduciary duty owed by any director or officer or other employee of the Company to the Company or the Company’s stockholders, (iii) any action asserting a claim against the Company or any director or officer or other employee of the Company arising pursuant to any provision of Delaware law or our current certificate of incorporation or our current bylaws (in each case, as they may be amended from time to time), or (iv) any action asserting a claim against the Company or any director or officer or other employee of the Company governed by the internal affairs doctrine shall be a state court located within the State of Delaware (or, if no state court located within the State of Delaware has jurisdiction, the federal district court for the District of Delaware), in all cases</w:t>
      </w:r>
    </w:p>
    <w:p>
      <w:pPr>
        <w:spacing w:after="0" w:line="3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3" w:lineRule="auto"/>
        <w:rPr>
          <w:sz w:val="20"/>
          <w:szCs w:val="20"/>
          <w:color w:val="auto"/>
        </w:rPr>
      </w:pPr>
      <w:r>
        <w:rPr>
          <w:rFonts w:ascii="Arial" w:cs="Arial" w:eastAsia="Arial" w:hAnsi="Arial"/>
          <w:sz w:val="18"/>
          <w:szCs w:val="18"/>
          <w:color w:val="auto"/>
        </w:rPr>
        <w:t>subject to the court’s having personal jurisdiction over the indispensable parties named as defendants. These provisions do not apply to claims arising under the Securities Act, the Exchange Act, or other federal securities laws for which there is exclusive federal or concurrent federal and state jurisdiction. Unless the Company consents in writing to the selection of an alternative forum, the federal district courts of the United States of America shall be the exclusive forum for the resolution of any complaint asserting a cause of action arising under the Securities Act. Any person or entity purchasing or otherwise acquiring any interest in shares of capital stock of the Company shall be deemed to have notice of and consented to the forum provisions in our current bylaws. However, it is possible that a court could find our forum selection provisions to be inapplicable or unenforceable.</w:t>
      </w:r>
    </w:p>
    <w:p>
      <w:pPr>
        <w:spacing w:after="0" w:line="196"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5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7" w:lineRule="exact"/>
        <w:rPr>
          <w:sz w:val="20"/>
          <w:szCs w:val="20"/>
          <w:color w:val="auto"/>
        </w:rPr>
      </w:pPr>
    </w:p>
    <w:p>
      <w:pPr>
        <w:ind w:left="1260" w:right="479" w:firstLine="360"/>
        <w:spacing w:after="0" w:line="267"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04" w:lineRule="exact"/>
        <w:rPr>
          <w:sz w:val="20"/>
          <w:szCs w:val="20"/>
          <w:color w:val="auto"/>
        </w:rPr>
      </w:pPr>
    </w:p>
    <w:p>
      <w:pPr>
        <w:ind w:left="1260" w:right="679" w:firstLine="360"/>
        <w:spacing w:after="0" w:line="255" w:lineRule="auto"/>
        <w:rPr>
          <w:sz w:val="20"/>
          <w:szCs w:val="20"/>
          <w:color w:val="auto"/>
        </w:rPr>
      </w:pPr>
      <w:r>
        <w:rPr>
          <w:rFonts w:ascii="Arial" w:cs="Arial" w:eastAsia="Arial" w:hAnsi="Arial"/>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25"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ectPr>
          <w:pgSz w:w="11900" w:h="16838" w:orient="portrait"/>
          <w:cols w:equalWidth="0" w:num="1">
            <w:col w:w="9879"/>
          </w:cols>
          <w:pgMar w:left="580" w:top="131" w:right="1440" w:bottom="1440" w:gutter="0" w:footer="0" w:header="0"/>
        </w:sect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0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Our Transfer Agent and Warrant Agent</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transfer agent for our common stock and warrant agent for our warrants is Equiniti Trust Company.</w:t>
      </w:r>
    </w:p>
    <w:p>
      <w:pPr>
        <w:spacing w:after="0" w:line="156" w:lineRule="exact"/>
        <w:rPr>
          <w:sz w:val="20"/>
          <w:szCs w:val="20"/>
          <w:color w:val="auto"/>
        </w:rPr>
      </w:pPr>
    </w:p>
    <w:p>
      <w:pPr>
        <w:ind w:left="1260" w:right="599" w:firstLine="360"/>
        <w:spacing w:after="0" w:line="257" w:lineRule="auto"/>
        <w:rPr>
          <w:sz w:val="20"/>
          <w:szCs w:val="20"/>
          <w:color w:val="auto"/>
        </w:rPr>
      </w:pPr>
      <w:r>
        <w:rPr>
          <w:rFonts w:ascii="Arial" w:cs="Arial" w:eastAsia="Arial" w:hAnsi="Arial"/>
          <w:sz w:val="18"/>
          <w:szCs w:val="18"/>
          <w:color w:val="auto"/>
        </w:rPr>
        <w:t>We have agreed to indemnify Equiniti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DEBT SECURITIES</w:t>
      </w:r>
    </w:p>
    <w:p>
      <w:pPr>
        <w:spacing w:after="0" w:line="162"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i w:val="1"/>
          <w:iCs w:val="1"/>
          <w:color w:val="auto"/>
        </w:rPr>
        <w:t>The following description of debt securities does not purport to be complete and is subject to and qualified in its entirety by reference to the indenture, a form of which has been filed with the SEC as an exhibit to the registration statement of which this prospectus is a part. Any future supplemental indenture or similar document will also be so filed. You should read the indenture and any supplemental indenture or similar document because they, and not this summary, define your rights as a holder of our debt securities. All capitalized terms have the meanings specified in the indenture.</w:t>
      </w:r>
    </w:p>
    <w:p>
      <w:pPr>
        <w:spacing w:after="0" w:line="118" w:lineRule="exact"/>
        <w:rPr>
          <w:sz w:val="20"/>
          <w:szCs w:val="20"/>
          <w:color w:val="auto"/>
        </w:rPr>
      </w:pPr>
    </w:p>
    <w:p>
      <w:pPr>
        <w:ind w:left="1260" w:right="619" w:firstLine="360"/>
        <w:spacing w:after="0" w:line="283" w:lineRule="auto"/>
        <w:rPr>
          <w:sz w:val="20"/>
          <w:szCs w:val="20"/>
          <w:color w:val="auto"/>
        </w:rPr>
      </w:pPr>
      <w:r>
        <w:rPr>
          <w:rFonts w:ascii="Arial" w:cs="Arial" w:eastAsia="Arial" w:hAnsi="Arial"/>
          <w:sz w:val="16"/>
          <w:szCs w:val="16"/>
          <w:color w:val="auto"/>
        </w:rPr>
        <w:t>As used in this prospectus, debt securities means the debentures, notes, bonds and other evidences of indebtedness that we may issue separately or upon exercise of a debt warrant from time to time. The debt securities may either be senior debt securities or subordinated debt securities. The debt securities we offer will be issued under an indenture between us and a trustee to be named therein. Debt securities, whether senior or subordinated, may be issued as convertible debt securities or exchangeable debt securities.</w:t>
      </w:r>
    </w:p>
    <w:p>
      <w:pPr>
        <w:spacing w:after="0" w:line="90" w:lineRule="exact"/>
        <w:rPr>
          <w:sz w:val="20"/>
          <w:szCs w:val="20"/>
          <w:color w:val="auto"/>
        </w:rPr>
      </w:pPr>
    </w:p>
    <w:p>
      <w:pPr>
        <w:ind w:left="1260" w:right="839" w:firstLine="360"/>
        <w:spacing w:after="0" w:line="261" w:lineRule="auto"/>
        <w:rPr>
          <w:sz w:val="20"/>
          <w:szCs w:val="20"/>
          <w:color w:val="auto"/>
        </w:rPr>
      </w:pPr>
      <w:r>
        <w:rPr>
          <w:rFonts w:ascii="Arial" w:cs="Arial" w:eastAsia="Arial" w:hAnsi="Arial"/>
          <w:sz w:val="18"/>
          <w:szCs w:val="18"/>
          <w:color w:val="auto"/>
        </w:rPr>
        <w:t>As used in this “Description of Debt Securities,” the terms “Lucid,” “we,” “our,” and “us” refer to Lucid Group, Inc. and do not, unless otherwise specified, include our subsidiaries.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 Terms of the Indenture</w:t>
      </w:r>
    </w:p>
    <w:p>
      <w:pPr>
        <w:spacing w:after="0" w:line="148"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The debt securities will be our direct unsecured obligations. The senior debt securities will rank equally with all of our other senior unsecured and unsubordinated debt. The subordinated debt securities will be subordinate and junior in right of payment to all of our present and future senior indebtedness to the extent and in the manner described in the prospectus supplement and as set forth in the supplemental indenture, board resolution or officers’ certificate relating to such offering.</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The indenture does not limit the amount of debt securities that we may issue. It provides that we may issue debt securities up to the principal amount that we may authorize and may be in any currency or currency unit designated by us. Except for the limitations on consolidation, merger and sale of all or substantially all of our assets contained in the indenture, the terms of the indenture do not contain any covenants or other provisions designed to afford holders of any debt securities protection with respect to our operations, financial condition or transactions involving us.</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U.S. federal income tax purposes, be treated as if they were issued with “original issue discount,” because of interest payment and other characteristics. Special U.S. federal income tax considerations applicable to debt securities issued with original issue discount will be described in more detail in any applicable prospectus supplement.</w:t>
      </w:r>
    </w:p>
    <w:p>
      <w:pPr>
        <w:spacing w:after="0" w:line="105" w:lineRule="exact"/>
        <w:rPr>
          <w:sz w:val="20"/>
          <w:szCs w:val="20"/>
          <w:color w:val="auto"/>
        </w:rPr>
      </w:pPr>
    </w:p>
    <w:p>
      <w:pPr>
        <w:ind w:left="1260" w:right="499" w:firstLine="360"/>
        <w:spacing w:after="0" w:line="261" w:lineRule="auto"/>
        <w:rPr>
          <w:sz w:val="20"/>
          <w:szCs w:val="20"/>
          <w:color w:val="auto"/>
        </w:rPr>
      </w:pPr>
      <w:r>
        <w:rPr>
          <w:rFonts w:ascii="Arial" w:cs="Arial" w:eastAsia="Arial" w:hAnsi="Arial"/>
          <w:sz w:val="18"/>
          <w:szCs w:val="18"/>
          <w:color w:val="auto"/>
        </w:rPr>
        <w:t>The applicable prospectus supplement for a series of debt securities that we issue will describe, among other things, the following terms of the offered debt securities:</w:t>
      </w:r>
    </w:p>
    <w:p>
      <w:pPr>
        <w:spacing w:after="0" w:line="63" w:lineRule="exact"/>
        <w:rPr>
          <w:sz w:val="20"/>
          <w:szCs w:val="20"/>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title;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principal amount;</w:t>
      </w:r>
    </w:p>
    <w:p>
      <w:pPr>
        <w:spacing w:after="0" w:line="90"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issued in fully registered form without coupons or in a form registered as to principal only with coupons;</w:t>
      </w:r>
    </w:p>
    <w:p>
      <w:pPr>
        <w:spacing w:after="0" w:line="48"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issued in the form of one or more global securities and whether all or a portion of the principal amount of the debt securities is represented thereby;</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or prices at which the debt securities will be issued;</w:t>
      </w:r>
    </w:p>
    <w:p>
      <w:pPr>
        <w:spacing w:after="0" w:line="90" w:lineRule="exact"/>
        <w:rPr>
          <w:rFonts w:ascii="Arial" w:cs="Arial" w:eastAsia="Arial" w:hAnsi="Arial"/>
          <w:sz w:val="18"/>
          <w:szCs w:val="18"/>
          <w:color w:val="auto"/>
        </w:rPr>
      </w:pPr>
    </w:p>
    <w:p>
      <w:pPr>
        <w:ind w:left="1800" w:hanging="180"/>
        <w:spacing w:after="0"/>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date or dates on which principal is payable;</w:t>
      </w:r>
    </w:p>
    <w:p>
      <w:pPr>
        <w:spacing w:after="0" w:line="103"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premium or interest will be payable and the place or places where the debt securities may be presented for transfer and, if applicable, conversion or exchange;</w:t>
      </w:r>
    </w:p>
    <w:p>
      <w:pPr>
        <w:spacing w:after="0" w:line="62"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will accrue, and the dates when interest is payable;</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rights or obligations to redeem or purchase the debt securities, including sinking fund or partial redemption payments;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currency or currencies of payment of principal or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applicable to any debt securities issued at a discount from their stated principal amount;</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terms, if any, pursuant to which any debt securities will be subordinate to any of our other debt;</w:t>
      </w:r>
    </w:p>
    <w:p>
      <w:pPr>
        <w:spacing w:after="0" w:line="115" w:lineRule="exact"/>
        <w:rPr>
          <w:rFonts w:ascii="Arial" w:cs="Arial" w:eastAsia="Arial" w:hAnsi="Arial"/>
          <w:sz w:val="17"/>
          <w:szCs w:val="17"/>
          <w:color w:val="auto"/>
        </w:rPr>
      </w:pPr>
    </w:p>
    <w:p>
      <w:pPr>
        <w:ind w:left="1800" w:right="659" w:hanging="180"/>
        <w:spacing w:after="0" w:line="259"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78" w:lineRule="exact"/>
        <w:rPr>
          <w:rFonts w:ascii="Arial" w:cs="Arial" w:eastAsia="Arial" w:hAnsi="Arial"/>
          <w:sz w:val="18"/>
          <w:szCs w:val="18"/>
          <w:color w:val="auto"/>
        </w:rPr>
      </w:pPr>
    </w:p>
    <w:p>
      <w:pPr>
        <w:ind w:left="1800" w:right="699" w:hanging="180"/>
        <w:spacing w:after="0" w:line="308" w:lineRule="auto"/>
        <w:tabs>
          <w:tab w:leader="none" w:pos="1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other than the entire principal amount of the debt securities when issued, the portion of the principal amount payable upon acceleration of maturity as a result of a default on our obligations;</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provisions for the remarketing of the debt securities;</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applicable, covenants affording holders of debt protection with respect to our operations, financial condition or transactions involving us;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158"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The applicable prospectus supplement will set forth certain U.S. federal income tax considerations for holders of any debt securities and the securities exchange or quotation system on which any debt securities are listed or quoted, if any.</w:t>
      </w:r>
    </w:p>
    <w:p>
      <w:pPr>
        <w:spacing w:after="0" w:line="116"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Debt securities issued by us will be structurally subordinated to all indebtedness and other liabilities of our subsidiaries.</w:t>
      </w:r>
    </w:p>
    <w:p>
      <w:pPr>
        <w:spacing w:after="0" w:line="89" w:lineRule="exact"/>
        <w:rPr>
          <w:sz w:val="20"/>
          <w:szCs w:val="20"/>
          <w:color w:val="auto"/>
        </w:rPr>
      </w:pPr>
    </w:p>
    <w:p>
      <w:pPr>
        <w:jc w:val="both"/>
        <w:ind w:left="1260" w:right="799" w:firstLine="360"/>
        <w:spacing w:after="0" w:line="342" w:lineRule="auto"/>
        <w:rPr>
          <w:sz w:val="20"/>
          <w:szCs w:val="20"/>
          <w:color w:val="auto"/>
        </w:rPr>
      </w:pPr>
      <w:r>
        <w:rPr>
          <w:rFonts w:ascii="Arial" w:cs="Arial" w:eastAsia="Arial" w:hAnsi="Arial"/>
          <w:sz w:val="16"/>
          <w:szCs w:val="16"/>
          <w:color w:val="auto"/>
        </w:rPr>
        <w:t>Unless otherwise provided in the applicable prospectus supplement, all securities of any one series need not be issued at the same time and may be issued from time to time without consent of any holder.</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Subordination</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prospectus supplement relating to any offering of subordinated debt securities will describe the specific subordination provisions, including the extent of subordination of payments by us of the principal of, premium, if any, and interest on such subordinated debt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Conversion or Exchange Rights</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Debt securities may be convertible into or exchangeable for our other securities or property. The terms and conditions of conversion or exchange will be set forth in the applicable prospectus supplement. The terms will include, among others, the following:</w:t>
      </w:r>
    </w:p>
    <w:p>
      <w:pPr>
        <w:spacing w:after="0" w:line="76" w:lineRule="exact"/>
        <w:rPr>
          <w:sz w:val="20"/>
          <w:szCs w:val="20"/>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provisions regarding the ability of us or the holder to convert or exchange the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provisions affecting conversion or exchange in the event of our redemption of the debt securities.</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or Sale</w:t>
      </w:r>
    </w:p>
    <w:p>
      <w:pPr>
        <w:spacing w:after="0" w:line="148" w:lineRule="exact"/>
        <w:rPr>
          <w:sz w:val="20"/>
          <w:szCs w:val="20"/>
          <w:color w:val="auto"/>
        </w:rPr>
      </w:pPr>
    </w:p>
    <w:p>
      <w:pPr>
        <w:ind w:left="1260" w:right="739" w:firstLine="360"/>
        <w:spacing w:after="0" w:line="342" w:lineRule="auto"/>
        <w:rPr>
          <w:sz w:val="20"/>
          <w:szCs w:val="20"/>
          <w:color w:val="auto"/>
        </w:rPr>
      </w:pPr>
      <w:r>
        <w:rPr>
          <w:rFonts w:ascii="Arial" w:cs="Arial" w:eastAsia="Arial" w:hAnsi="Arial"/>
          <w:sz w:val="16"/>
          <w:szCs w:val="16"/>
          <w:color w:val="auto"/>
        </w:rPr>
        <w:t>We cannot consolidate with or merge into, or convey, transfer or lease all or substantially all of our properties and assets to, any person unless (1) we will be the continuing corporation or (2) the successor</w:t>
      </w:r>
    </w:p>
    <w:p>
      <w:pPr>
        <w:sectPr>
          <w:pgSz w:w="11900" w:h="16838" w:orient="portrait"/>
          <w:cols w:equalWidth="0" w:num="1">
            <w:col w:w="9879"/>
          </w:cols>
          <w:pgMar w:left="580" w:top="131" w:right="1440" w:bottom="1440" w:gutter="0" w:footer="0" w:header="0"/>
        </w:sectPr>
      </w:pPr>
    </w:p>
    <w:p>
      <w:pPr>
        <w:spacing w:after="0" w:line="31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72" w:lineRule="auto"/>
        <w:rPr>
          <w:sz w:val="20"/>
          <w:szCs w:val="20"/>
          <w:color w:val="auto"/>
        </w:rPr>
      </w:pPr>
      <w:r>
        <w:rPr>
          <w:rFonts w:ascii="Arial" w:cs="Arial" w:eastAsia="Arial" w:hAnsi="Arial"/>
          <w:sz w:val="17"/>
          <w:szCs w:val="17"/>
          <w:color w:val="auto"/>
        </w:rPr>
        <w:t>corporation or person to which our assets are conveyed, transferred or leased is a corporation, partnership, trust or other entity that expressly assumes our obligations on the debt securities and under the indenture. In addition, we cannot effect such a transaction unless immediately after giving effect to such transaction, no default or event of default under the indenture shall have occurred and be continuing. Subject to certain exceptions, when the person to whom our assets are transferred or leased has assumed our obligations under the debt securities and the indenture, we shall be discharged from all our obligations under the debt securities and the indenture, except in limited circumstances.</w:t>
      </w:r>
    </w:p>
    <w:p>
      <w:pPr>
        <w:spacing w:after="0" w:line="11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This covenant would not apply to any recapitalization transaction, a change of control of us or a highly leveraged transaction, unless the transaction or change of control were structured to include a merger or consolidation or transfer or lease of all or substantially all of our assets.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62"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Unless otherwise indicated, the term “Event of Default,” when used in the indenture, means any of the following:</w:t>
      </w:r>
    </w:p>
    <w:p>
      <w:pPr>
        <w:spacing w:after="0" w:line="62" w:lineRule="exact"/>
        <w:rPr>
          <w:sz w:val="20"/>
          <w:szCs w:val="20"/>
          <w:color w:val="auto"/>
        </w:rPr>
      </w:pPr>
    </w:p>
    <w:p>
      <w:pPr>
        <w:ind w:left="1800" w:right="559" w:hanging="180"/>
        <w:spacing w:after="0" w:line="263"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 provided that, an extension of an interest payment period in accordance with the terms of the debt securities shall not constitute a failure to pay interest;</w:t>
      </w:r>
    </w:p>
    <w:p>
      <w:pPr>
        <w:spacing w:after="0" w:line="75"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make sinking fund payments when due;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perform any other covenant for 90 days after notice that performance was required;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events relating to bankruptcy, insolvency or reorganization; or</w:t>
      </w:r>
    </w:p>
    <w:p>
      <w:pPr>
        <w:spacing w:after="0" w:line="117" w:lineRule="exact"/>
        <w:rPr>
          <w:rFonts w:ascii="Arial" w:cs="Arial" w:eastAsia="Arial" w:hAnsi="Arial"/>
          <w:sz w:val="18"/>
          <w:szCs w:val="18"/>
          <w:color w:val="auto"/>
        </w:rPr>
      </w:pPr>
    </w:p>
    <w:p>
      <w:pPr>
        <w:ind w:left="1800" w:right="859" w:hanging="180"/>
        <w:spacing w:after="0" w:line="308" w:lineRule="auto"/>
        <w:tabs>
          <w:tab w:leader="none" w:pos="1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any other Event of Default provided in the applicable resolution of our board of directors or the officers’ certificate or supplemental indenture under which we issue series of debt securities.</w:t>
      </w:r>
    </w:p>
    <w:p>
      <w:pPr>
        <w:spacing w:after="0" w:line="7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If an Event of Default relating to the payment of interest, principal or any sinking fund installment involving any series of debt securities has occurred and is continuing, the trustee or the holders of not less than 25% in aggregate principal amount of the debt securities of each affected series may declare the entire principal of all the debt securities of that series to be due and payable immediately.</w:t>
      </w:r>
    </w:p>
    <w:p>
      <w:pPr>
        <w:spacing w:after="0" w:line="125"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If an Event of Default relating to the performance of other covenants has occurred and is continuing for a period of 90 days after notice of such, or involves all of the series of senior debt securities, then the trustee or the holders of not less than 25% in aggregate principal amount of all of the series of senior debt securities may declare the entire principal amount of all of the series of senior debt securities due and payable immediately.</w:t>
      </w:r>
    </w:p>
    <w:p>
      <w:pPr>
        <w:spacing w:after="0" w:line="107" w:lineRule="exact"/>
        <w:rPr>
          <w:sz w:val="20"/>
          <w:szCs w:val="20"/>
          <w:color w:val="auto"/>
        </w:rPr>
      </w:pPr>
    </w:p>
    <w:p>
      <w:pPr>
        <w:ind w:left="1260" w:right="739" w:firstLine="360"/>
        <w:spacing w:after="0" w:line="257" w:lineRule="auto"/>
        <w:rPr>
          <w:sz w:val="20"/>
          <w:szCs w:val="20"/>
          <w:color w:val="auto"/>
        </w:rPr>
      </w:pPr>
      <w:r>
        <w:rPr>
          <w:rFonts w:ascii="Arial" w:cs="Arial" w:eastAsia="Arial" w:hAnsi="Arial"/>
          <w:sz w:val="18"/>
          <w:szCs w:val="18"/>
          <w:color w:val="auto"/>
        </w:rPr>
        <w:t>Similarly, if an Event of Default relating to the performance of other covenants has occurred and is continuing for a period of 90 days after notice of such, or involves all of the series of subordinated debt securities, then the trustee or the holders of not less than 25% in aggregate principal amount of all of the series of subordinated debt securities may declare the entire principal amount of all of the series of subordinated debt securities due and payable immediately.</w:t>
      </w:r>
    </w:p>
    <w:p>
      <w:pPr>
        <w:spacing w:after="0" w:line="12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however, the Event of Default relating to the performance of other covenants or any other Event of Default that has occurred and is continuing is for less than all of the series of senior debt securities or subordinated debt securities, as the case may be, then, the trustee or the holders of not less than 25% in aggregate principal amount of each affected series of the senior debt securities or the subordinated debt securities, as the case may be, may declare the entire principal amount of all debt securities of such affected series due and payable immediately. The holders of not less than a majority in aggregate principal amount of the debt securities of a series may, after satisfying conditions, rescind and annul any of the above-described declarations and consequences involving the series.</w:t>
      </w:r>
    </w:p>
    <w:p>
      <w:pPr>
        <w:sectPr>
          <w:pgSz w:w="11900" w:h="16838" w:orient="portrait"/>
          <w:cols w:equalWidth="0" w:num="1">
            <w:col w:w="9879"/>
          </w:cols>
          <w:pgMar w:left="580" w:top="131"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If an Event of Default relating to events in bankruptcy, insolvency or reorganization occurs and is continuing, then the principal amount of all of the debt securities outstanding, and any accrued interest, will automatically become due and payable immediately, without any declaration or other act by the trustee or any holder.</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indenture provides that the trustee shall within 90 days after the occurrence of default (or 30 days after it is known by the trustee) with respect to a particular series of debt securities, give the holders of the debt securities of such series notice of such default known to it; provided that, except in the case of a default or Event of Default in payment of the principal, premium, if any, of, or interest on, any debt security of such series or in the payment of any redemption obligation, the trustee may withhold the notice if, and so long as, it in good faith determines that withholding the notice is in the interests of the holders of debt securities of that series.</w:t>
      </w:r>
    </w:p>
    <w:p>
      <w:pPr>
        <w:spacing w:after="0" w:line="127" w:lineRule="exact"/>
        <w:rPr>
          <w:sz w:val="20"/>
          <w:szCs w:val="20"/>
          <w:color w:val="auto"/>
        </w:rPr>
      </w:pPr>
    </w:p>
    <w:p>
      <w:pPr>
        <w:ind w:left="1260" w:right="619" w:firstLine="360"/>
        <w:spacing w:after="0" w:line="263"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as provided below, no holder of debt securities of any series may institute any action against us under the indenture unless:</w:t>
      </w:r>
    </w:p>
    <w:p>
      <w:pPr>
        <w:spacing w:after="0" w:line="76" w:lineRule="exact"/>
        <w:rPr>
          <w:sz w:val="20"/>
          <w:szCs w:val="20"/>
          <w:color w:val="auto"/>
        </w:rPr>
      </w:pPr>
    </w:p>
    <w:p>
      <w:pPr>
        <w:ind w:left="1800" w:right="9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that default;</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requesting holders have offered the trustee reasonable security or indemnity satisfactory to it for expenses and liabilities that may be incurred by bringing the action;</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series.</w:t>
      </w:r>
    </w:p>
    <w:p>
      <w:pPr>
        <w:spacing w:after="0" w:line="103"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Notwithstanding the foregoing, each holder of debt securities of any series has the right, which is absolute and unconditional, to receive payment of the principal of and premium and interest, if any, on such debt securities when due and to institute suit for the enforcement of any such payment, and such rights may not be impaired without the consent of that holder of debt securities.</w:t>
      </w:r>
    </w:p>
    <w:p>
      <w:pPr>
        <w:spacing w:after="0" w:line="106"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compliance with any condition or covenant of the indenture.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Registered Global Securities</w:t>
      </w:r>
    </w:p>
    <w:p>
      <w:pPr>
        <w:spacing w:after="0" w:line="162"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We may issue the debt securities of a series in whole or in part in the form of one or more fully registered global securities that we will deposit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w:t>
      </w:r>
    </w:p>
    <w:p>
      <w:pPr>
        <w:spacing w:after="0" w:line="125"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62" w:lineRule="exact"/>
        <w:rPr>
          <w:sz w:val="20"/>
          <w:szCs w:val="20"/>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depositary for such registered global security to its nominee;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158"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with respect to any portion of such series represented by a registered global security. We anticipate that the following provisions will apply to all depositary arrangements for debt securities:</w:t>
      </w:r>
    </w:p>
    <w:p>
      <w:pPr>
        <w:sectPr>
          <w:pgSz w:w="11900" w:h="16838" w:orient="portrait"/>
          <w:cols w:equalWidth="0" w:num="1">
            <w:col w:w="9879"/>
          </w:cols>
          <w:pgMar w:left="580" w:top="131"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19" w:hanging="180"/>
        <w:spacing w:after="0" w:line="263"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beneficial interests in a registered global security will be limited to persons that have accounts with the depositary for the registered global security, those persons being referred to as “participants,” or persons that may hold interests through participants;</w:t>
      </w:r>
    </w:p>
    <w:p>
      <w:pPr>
        <w:spacing w:after="0" w:line="75" w:lineRule="exact"/>
        <w:rPr>
          <w:rFonts w:ascii="Arial" w:cs="Arial" w:eastAsia="Arial" w:hAnsi="Arial"/>
          <w:sz w:val="18"/>
          <w:szCs w:val="18"/>
          <w:color w:val="auto"/>
        </w:rPr>
      </w:pPr>
    </w:p>
    <w:p>
      <w:pPr>
        <w:ind w:left="1800" w:right="439" w:hanging="180"/>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92" w:lineRule="exact"/>
        <w:rPr>
          <w:rFonts w:ascii="Arial" w:cs="Arial" w:eastAsia="Arial" w:hAnsi="Arial"/>
          <w:sz w:val="18"/>
          <w:szCs w:val="18"/>
          <w:color w:val="auto"/>
        </w:rPr>
      </w:pPr>
    </w:p>
    <w:p>
      <w:pPr>
        <w:ind w:left="1800" w:right="101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dealers, underwriters, or agents participating in the distribution of the debt securities will designate the accounts to be credited; and</w:t>
      </w:r>
    </w:p>
    <w:p>
      <w:pPr>
        <w:spacing w:after="0" w:line="62"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ownership of any beneficial interest in the registered global security will be shown on, and the transfer of any ownership interest will be effected only through, records maintained by the depositary for the registered global security (with respect to interests of participants) and on the records of participants (with respect to interests of persons holding through participants).</w:t>
      </w:r>
    </w:p>
    <w:p>
      <w:pPr>
        <w:spacing w:after="0" w:line="106"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laws of some states may require that certain purchasers of securities take physical delivery of the securities in definitive form. These laws may limit the ability of those persons to own, transfer or pledge beneficial interests in registered global securities.</w:t>
      </w:r>
    </w:p>
    <w:p>
      <w:pPr>
        <w:spacing w:after="0" w:line="116"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the nominee, as the case may be, will be considered the sole owner or holder of the debt securities represented by the registered global security for all purposes under the indenture. Except as set forth below, owners of beneficial interests in a registered global security:</w:t>
      </w:r>
    </w:p>
    <w:p>
      <w:pPr>
        <w:spacing w:after="0" w:line="63" w:lineRule="exact"/>
        <w:rPr>
          <w:sz w:val="20"/>
          <w:szCs w:val="20"/>
          <w:color w:val="auto"/>
        </w:rPr>
      </w:pPr>
    </w:p>
    <w:p>
      <w:pPr>
        <w:ind w:left="1800" w:right="59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62" w:lineRule="exact"/>
        <w:rPr>
          <w:rFonts w:ascii="Arial" w:cs="Arial" w:eastAsia="Arial" w:hAnsi="Arial"/>
          <w:sz w:val="18"/>
          <w:szCs w:val="18"/>
          <w:color w:val="auto"/>
        </w:rPr>
      </w:pPr>
    </w:p>
    <w:p>
      <w:pPr>
        <w:ind w:left="1800" w:right="859" w:hanging="180"/>
        <w:spacing w:after="0" w:line="277"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indenture.</w:t>
      </w:r>
    </w:p>
    <w:p>
      <w:pPr>
        <w:spacing w:after="0" w:line="158"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1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those participants would authorize beneficial owners owning through those participants to give or take the action or would otherwise act upon the instructions of beneficial owners holding through them.</w:t>
      </w:r>
    </w:p>
    <w:p>
      <w:pPr>
        <w:spacing w:after="0" w:line="111"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None of Lucid, the trustee or any other agent of Lucid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7" w:lineRule="exact"/>
        <w:rPr>
          <w:sz w:val="20"/>
          <w:szCs w:val="20"/>
          <w:color w:val="auto"/>
        </w:rPr>
      </w:pPr>
    </w:p>
    <w:p>
      <w:pPr>
        <w:ind w:left="1260" w:right="559" w:firstLine="360"/>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w:t>
      </w:r>
    </w:p>
    <w:p>
      <w:pPr>
        <w:sectPr>
          <w:pgSz w:w="11900" w:h="16838" w:orient="portrait"/>
          <w:cols w:equalWidth="0" w:num="1">
            <w:col w:w="9879"/>
          </w:cols>
          <w:pgMar w:left="580" w:top="131"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77" w:lineRule="auto"/>
        <w:rPr>
          <w:sz w:val="20"/>
          <w:szCs w:val="20"/>
          <w:color w:val="auto"/>
        </w:rPr>
      </w:pPr>
      <w:r>
        <w:rPr>
          <w:rFonts w:ascii="Arial" w:cs="Arial" w:eastAsia="Arial" w:hAnsi="Arial"/>
          <w:sz w:val="18"/>
          <w:szCs w:val="18"/>
          <w:color w:val="auto"/>
        </w:rPr>
        <w:t>as is now the case with the securities held for the accounts of customers registered in “street name.” We also expect that any of these payments will be the responsibility of the participants.</w:t>
      </w:r>
    </w:p>
    <w:p>
      <w:pPr>
        <w:spacing w:after="0" w:line="10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ceases to be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such event, we will issue debt securities of that series in a definitive form in exchange for all of the registered global securities representing the debt securities. The trustee will register any debt securities issued in definitive form in exchange for a registered global security in such name or names as the depositary, based upon instructions from its participants, shall instruct the trustee.</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62" w:lineRule="exact"/>
        <w:rPr>
          <w:sz w:val="20"/>
          <w:szCs w:val="20"/>
          <w:color w:val="auto"/>
        </w:rPr>
      </w:pPr>
    </w:p>
    <w:p>
      <w:pPr>
        <w:ind w:left="1260" w:right="659" w:firstLine="360"/>
        <w:spacing w:after="0" w:line="259" w:lineRule="auto"/>
        <w:rPr>
          <w:sz w:val="20"/>
          <w:szCs w:val="20"/>
          <w:color w:val="auto"/>
        </w:rPr>
      </w:pPr>
      <w:r>
        <w:rPr>
          <w:rFonts w:ascii="Arial" w:cs="Arial" w:eastAsia="Arial" w:hAnsi="Arial"/>
          <w:sz w:val="18"/>
          <w:szCs w:val="18"/>
          <w:color w:val="auto"/>
        </w:rPr>
        <w:t>We can discharge or defease our obligations under the indenture as set forth below. Unless otherwise set forth in the applicable prospectus supplement, the subordination provisions applicable to any subordinated debt securities will be expressly made subject to the discharge and defeasance provisions of the indenture.</w:t>
      </w:r>
    </w:p>
    <w:p>
      <w:pPr>
        <w:spacing w:after="0" w:line="106"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We may discharge our obligations to holders of any series of debt securities that have not already been delivered to the trustee for cancellation and that have either become due and payable or are by their terms to become due and payable within one year (or are scheduled for redemption within one year). We may effect a discharge by irrevocably depositing with the trustee cash or U.S. government obligations or foreign government obligations, as applicable, as trust funds, in an amount certified to be sufficient to pay when due, whether at maturity, upon redemption or otherwise, the principal of, premium, if any, and interest on the debt securities and any mandatory sinking fund payments.</w:t>
      </w:r>
    </w:p>
    <w:p>
      <w:pPr>
        <w:spacing w:after="0" w:line="127" w:lineRule="exact"/>
        <w:rPr>
          <w:sz w:val="20"/>
          <w:szCs w:val="20"/>
          <w:color w:val="auto"/>
        </w:rPr>
      </w:pPr>
    </w:p>
    <w:p>
      <w:pPr>
        <w:jc w:val="both"/>
        <w:ind w:left="1260" w:right="559" w:firstLine="360"/>
        <w:spacing w:after="0" w:line="255"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(“legal defeasance”). We also may be released from the obligations imposed by any covenants of any outstanding series of debt securities and provisions of the indenture, and we may omit to comply with those covenants without creating an Event of Default (“covenant defeasance”). We may effect legal defeasance and covenant defeasance only if, among other things:</w:t>
      </w:r>
    </w:p>
    <w:p>
      <w:pPr>
        <w:spacing w:after="0" w:line="84" w:lineRule="exact"/>
        <w:rPr>
          <w:sz w:val="20"/>
          <w:szCs w:val="20"/>
          <w:color w:val="auto"/>
        </w:rPr>
      </w:pPr>
    </w:p>
    <w:p>
      <w:pPr>
        <w:ind w:left="1800" w:right="439" w:hanging="180"/>
        <w:spacing w:after="0" w:line="259"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irrevocably deposit with the trustee cash or U.S. government obligations or foreign government obligations, as applicable, as trust funds, in an amount certified to be sufficient to pay at maturity (or upon redemption) the principal, premium, if any, and interest on all outstanding debt securities of the series; and</w:t>
      </w:r>
    </w:p>
    <w:p>
      <w:pPr>
        <w:spacing w:after="0" w:line="78" w:lineRule="exact"/>
        <w:rPr>
          <w:rFonts w:ascii="Arial" w:cs="Arial" w:eastAsia="Arial" w:hAnsi="Arial"/>
          <w:sz w:val="18"/>
          <w:szCs w:val="18"/>
          <w:color w:val="auto"/>
        </w:rPr>
      </w:pPr>
    </w:p>
    <w:p>
      <w:pPr>
        <w:ind w:left="1800" w:right="499" w:hanging="180"/>
        <w:spacing w:after="0" w:line="254"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legal defeasance or covenant defeasance and that legal defeasance or covenant defeasance will not otherwise alter the holders’ U.S. federal income tax treatment of principal, premium, if any, and interest payments on the series of debt securities, which opinion, in the case of legal defeasance, must be based on a ruling of the Internal Revenue Service issued, or a change in U.S. federal income tax law.</w:t>
      </w:r>
    </w:p>
    <w:p>
      <w:pPr>
        <w:spacing w:after="0" w:line="127" w:lineRule="exact"/>
        <w:rPr>
          <w:sz w:val="20"/>
          <w:szCs w:val="20"/>
          <w:color w:val="auto"/>
        </w:rPr>
      </w:pPr>
    </w:p>
    <w:p>
      <w:pPr>
        <w:ind w:left="1260" w:right="579" w:firstLine="360"/>
        <w:spacing w:after="0" w:line="279" w:lineRule="auto"/>
        <w:rPr>
          <w:sz w:val="20"/>
          <w:szCs w:val="20"/>
          <w:color w:val="auto"/>
        </w:rPr>
      </w:pPr>
      <w:r>
        <w:rPr>
          <w:rFonts w:ascii="Arial" w:cs="Arial" w:eastAsia="Arial" w:hAnsi="Arial"/>
          <w:sz w:val="17"/>
          <w:szCs w:val="17"/>
          <w:color w:val="auto"/>
        </w:rPr>
        <w:t>Although we may discharge or defease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of the Indenture</w:t>
      </w:r>
    </w:p>
    <w:p>
      <w:pPr>
        <w:spacing w:after="0" w:line="148"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secure any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the assumption by a successor corporation of our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covenants for the protection of the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 one or more guarantees for the benefit of holders of debt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cure any ambiguity or correct any inconsistency in the indenture;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03" w:lineRule="exact"/>
        <w:rPr>
          <w:rFonts w:ascii="Arial" w:cs="Arial" w:eastAsia="Arial" w:hAnsi="Arial"/>
          <w:sz w:val="18"/>
          <w:szCs w:val="18"/>
          <w:color w:val="auto"/>
        </w:rPr>
      </w:pPr>
    </w:p>
    <w:p>
      <w:pPr>
        <w:ind w:left="1800" w:right="679"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conform any provision of the indenture to this description of debt securities, the description of the notes included in the applicable prospectus supplement or any other relevant section of the applicable prospectus supplement describing the terms of the debt securities;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any change that does not materially adversely affect the right of any holder; and</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indenture under the Trust Indenture Act of 1939, as amended.</w:t>
      </w:r>
    </w:p>
    <w:p>
      <w:pPr>
        <w:spacing w:after="0" w:line="103"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The indenture also provides that we and the trustee may, with the consent of the holders of not less than a majority in aggregate principal amount of debt securities of all series of senior debt securities or subordinated debt securities, as the case may be, then outstanding and affected (voting as one class), add any provisions to, or change in any manner, eliminate or modify in any way the provisions of, the indenture or modify in any manner the rights of the holders of the debt securities.</w:t>
      </w:r>
    </w:p>
    <w:p>
      <w:pPr>
        <w:spacing w:after="0" w:line="120" w:lineRule="exact"/>
        <w:rPr>
          <w:sz w:val="20"/>
          <w:szCs w:val="20"/>
          <w:color w:val="auto"/>
        </w:rPr>
      </w:pPr>
    </w:p>
    <w:p>
      <w:pPr>
        <w:ind w:left="1260" w:right="979" w:firstLine="360"/>
        <w:spacing w:after="0" w:line="277" w:lineRule="auto"/>
        <w:rPr>
          <w:sz w:val="20"/>
          <w:szCs w:val="20"/>
          <w:color w:val="auto"/>
        </w:rPr>
      </w:pPr>
      <w:r>
        <w:rPr>
          <w:rFonts w:ascii="Arial" w:cs="Arial" w:eastAsia="Arial" w:hAnsi="Arial"/>
          <w:sz w:val="18"/>
          <w:szCs w:val="18"/>
          <w:color w:val="auto"/>
        </w:rPr>
        <w:t>We and the trustee may not, however, without the consent of the holder of each outstanding debt security affected thereby:</w:t>
      </w:r>
    </w:p>
    <w:p>
      <w:pPr>
        <w:spacing w:after="0" w:line="62"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any amount payable on redemption;</w:t>
      </w:r>
    </w:p>
    <w:p>
      <w:pPr>
        <w:spacing w:after="0" w:line="117"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the currency in which the principal (other than as may be provided otherwise with respect to a series), premium, if any, or interest is payable;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 or provable in bankruptcy;</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any of the subordination provisions or the definition of senior indebtedness applicable to any subordinated debt securities in a manner adverse to the holders of those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alter provisions of the indenture relating to the debt securities not denominated in U.S. dollars;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impair the right to institute suit for the enforcement of any payment on any debt security when due;</w:t>
      </w:r>
    </w:p>
    <w:p>
      <w:pPr>
        <w:spacing w:after="0" w:line="128" w:lineRule="exact"/>
        <w:rPr>
          <w:rFonts w:ascii="Arial" w:cs="Arial" w:eastAsia="Arial" w:hAnsi="Arial"/>
          <w:sz w:val="17"/>
          <w:szCs w:val="17"/>
          <w:color w:val="auto"/>
        </w:rPr>
      </w:pPr>
    </w:p>
    <w:p>
      <w:pPr>
        <w:ind w:left="1800" w:right="699" w:hanging="180"/>
        <w:spacing w:after="0" w:line="259"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the consent of whose holders is required for any waiver (of compliance with certain provisions of the indenture or certain defaults thereunder and their consequences) provided for in the indenture;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modify any provisions set forth in this paragraph.</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Concerning the Trustee</w:t>
      </w:r>
    </w:p>
    <w:p>
      <w:pPr>
        <w:spacing w:after="0" w:line="148" w:lineRule="exact"/>
        <w:rPr>
          <w:sz w:val="20"/>
          <w:szCs w:val="20"/>
          <w:color w:val="auto"/>
        </w:rPr>
      </w:pPr>
    </w:p>
    <w:p>
      <w:pPr>
        <w:ind w:left="1260" w:right="479" w:firstLine="360"/>
        <w:spacing w:after="0" w:line="311" w:lineRule="auto"/>
        <w:rPr>
          <w:sz w:val="20"/>
          <w:szCs w:val="20"/>
          <w:color w:val="auto"/>
        </w:rPr>
      </w:pPr>
      <w:r>
        <w:rPr>
          <w:rFonts w:ascii="Arial" w:cs="Arial" w:eastAsia="Arial" w:hAnsi="Arial"/>
          <w:sz w:val="16"/>
          <w:szCs w:val="16"/>
          <w:color w:val="auto"/>
        </w:rPr>
        <w:t>The indenture provides that there may be more than one trustee under the indenture, each with respect to one or more series of debt securities. If there are different trustees for different series of debt securities, each trustee will be a trustee of a trust under the indenture separate and apart from the trust administered by</w:t>
      </w:r>
    </w:p>
    <w:p>
      <w:pPr>
        <w:sectPr>
          <w:pgSz w:w="11900" w:h="16838" w:orient="portrait"/>
          <w:cols w:equalWidth="0" w:num="1">
            <w:col w:w="9879"/>
          </w:cols>
          <w:pgMar w:left="580" w:top="131"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54" w:lineRule="auto"/>
        <w:rPr>
          <w:sz w:val="20"/>
          <w:szCs w:val="20"/>
          <w:color w:val="auto"/>
        </w:rPr>
      </w:pPr>
      <w:r>
        <w:rPr>
          <w:rFonts w:ascii="Arial" w:cs="Arial" w:eastAsia="Arial" w:hAnsi="Arial"/>
          <w:sz w:val="18"/>
          <w:szCs w:val="18"/>
          <w:color w:val="auto"/>
        </w:rPr>
        <w:t>any other trustee under the indenture. Except as otherwise indicated in this prospectus or any prospectus supplement, any action permitted to be taken by a trustee may be taken by such trustee only with respect to the one or more series of debt securities for which it is the trustee under the indenture. Any trustee under the indenture may resign or be removed with respect to one or more series of debt securities. All payments of principal of, premium, if any, and interest on, and all registration, transfer, exchange, authentication and delivery (including authentication and delivery on original issuance of the debt securities) of, the debt securities of a series will be effected by the trustee with respect to that series at an office designated by the trustee in New York, New York.</w:t>
      </w:r>
    </w:p>
    <w:p>
      <w:pPr>
        <w:spacing w:after="0" w:line="124"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indenture contains limitations on the right of the trustee, should it become a creditor of Lucid, to obtain payment of claims in some cases or to realize on certain property received in respect of any such claim as security or otherwise. The trustee may engage in other transactions. If it acquires any conflicting interest relating to any duties with respect to the debt securities, however, it must eliminate the conflict or resign as trustee.</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The holders of a majority in aggregate principal amount of any series of debt securities then outstanding will have the right to direct the time, method and place of conducting any proceeding for exercising any remedy available to the trustee with respect to such series of debt securities, provided that, the direction would not conflict with any rule of law or with the indenture, would not be unduly prejudicial to the rights of another holder of the debt securities, and would not involve any trustee in personal liability. The indenture provides that in case an Event of Default shall occur and be known to any trustee and not be cured, the trustee must use the same degree of care as a prudent person would use in the conduct of his or her own affairs in the exercise of the trustee’s power. Subject to these provisions, the trustee will be under no obligation to exercise any of its rights or powers under the indenture at the request of any of the holders of the debt securities, unless they shall have offered to the trustee security and indemnity satisfactory to the trustee.</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48" w:lineRule="exact"/>
        <w:rPr>
          <w:sz w:val="20"/>
          <w:szCs w:val="20"/>
          <w:color w:val="auto"/>
        </w:rPr>
      </w:pPr>
    </w:p>
    <w:p>
      <w:pPr>
        <w:ind w:left="1260" w:right="639" w:firstLine="360"/>
        <w:spacing w:after="0" w:line="286" w:lineRule="auto"/>
        <w:rPr>
          <w:sz w:val="20"/>
          <w:szCs w:val="20"/>
          <w:color w:val="auto"/>
        </w:rPr>
      </w:pPr>
      <w:r>
        <w:rPr>
          <w:rFonts w:ascii="Arial" w:cs="Arial" w:eastAsia="Arial" w:hAnsi="Arial"/>
          <w:sz w:val="17"/>
          <w:szCs w:val="17"/>
          <w:color w:val="auto"/>
        </w:rPr>
        <w:t>The indenture provides that no incorporator and no past, present or future stockholder, officer or director, of us or any successor corporation in their capacity as such shall have any individual liability for any of our obligations, covenants or agreements under the debt securities or the indenture.</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599" w:firstLine="360"/>
        <w:spacing w:after="0" w:line="263" w:lineRule="auto"/>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 including, without limitation, Sections 5-1401 and 5-1402 of the New York General Obligations Law and New York Civil Practice Law and Rules 327(b).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DEPOSITARY SHARES</w:t>
      </w:r>
    </w:p>
    <w:p>
      <w:pPr>
        <w:spacing w:after="0" w:line="162" w:lineRule="exact"/>
        <w:rPr>
          <w:sz w:val="20"/>
          <w:szCs w:val="20"/>
          <w:color w:val="auto"/>
        </w:rPr>
      </w:pPr>
    </w:p>
    <w:p>
      <w:pPr>
        <w:jc w:val="both"/>
        <w:ind w:left="1260" w:right="519" w:firstLine="360"/>
        <w:spacing w:after="0" w:line="275" w:lineRule="auto"/>
        <w:rPr>
          <w:sz w:val="20"/>
          <w:szCs w:val="20"/>
          <w:color w:val="auto"/>
        </w:rPr>
      </w:pPr>
      <w:r>
        <w:rPr>
          <w:rFonts w:ascii="Arial" w:cs="Arial" w:eastAsia="Arial" w:hAnsi="Arial"/>
          <w:sz w:val="17"/>
          <w:szCs w:val="17"/>
          <w:color w:val="auto"/>
        </w:rPr>
        <w:t>We may offer depositary receipts representing fractional shares of our preferred stock, rather than full shares of preferred stock. The shares of preferred stock represented by depositary shares will be deposited under a depositary agreement between us and a bank or trust company that meets certain requirements and is selected by us (the “Bank Depositary”). Each owner of a depositary share will be entitled to all the rights and preferences of the preferred stock represented by the depositary share.</w:t>
      </w:r>
    </w:p>
    <w:p>
      <w:pPr>
        <w:spacing w:after="0" w:line="109"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description in an accompanying prospectus supplement of any depositary shares we offer will not necessarily be complete and will be qualified in its entirety by reference to the applicable depositary agreement, which will be filed with the SEC if we offer depositary shares. For more information on how you can obtain copies of any depositary agreement if we offer depositary shares, see “Where You Can Find More Information.” We urge you to read the applicable depositary agreement and any accompanying prospectus supplement in their entirety.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DESCRIPTION OF WARRANTS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a description of our outstanding warrants, see “Description of Capital Stock-Warrants.”</w:t>
      </w:r>
    </w:p>
    <w:p>
      <w:pPr>
        <w:spacing w:after="0" w:line="158" w:lineRule="exact"/>
        <w:rPr>
          <w:sz w:val="20"/>
          <w:szCs w:val="20"/>
          <w:color w:val="auto"/>
        </w:rPr>
      </w:pPr>
    </w:p>
    <w:p>
      <w:pPr>
        <w:ind w:left="1260" w:right="419" w:firstLine="360"/>
        <w:spacing w:after="0" w:line="291" w:lineRule="auto"/>
        <w:rPr>
          <w:sz w:val="20"/>
          <w:szCs w:val="20"/>
          <w:color w:val="auto"/>
        </w:rPr>
      </w:pPr>
      <w:r>
        <w:rPr>
          <w:rFonts w:ascii="Arial" w:cs="Arial" w:eastAsia="Arial" w:hAnsi="Arial"/>
          <w:sz w:val="16"/>
          <w:szCs w:val="16"/>
          <w:color w:val="auto"/>
        </w:rPr>
        <w:t>We may issue warrants to purchase our debt or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85" w:lineRule="exact"/>
        <w:rPr>
          <w:sz w:val="20"/>
          <w:szCs w:val="20"/>
          <w:color w:val="auto"/>
        </w:rPr>
      </w:pPr>
    </w:p>
    <w:p>
      <w:pPr>
        <w:ind w:left="1260" w:right="619" w:firstLine="360"/>
        <w:spacing w:after="0" w:line="277" w:lineRule="auto"/>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pacing w:after="0" w:line="62" w:lineRule="exact"/>
        <w:rPr>
          <w:sz w:val="20"/>
          <w:szCs w:val="20"/>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currency or currencies in which the price of such warrants will be payable;</w:t>
      </w:r>
    </w:p>
    <w:p>
      <w:pPr>
        <w:spacing w:after="0" w:line="117" w:lineRule="exact"/>
        <w:rPr>
          <w:rFonts w:ascii="Arial" w:cs="Arial" w:eastAsia="Arial" w:hAnsi="Arial"/>
          <w:sz w:val="18"/>
          <w:szCs w:val="18"/>
          <w:color w:val="auto"/>
        </w:rPr>
      </w:pPr>
    </w:p>
    <w:p>
      <w:pPr>
        <w:jc w:val="both"/>
        <w:ind w:left="1800" w:right="659" w:hanging="180"/>
        <w:spacing w:after="0" w:line="263"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75"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at which and the currency or currencies in which the securities or other rights purchasable upon exercise of such warrants may be purchased;</w:t>
      </w:r>
    </w:p>
    <w:p>
      <w:pPr>
        <w:spacing w:after="0" w:line="62"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shall expire;</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6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such warrants are issued and the number of such warrants issued with each such security;</w:t>
      </w:r>
    </w:p>
    <w:p>
      <w:pPr>
        <w:spacing w:after="0" w:line="62"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applicable, a discussion of any material United States Federal income tax considerations; and</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DESCRIPTION OF PURCHASE CONTRACTS</w:t>
      </w:r>
    </w:p>
    <w:p>
      <w:pPr>
        <w:spacing w:after="0" w:line="162" w:lineRule="exact"/>
        <w:rPr>
          <w:sz w:val="20"/>
          <w:szCs w:val="20"/>
          <w:color w:val="auto"/>
        </w:rPr>
      </w:pPr>
    </w:p>
    <w:p>
      <w:pPr>
        <w:ind w:left="1260" w:right="439" w:firstLine="360"/>
        <w:spacing w:after="0" w:line="277" w:lineRule="auto"/>
        <w:rPr>
          <w:sz w:val="20"/>
          <w:szCs w:val="20"/>
          <w:color w:val="auto"/>
        </w:rPr>
      </w:pPr>
      <w:r>
        <w:rPr>
          <w:rFonts w:ascii="Arial" w:cs="Arial" w:eastAsia="Arial" w:hAnsi="Arial"/>
          <w:sz w:val="18"/>
          <w:szCs w:val="18"/>
          <w:color w:val="auto"/>
        </w:rPr>
        <w:t>As specified in the applicable prospectus supplement, we may issue purchase contracts for the purchase or sale of:</w:t>
      </w:r>
    </w:p>
    <w:p>
      <w:pPr>
        <w:spacing w:after="0" w:line="62" w:lineRule="exact"/>
        <w:rPr>
          <w:sz w:val="20"/>
          <w:szCs w:val="20"/>
          <w:color w:val="auto"/>
        </w:rPr>
      </w:pPr>
    </w:p>
    <w:p>
      <w:pPr>
        <w:jc w:val="both"/>
        <w:ind w:left="1800" w:right="7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or such securities or any combination of the above as specified in the applicable prospectus supplement;</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158"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00" w:lineRule="exact"/>
        <w:rPr>
          <w:sz w:val="20"/>
          <w:szCs w:val="20"/>
          <w:color w:val="auto"/>
        </w:rPr>
      </w:pPr>
    </w:p>
    <w:p>
      <w:pPr>
        <w:ind w:left="1260" w:right="559" w:firstLine="360"/>
        <w:spacing w:after="0" w:line="271" w:lineRule="auto"/>
        <w:rPr>
          <w:sz w:val="20"/>
          <w:szCs w:val="20"/>
          <w:color w:val="auto"/>
        </w:rPr>
      </w:pPr>
      <w:r>
        <w:rPr>
          <w:rFonts w:ascii="Arial" w:cs="Arial" w:eastAsia="Arial" w:hAnsi="Arial"/>
          <w:sz w:val="17"/>
          <w:szCs w:val="17"/>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either the senior indenture or the subordinated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UNITS</w:t>
      </w:r>
    </w:p>
    <w:p>
      <w:pPr>
        <w:spacing w:after="0" w:line="162" w:lineRule="exact"/>
        <w:rPr>
          <w:sz w:val="20"/>
          <w:szCs w:val="20"/>
          <w:color w:val="auto"/>
        </w:rPr>
      </w:pPr>
    </w:p>
    <w:p>
      <w:pPr>
        <w:ind w:left="1260" w:right="679" w:firstLine="360"/>
        <w:spacing w:after="0" w:line="259" w:lineRule="auto"/>
        <w:rPr>
          <w:sz w:val="20"/>
          <w:szCs w:val="20"/>
          <w:color w:val="auto"/>
        </w:rPr>
      </w:pPr>
      <w:r>
        <w:rPr>
          <w:rFonts w:ascii="Arial" w:cs="Arial" w:eastAsia="Arial" w:hAnsi="Arial"/>
          <w:sz w:val="18"/>
          <w:szCs w:val="18"/>
          <w:color w:val="auto"/>
        </w:rPr>
        <w:t>As specified in the applicable prospectus supplement, we may issue units consisting of one or more shares of common stock, preferred shares, depositary shares representing preferred stock, debt securities, warrants, purchase contracts or any combination of such securities. The applicable supplement will describe:</w:t>
      </w:r>
    </w:p>
    <w:p>
      <w:pPr>
        <w:spacing w:after="0" w:line="79" w:lineRule="exact"/>
        <w:rPr>
          <w:sz w:val="20"/>
          <w:szCs w:val="20"/>
          <w:color w:val="auto"/>
        </w:rPr>
      </w:pPr>
    </w:p>
    <w:p>
      <w:pPr>
        <w:ind w:left="1800" w:right="65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terms of the units and of the securities comprising the units, including whether and under what circumstances the securities comprising the units may be traded separately;</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PLAN OF DISTRIBUTION</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6"/>
          <w:szCs w:val="16"/>
          <w:color w:val="auto"/>
        </w:rPr>
        <w:t>This prospectus relates to: (1) the offer, issuance and sale by the Company of up to $7,400,017,750 in the aggregate of the securities identified herein from time to time in one or more offerings; (2) the issuance by the Company of an aggregate of up to 44,350,000 shares of common stock, consisting of (a) 42,850,000 shares of common stock issuable upon exercise of the Private Placement Warrants and (b) 1,500,000 shares of common stock issuable upon exercise of the Working Capital Warrants; and (3) the offer and resale from time to time by the Selling Securityholders, or their permitted transferees, of: (a) up to 1,161,947,946 shares of common stock, consisting of (i) 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w:t>
      </w:r>
    </w:p>
    <w:p>
      <w:pPr>
        <w:spacing w:after="0" w:line="4" w:lineRule="exact"/>
        <w:rPr>
          <w:sz w:val="20"/>
          <w:szCs w:val="20"/>
          <w:color w:val="auto"/>
        </w:rPr>
      </w:pPr>
    </w:p>
    <w:p>
      <w:pPr>
        <w:ind w:left="1260" w:right="439"/>
        <w:spacing w:after="0" w:line="261" w:lineRule="auto"/>
        <w:tabs>
          <w:tab w:leader="none" w:pos="1529" w:val="left"/>
        </w:tabs>
        <w:numPr>
          <w:ilvl w:val="0"/>
          <w:numId w:val="29"/>
        </w:numPr>
        <w:rPr>
          <w:rFonts w:ascii="Arial" w:cs="Arial" w:eastAsia="Arial" w:hAnsi="Arial"/>
          <w:sz w:val="17"/>
          <w:szCs w:val="17"/>
          <w:color w:val="auto"/>
        </w:rPr>
      </w:pPr>
      <w:r>
        <w:rPr>
          <w:rFonts w:ascii="Arial" w:cs="Arial" w:eastAsia="Arial" w:hAnsi="Arial"/>
          <w:sz w:val="17"/>
          <w:szCs w:val="17"/>
          <w:color w:val="auto"/>
        </w:rPr>
        <w:t>7,221,921 warrants representing certain Private Placement Warrants. We will receive proceeds from the issuance and sale of our common stock, preferred stock, depositary shares representing preferred stock, debt securities, warrants, purchase contracts or units. We will pay any underwriting discounts and commissions and expenses incurred by us in connection with the sale of securities by us.</w:t>
      </w:r>
    </w:p>
    <w:p>
      <w:pPr>
        <w:spacing w:after="0" w:line="106" w:lineRule="exact"/>
        <w:rPr>
          <w:sz w:val="20"/>
          <w:szCs w:val="20"/>
          <w:color w:val="auto"/>
        </w:rPr>
      </w:pPr>
    </w:p>
    <w:p>
      <w:pPr>
        <w:ind w:left="1260" w:right="419" w:firstLine="360"/>
        <w:spacing w:after="0" w:line="24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3" w:lineRule="exact"/>
        <w:rPr>
          <w:sz w:val="20"/>
          <w:szCs w:val="20"/>
          <w:color w:val="auto"/>
        </w:rPr>
      </w:pPr>
    </w:p>
    <w:p>
      <w:pPr>
        <w:ind w:left="1260" w:right="519" w:firstLine="360"/>
        <w:spacing w:after="0" w:line="246" w:lineRule="auto"/>
        <w:rPr>
          <w:sz w:val="20"/>
          <w:szCs w:val="20"/>
          <w:color w:val="auto"/>
        </w:rPr>
      </w:pPr>
      <w:r>
        <w:rPr>
          <w:rFonts w:ascii="Arial" w:cs="Arial" w:eastAsia="Arial" w:hAnsi="Arial"/>
          <w:sz w:val="18"/>
          <w:szCs w:val="18"/>
          <w:color w:val="auto"/>
        </w:rPr>
        <w:t>The Selling Securityholders will pay any underwriting discounts and commissions and expenses incurred by the Selling Securityholders for brokerage, accounting, tax or legal services or any other expenses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18"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The securities to be offered and sold by us covered by this prospectus may be offered and sold from time to time. The securities beneficially owned by the Selling Securityholders covered by this prospectus may be offered and sold from time to time by the Selling Securityholders. The term “Selling Securityholders” includes their permitted transferees who later come to hold any of the Selling Securityholders’ interest in the common stock or warrants in accordance with the terms of the agreement(s) governing the registration rights applicable to such Selling Securityholder’s shares of common stock or warrants. The Selling Securityholders will act independently of us in making decisions with respect to the timing, manner and size of each sale.</w:t>
      </w:r>
    </w:p>
    <w:p>
      <w:pPr>
        <w:spacing w:after="0" w:line="119"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7"/>
          <w:szCs w:val="17"/>
          <w:color w:val="auto"/>
        </w:rPr>
        <w:t>Such sales may be made on one or more exchanges or in the over-the-counter market or otherwise, at prices and under terms then prevailing or at prices related to the then current market price or in negotiated transactions. We and each Selling Securityholder reserves the right to accept and, together with our and its respective agents, to reject, any proposed purchase of securities to be made directly or through agents. We, the Selling Securityholders and any of their permitted transferees may sell the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14" w:lineRule="exact"/>
        <w:rPr>
          <w:sz w:val="20"/>
          <w:szCs w:val="20"/>
          <w:color w:val="auto"/>
        </w:rPr>
      </w:pPr>
    </w:p>
    <w:p>
      <w:pPr>
        <w:jc w:val="both"/>
        <w:ind w:left="1260" w:right="679" w:firstLine="360"/>
        <w:spacing w:after="0" w:line="256" w:lineRule="auto"/>
        <w:rPr>
          <w:sz w:val="20"/>
          <w:szCs w:val="20"/>
          <w:color w:val="auto"/>
        </w:rPr>
      </w:pPr>
      <w:r>
        <w:rPr>
          <w:rFonts w:ascii="Arial" w:cs="Arial" w:eastAsia="Arial" w:hAnsi="Arial"/>
          <w:sz w:val="18"/>
          <w:szCs w:val="18"/>
          <w:color w:val="auto"/>
        </w:rPr>
        <w:t>We or, subject to the limitations set forth in any applicable registration rights agreement, the Selling Securityholders may use any one or more of the following methods when selling the securities offered by this prospectus:</w:t>
      </w:r>
    </w:p>
    <w:p>
      <w:pPr>
        <w:spacing w:after="0" w:line="67" w:lineRule="exact"/>
        <w:rPr>
          <w:sz w:val="20"/>
          <w:szCs w:val="20"/>
          <w:color w:val="auto"/>
        </w:rPr>
      </w:pPr>
    </w:p>
    <w:p>
      <w:pPr>
        <w:ind w:left="1800" w:right="9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800" w:right="779" w:hanging="180"/>
        <w:spacing w:after="0" w:line="308" w:lineRule="auto"/>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block trades in which the broker-dealer so engaged will attempt to sell the securities as agent but may position and resell a portion of the block as principal to facilitate the transaction;</w:t>
      </w:r>
    </w:p>
    <w:p>
      <w:pPr>
        <w:spacing w:after="0" w:line="38" w:lineRule="exact"/>
        <w:rPr>
          <w:rFonts w:ascii="Arial" w:cs="Arial" w:eastAsia="Arial" w:hAnsi="Arial"/>
          <w:sz w:val="17"/>
          <w:szCs w:val="17"/>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“at the market” offerings, as defined in Rule 415 under the Securities Act, at negotiated prices;</w:t>
      </w:r>
    </w:p>
    <w:p>
      <w:pPr>
        <w:spacing w:after="0" w:line="115" w:lineRule="exact"/>
        <w:rPr>
          <w:rFonts w:ascii="Arial" w:cs="Arial" w:eastAsia="Arial" w:hAnsi="Arial"/>
          <w:sz w:val="17"/>
          <w:szCs w:val="17"/>
          <w:color w:val="auto"/>
        </w:rPr>
      </w:pPr>
    </w:p>
    <w:p>
      <w:pPr>
        <w:ind w:left="1800" w:right="49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75"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62" w:lineRule="exact"/>
        <w:rPr>
          <w:rFonts w:ascii="Arial" w:cs="Arial" w:eastAsia="Arial" w:hAnsi="Arial"/>
          <w:sz w:val="18"/>
          <w:szCs w:val="18"/>
          <w:color w:val="auto"/>
        </w:rPr>
      </w:pPr>
    </w:p>
    <w:p>
      <w:pPr>
        <w:ind w:left="1800" w:right="16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distribution to employees, members, limited partners or securityholders of the Selling Securityholders;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by pledge to secure debts and other obligations;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delayed delivery requirements;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58"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There can be no assurance that we or the Selling Securityholders will sell all or any of the securities offered by this prospectus. In addition, we and the Selling Securityholders may also sell securities under Rule 144 under the Securities Act, if available, or in other transactions exempt from registration, rather than under this prospectus. We and the Selling Securityholders, as applicable, have the sole and absolute discretion not to accept any purchase offer or make any sale of securities if we or they deem the purchase price to be unsatisfactory at any particular time.</w:t>
      </w:r>
    </w:p>
    <w:p>
      <w:pPr>
        <w:spacing w:after="0" w:line="11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7"/>
          <w:szCs w:val="17"/>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03"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With respect to a particular offering of the securities by us or of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73" w:lineRule="exact"/>
        <w:rPr>
          <w:sz w:val="20"/>
          <w:szCs w:val="20"/>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17"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03"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applicable commissions, discounts, concessions and other items constituting compensation from us or the Selling Securityholders.</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69" w:lineRule="auto"/>
        <w:rPr>
          <w:sz w:val="20"/>
          <w:szCs w:val="20"/>
          <w:color w:val="auto"/>
        </w:rPr>
      </w:pPr>
      <w:r>
        <w:rPr>
          <w:rFonts w:ascii="Arial" w:cs="Arial" w:eastAsia="Arial" w:hAnsi="Arial"/>
          <w:sz w:val="17"/>
          <w:szCs w:val="17"/>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1" w:lineRule="exact"/>
        <w:rPr>
          <w:sz w:val="20"/>
          <w:szCs w:val="20"/>
          <w:color w:val="auto"/>
        </w:rPr>
      </w:pPr>
    </w:p>
    <w:p>
      <w:pPr>
        <w:ind w:left="1260" w:right="439" w:firstLine="360"/>
        <w:spacing w:after="0" w:line="269"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11"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We and the Selling Securityholders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06"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common stock is listed on the Nasdaq under the symbol “LCID.”</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We and 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25"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In effecting sales, broker-dealers or agents engaged by us or the Selling Securityholders may arrange for other broker-dealers to participate. Broker-dealers or agents may receive commissions, discounts or concessions from us or the Selling Securityholders in amounts to be negotiated immediately prior to the sale.</w:t>
      </w:r>
    </w:p>
    <w:p>
      <w:pPr>
        <w:spacing w:after="0" w:line="119"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19" w:lineRule="exact"/>
        <w:rPr>
          <w:sz w:val="20"/>
          <w:szCs w:val="20"/>
          <w:color w:val="auto"/>
        </w:rPr>
      </w:pPr>
    </w:p>
    <w:p>
      <w:pPr>
        <w:ind w:left="1260" w:right="819" w:firstLine="360"/>
        <w:spacing w:after="0" w:line="263" w:lineRule="auto"/>
        <w:rPr>
          <w:sz w:val="20"/>
          <w:szCs w:val="20"/>
          <w:color w:val="auto"/>
        </w:rPr>
      </w:pPr>
      <w:r>
        <w:rPr>
          <w:rFonts w:ascii="Arial" w:cs="Arial" w:eastAsia="Arial" w:hAnsi="Arial"/>
          <w:sz w:val="18"/>
          <w:szCs w:val="18"/>
          <w:color w:val="auto"/>
        </w:rPr>
        <w:t>If at the time of any offering made under this prospectus a member of FINRA participating in the offering has a “conflict of interest” as defined in FINRA Rule 5121 (“Rule 5121”), that offering will be conducted in accordance with the relevant provisions of Rule 5121.</w:t>
      </w:r>
    </w:p>
    <w:p>
      <w:pPr>
        <w:spacing w:after="0" w:line="103" w:lineRule="exact"/>
        <w:rPr>
          <w:sz w:val="20"/>
          <w:szCs w:val="20"/>
          <w:color w:val="auto"/>
        </w:rPr>
      </w:pPr>
    </w:p>
    <w:p>
      <w:pPr>
        <w:ind w:left="1260" w:right="499" w:firstLine="360"/>
        <w:spacing w:after="0" w:line="268" w:lineRule="auto"/>
        <w:rPr>
          <w:sz w:val="20"/>
          <w:szCs w:val="20"/>
          <w:color w:val="auto"/>
        </w:rPr>
      </w:pPr>
      <w:r>
        <w:rPr>
          <w:rFonts w:ascii="Arial" w:cs="Arial" w:eastAsia="Arial" w:hAnsi="Arial"/>
          <w:sz w:val="17"/>
          <w:szCs w:val="17"/>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 le, if required by applicable law or regulation, a supplement to this prospectus pursuant to</w:t>
      </w:r>
    </w:p>
    <w:p>
      <w:pPr>
        <w:spacing w:after="0" w:line="1" w:lineRule="exact"/>
        <w:rPr>
          <w:sz w:val="20"/>
          <w:szCs w:val="20"/>
          <w:color w:val="auto"/>
        </w:rPr>
      </w:pPr>
    </w:p>
    <w:p>
      <w:pPr>
        <w:ind w:left="1260" w:right="519"/>
        <w:spacing w:after="0" w:line="260" w:lineRule="auto"/>
        <w:rPr>
          <w:sz w:val="20"/>
          <w:szCs w:val="20"/>
          <w:color w:val="auto"/>
        </w:rPr>
      </w:pPr>
      <w:r>
        <w:rPr>
          <w:rFonts w:ascii="Arial" w:cs="Arial" w:eastAsia="Arial" w:hAnsi="Arial"/>
          <w:sz w:val="18"/>
          <w:szCs w:val="18"/>
          <w:color w:val="auto"/>
        </w:rPr>
        <w:t>Rule 424(b) under the Securities Act disclosing certain material information relating to such underwriter or broker-dealer and such offering.</w:t>
      </w:r>
    </w:p>
    <w:p>
      <w:pPr>
        <w:spacing w:after="0" w:line="118" w:lineRule="exact"/>
        <w:rPr>
          <w:sz w:val="20"/>
          <w:szCs w:val="20"/>
          <w:color w:val="auto"/>
        </w:rPr>
      </w:pPr>
    </w:p>
    <w:p>
      <w:pPr>
        <w:ind w:left="1260" w:right="739" w:firstLine="360"/>
        <w:spacing w:after="0" w:line="259"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19"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8"/>
          <w:szCs w:val="18"/>
          <w:color w:val="auto"/>
        </w:rPr>
        <w:t>In offering the securities covered by this prospectus, we,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07"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may have banking, lending or other relationships with us or perform services for us or the Selling Securityholders, in the ordinary course of business.</w:t>
      </w:r>
    </w:p>
    <w:p>
      <w:pPr>
        <w:spacing w:after="0" w:line="116" w:lineRule="exact"/>
        <w:rPr>
          <w:sz w:val="20"/>
          <w:szCs w:val="20"/>
          <w:color w:val="auto"/>
        </w:rPr>
      </w:pPr>
    </w:p>
    <w:p>
      <w:pPr>
        <w:ind w:left="1260" w:right="459" w:firstLine="360"/>
        <w:spacing w:after="0" w:line="279"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04" w:lineRule="exact"/>
        <w:rPr>
          <w:sz w:val="20"/>
          <w:szCs w:val="20"/>
          <w:color w:val="auto"/>
        </w:rPr>
      </w:pPr>
    </w:p>
    <w:p>
      <w:pPr>
        <w:ind w:left="1260" w:right="539" w:firstLine="360"/>
        <w:spacing w:after="0" w:line="255"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11"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19" w:lineRule="exact"/>
        <w:rPr>
          <w:sz w:val="20"/>
          <w:szCs w:val="20"/>
          <w:color w:val="auto"/>
        </w:rPr>
      </w:pPr>
    </w:p>
    <w:p>
      <w:pPr>
        <w:jc w:val="both"/>
        <w:ind w:left="1260" w:right="679" w:firstLine="360"/>
        <w:spacing w:after="0" w:line="259"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 may be entitled to indemnification by us and the Selling Securityholders against certain civil</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19"/>
        <w:spacing w:after="0" w:line="277" w:lineRule="auto"/>
        <w:rPr>
          <w:sz w:val="20"/>
          <w:szCs w:val="20"/>
          <w:color w:val="auto"/>
        </w:rPr>
      </w:pPr>
      <w:r>
        <w:rPr>
          <w:rFonts w:ascii="Arial" w:cs="Arial" w:eastAsia="Arial" w:hAnsi="Arial"/>
          <w:sz w:val="18"/>
          <w:szCs w:val="18"/>
          <w:color w:val="auto"/>
        </w:rPr>
        <w:t>liabilities, including liabilities under the Securities Act, or to contribution with respect to payments which the agents, broker-dealers or underwriters may be required to make in respect thereof.</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Warrants</w:t>
      </w:r>
    </w:p>
    <w:p>
      <w:pPr>
        <w:spacing w:after="0" w:line="162"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The Private Placement Warrants and Working Capital Warrants (including common stock issuable upon exercise of such warrants) are subject to restrictions on transfer, assignment and sale and, in certain circumstances, are subject to redemption. See “Description of Capital Stock — Warrants.”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A holder of warrants may exercise its warrants in accordance with the Warrant Agreement on or before the expiration date set forth therein by surrendering, at the office of the warrant agent, Equiniti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Lock-up Agreements</w:t>
      </w:r>
    </w:p>
    <w:p>
      <w:pPr>
        <w:spacing w:after="0" w:line="148" w:lineRule="exact"/>
        <w:rPr>
          <w:sz w:val="20"/>
          <w:szCs w:val="20"/>
          <w:color w:val="auto"/>
        </w:rPr>
      </w:pPr>
    </w:p>
    <w:p>
      <w:pPr>
        <w:ind w:left="1260" w:right="939" w:firstLine="360"/>
        <w:spacing w:after="0" w:line="277" w:lineRule="auto"/>
        <w:rPr>
          <w:sz w:val="20"/>
          <w:szCs w:val="20"/>
          <w:color w:val="auto"/>
        </w:rPr>
      </w:pPr>
      <w:r>
        <w:rPr>
          <w:rFonts w:ascii="Arial" w:cs="Arial" w:eastAsia="Arial" w:hAnsi="Arial"/>
          <w:sz w:val="18"/>
          <w:szCs w:val="18"/>
          <w:color w:val="auto"/>
        </w:rPr>
        <w:t>Pursuant to the Subscription Agreement and subject to certain exceptions, Ayar is restricted from selling or transferring common stock held by it until June 23, 2023.</w:t>
      </w:r>
    </w:p>
    <w:p>
      <w:pPr>
        <w:spacing w:after="0" w:line="103"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Additionally, following certain underwritten offerings of our equity securities, parties to the Investor Rights Agreement will also agree to a customary market stand-off period not to exceed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SELLING SECURITYHOLDERS</w:t>
      </w:r>
    </w:p>
    <w:p>
      <w:pPr>
        <w:spacing w:after="0" w:line="162" w:lineRule="exact"/>
        <w:rPr>
          <w:sz w:val="20"/>
          <w:szCs w:val="20"/>
          <w:color w:val="auto"/>
        </w:rPr>
      </w:pPr>
    </w:p>
    <w:p>
      <w:pPr>
        <w:ind w:left="1260" w:right="519" w:firstLine="360"/>
        <w:spacing w:after="0" w:line="282" w:lineRule="auto"/>
        <w:rPr>
          <w:sz w:val="20"/>
          <w:szCs w:val="20"/>
          <w:color w:val="auto"/>
        </w:rPr>
      </w:pPr>
      <w:r>
        <w:rPr>
          <w:rFonts w:ascii="Arial" w:cs="Arial" w:eastAsia="Arial" w:hAnsi="Arial"/>
          <w:sz w:val="17"/>
          <w:szCs w:val="17"/>
          <w:color w:val="auto"/>
        </w:rPr>
        <w:t>This prospectus also relates to the offer and resale from time to time by the Selling Securityholders, or their permitted transferees, of: (a) up to 1,161,947,946 shares of common stock, consisting of</w:t>
      </w:r>
    </w:p>
    <w:p>
      <w:pPr>
        <w:ind w:left="1260" w:right="419"/>
        <w:spacing w:after="0" w:line="262" w:lineRule="auto"/>
        <w:tabs>
          <w:tab w:leader="none" w:pos="1489"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1,076,235,267 shares of common stock, including issued and outstanding shares of common stock, shares of common stock subject to vesting and/or exercise of the assumed Legacy Lucid Awards and shares of common stock issuable upon exercise of certain Private Placement Warrants and (ii) 85,712,679 shares of common stock issued to Ayar pursuant to the Subscription Agreement; and (b) 7,221,921 warrants representing certain Private Placement Warrants. The Selling Securityholders may from time to time offer and sell any or all of the common stock and warrants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common stock or warrants in accordance with the terms of the agreements governing the registration rights applicable to such Selling Securityholder’s shares of common stock or warrants.</w:t>
      </w:r>
    </w:p>
    <w:p>
      <w:pPr>
        <w:spacing w:after="0" w:line="119"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The following table sets forth, based on representations from the Selling Securityholders and where applicable, filings with the SEC, the names of the Selling Securityholders, the aggregate number of shares of common stock and warrants beneficially owned, the aggregate number of shares of common stock and warrants that the Selling Securityholders may offer pursuant to this prospectus and the number of shares of common stock and warrants beneficially owned by the Selling Securityholders after the sale of the securities offered hereby. The Selling Securityholders may have sold, transferred or otherwise disposed of some or all of their shares of common stock or warrants, or may have purchased additional freely-tradeable shares of common stock or warrants since providing us with this information. We have based percentage ownership on 1,833,994,756 shares of common stock issued and outstanding as of April 17, 2023 and ownership information available as of that date.</w:t>
      </w:r>
    </w:p>
    <w:p>
      <w:pPr>
        <w:spacing w:after="0" w:line="121" w:lineRule="exact"/>
        <w:rPr>
          <w:sz w:val="20"/>
          <w:szCs w:val="20"/>
          <w:color w:val="auto"/>
        </w:rPr>
      </w:pPr>
    </w:p>
    <w:p>
      <w:pPr>
        <w:ind w:left="1260" w:right="519" w:firstLine="360"/>
        <w:spacing w:after="0" w:line="268"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13" w:lineRule="exact"/>
        <w:rPr>
          <w:sz w:val="20"/>
          <w:szCs w:val="20"/>
          <w:color w:val="auto"/>
        </w:rPr>
      </w:pPr>
    </w:p>
    <w:p>
      <w:pPr>
        <w:ind w:left="1260" w:right="599" w:firstLine="360"/>
        <w:spacing w:after="0" w:line="265"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stock or warrants. In addition, the Selling Securityholders may sell, transfer or otherwise dispose of, at any time and from time to time, common stock and warrants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 and no other purchases or sales of our securities by the Selling Securityholders will have occurred.</w:t>
      </w:r>
    </w:p>
    <w:p>
      <w:pPr>
        <w:spacing w:after="0" w:line="128" w:lineRule="exact"/>
        <w:rPr>
          <w:sz w:val="20"/>
          <w:szCs w:val="20"/>
          <w:color w:val="auto"/>
        </w:rPr>
      </w:pPr>
    </w:p>
    <w:p>
      <w:pPr>
        <w:ind w:left="1260" w:right="439" w:firstLine="360"/>
        <w:spacing w:after="0" w:line="313"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739"/>
        <w:spacing w:after="0" w:line="277" w:lineRule="auto"/>
        <w:rPr>
          <w:sz w:val="20"/>
          <w:szCs w:val="20"/>
          <w:color w:val="auto"/>
        </w:rPr>
      </w:pPr>
      <w:r>
        <w:rPr>
          <w:rFonts w:ascii="Arial" w:cs="Arial" w:eastAsia="Arial" w:hAnsi="Arial"/>
          <w:sz w:val="18"/>
          <w:szCs w:val="18"/>
          <w:color w:val="auto"/>
        </w:rPr>
        <w:t>holder and the number of shares registered on its behalf. A Selling Security holder may sell or otherwise transfer all, some or none of such shares in this offering. See “Plan of Distribution.”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55"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Name of Selling Securityholder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130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auto"/>
                <w:w w:val="91"/>
              </w:rPr>
              <w:t>Number of</w:t>
            </w:r>
          </w:p>
        </w:tc>
        <w:tc>
          <w:tcPr>
            <w:tcW w:w="180" w:type="dxa"/>
            <w:vAlign w:val="bottom"/>
          </w:tcPr>
          <w:p>
            <w:pPr>
              <w:spacing w:after="0"/>
              <w:rPr>
                <w:sz w:val="14"/>
                <w:szCs w:val="14"/>
                <w:color w:val="auto"/>
              </w:rPr>
            </w:pPr>
          </w:p>
        </w:tc>
        <w:tc>
          <w:tcPr>
            <w:tcW w:w="2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Shares of Common Stock</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Beneficially Owned After the Offered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0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Common Stock</w:t>
            </w:r>
          </w:p>
        </w:tc>
        <w:tc>
          <w:tcPr>
            <w:tcW w:w="1300" w:type="dxa"/>
            <w:vAlign w:val="bottom"/>
            <w:vMerge w:val="restart"/>
          </w:tcPr>
          <w:p>
            <w:pPr>
              <w:jc w:val="center"/>
              <w:ind w:left="50"/>
              <w:spacing w:after="0"/>
              <w:rPr>
                <w:sz w:val="20"/>
                <w:szCs w:val="20"/>
                <w:color w:val="auto"/>
              </w:rPr>
            </w:pPr>
            <w:r>
              <w:rPr>
                <w:rFonts w:ascii="Arial" w:cs="Arial" w:eastAsia="Arial" w:hAnsi="Arial"/>
                <w:sz w:val="14"/>
                <w:szCs w:val="14"/>
                <w:b w:val="1"/>
                <w:bCs w:val="1"/>
                <w:color w:val="auto"/>
                <w:w w:val="84"/>
              </w:rPr>
              <w:t>Shares of</w:t>
            </w:r>
          </w:p>
        </w:tc>
        <w:tc>
          <w:tcPr>
            <w:tcW w:w="180" w:type="dxa"/>
            <w:vAlign w:val="bottom"/>
          </w:tcPr>
          <w:p>
            <w:pPr>
              <w:spacing w:after="0"/>
              <w:rPr>
                <w:sz w:val="5"/>
                <w:szCs w:val="5"/>
                <w:color w:val="auto"/>
              </w:rPr>
            </w:pPr>
          </w:p>
        </w:tc>
        <w:tc>
          <w:tcPr>
            <w:tcW w:w="22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22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7"/>
              </w:rPr>
              <w:t>Shares of Common Stock Are Sold</w:t>
            </w: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2"/>
        </w:trPr>
        <w:tc>
          <w:tcPr>
            <w:tcW w:w="1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Beneficially Owned</w:t>
            </w:r>
          </w:p>
        </w:tc>
        <w:tc>
          <w:tcPr>
            <w:tcW w:w="1300" w:type="dxa"/>
            <w:vAlign w:val="bottom"/>
            <w:vMerge w:val="restart"/>
          </w:tcPr>
          <w:p>
            <w:pPr>
              <w:jc w:val="center"/>
              <w:ind w:left="7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vMerge w:val="continue"/>
          </w:tcPr>
          <w:p>
            <w:pPr>
              <w:spacing w:after="0"/>
              <w:rPr>
                <w:sz w:val="10"/>
                <w:szCs w:val="10"/>
                <w:color w:val="auto"/>
              </w:rPr>
            </w:pPr>
          </w:p>
        </w:tc>
        <w:tc>
          <w:tcPr>
            <w:tcW w:w="2240" w:type="dxa"/>
            <w:vAlign w:val="bottom"/>
            <w:tcBorders>
              <w:bottom w:val="single" w:sz="8" w:color="auto"/>
            </w:tcBorders>
            <w:gridSpan w:val="2"/>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10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3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Number</w:t>
            </w:r>
          </w:p>
        </w:tc>
        <w:tc>
          <w:tcPr>
            <w:tcW w:w="1120" w:type="dxa"/>
            <w:vAlign w:val="bottom"/>
            <w:vMerge w:val="restart"/>
          </w:tcPr>
          <w:p>
            <w:pPr>
              <w:ind w:left="240"/>
              <w:spacing w:after="0" w:line="236" w:lineRule="exact"/>
              <w:rPr>
                <w:sz w:val="20"/>
                <w:szCs w:val="20"/>
                <w:color w:val="auto"/>
              </w:rPr>
            </w:pPr>
            <w:r>
              <w:rPr>
                <w:rFonts w:ascii="Arial" w:cs="Arial" w:eastAsia="Arial" w:hAnsi="Arial"/>
                <w:sz w:val="27"/>
                <w:szCs w:val="27"/>
                <w:b w:val="1"/>
                <w:bCs w:val="1"/>
                <w:color w:val="auto"/>
                <w:vertAlign w:val="subscript"/>
              </w:rPr>
              <w:t>​ ​</w:t>
            </w:r>
            <w:r>
              <w:rPr>
                <w:rFonts w:ascii="Arial" w:cs="Arial" w:eastAsia="Arial" w:hAnsi="Arial"/>
                <w:sz w:val="14"/>
                <w:szCs w:val="14"/>
                <w:b w:val="1"/>
                <w:bCs w:val="1"/>
                <w:color w:val="auto"/>
              </w:rPr>
              <w:t xml:space="preserve">  Percent</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360" w:type="dxa"/>
            <w:vAlign w:val="bottom"/>
            <w:gridSpan w:val="2"/>
          </w:tcPr>
          <w:p>
            <w:pPr>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Prior to Offering</w:t>
            </w:r>
          </w:p>
        </w:tc>
        <w:tc>
          <w:tcPr>
            <w:tcW w:w="1480" w:type="dxa"/>
            <w:vAlign w:val="bottom"/>
            <w:gridSpan w:val="2"/>
          </w:tcPr>
          <w:p>
            <w:pPr>
              <w:jc w:val="right"/>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Being Offered  </w:t>
            </w:r>
            <w:r>
              <w:rPr>
                <w:rFonts w:ascii="Arial" w:cs="Arial" w:eastAsia="Arial" w:hAnsi="Arial"/>
                <w:sz w:val="24"/>
                <w:szCs w:val="24"/>
                <w:b w:val="1"/>
                <w:bCs w:val="1"/>
                <w:color w:val="auto"/>
                <w:vertAlign w:val="subscript"/>
              </w:rPr>
              <w:t>​ ​</w:t>
            </w:r>
          </w:p>
        </w:tc>
        <w:tc>
          <w:tcPr>
            <w:tcW w:w="112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2630805</wp:posOffset>
            </wp:positionH>
            <wp:positionV relativeFrom="paragraph">
              <wp:posOffset>0</wp:posOffset>
            </wp:positionV>
            <wp:extent cx="137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1661795</wp:posOffset>
            </wp:positionH>
            <wp:positionV relativeFrom="paragraph">
              <wp:posOffset>0</wp:posOffset>
            </wp:positionV>
            <wp:extent cx="137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855980</wp:posOffset>
            </wp:positionH>
            <wp:positionV relativeFrom="paragraph">
              <wp:posOffset>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-34925</wp:posOffset>
            </wp:positionH>
            <wp:positionV relativeFrom="paragraph">
              <wp:posOffset>0</wp:posOffset>
            </wp:positionV>
            <wp:extent cx="137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60" w:space="720"/>
            <w:col w:w="5499"/>
          </w:cols>
          <w:pgMar w:left="58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
        </w:trPr>
        <w:tc>
          <w:tcPr>
            <w:tcW w:w="3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060" w:type="dxa"/>
            <w:vAlign w:val="bottom"/>
            <w:shd w:val="clear" w:color="auto" w:fill="CCEEFF"/>
          </w:tcPr>
          <w:p>
            <w:pPr>
              <w:spacing w:after="0" w:line="257" w:lineRule="exact"/>
              <w:rPr>
                <w:sz w:val="20"/>
                <w:szCs w:val="20"/>
                <w:color w:val="auto"/>
              </w:rPr>
            </w:pPr>
            <w:r>
              <w:rPr>
                <w:rFonts w:ascii="Arial" w:cs="Arial" w:eastAsia="Arial" w:hAnsi="Arial"/>
                <w:sz w:val="18"/>
                <w:szCs w:val="18"/>
                <w:color w:val="auto"/>
              </w:rPr>
              <w:t>Peter Rawlinson</w:t>
            </w:r>
            <w:r>
              <w:rPr>
                <w:rFonts w:ascii="Arial" w:cs="Arial" w:eastAsia="Arial" w:hAnsi="Arial"/>
                <w:sz w:val="23"/>
                <w:szCs w:val="23"/>
                <w:color w:val="auto"/>
                <w:vertAlign w:val="superscript"/>
              </w:rPr>
              <w:t>(1)</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22,619,306</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32,491,492​​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Sherry House</w:t>
            </w:r>
            <w:r>
              <w:rPr>
                <w:rFonts w:ascii="Arial" w:cs="Arial" w:eastAsia="Arial" w:hAnsi="Arial"/>
                <w:sz w:val="23"/>
                <w:szCs w:val="23"/>
                <w:color w:val="auto"/>
                <w:vertAlign w:val="superscript"/>
              </w:rPr>
              <w:t>(2)</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980" w:type="dxa"/>
            <w:vAlign w:val="bottom"/>
          </w:tcPr>
          <w:p>
            <w:pPr>
              <w:jc w:val="right"/>
              <w:spacing w:after="0"/>
              <w:rPr>
                <w:sz w:val="20"/>
                <w:szCs w:val="20"/>
                <w:color w:val="auto"/>
              </w:rPr>
            </w:pPr>
            <w:r>
              <w:rPr>
                <w:rFonts w:ascii="Arial" w:cs="Arial" w:eastAsia="Arial" w:hAnsi="Arial"/>
                <w:sz w:val="18"/>
                <w:szCs w:val="18"/>
                <w:color w:val="auto"/>
              </w:rPr>
              <w:t>228,540</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509,254​​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Eric Bach</w:t>
            </w:r>
            <w:r>
              <w:rPr>
                <w:rFonts w:ascii="Arial" w:cs="Arial" w:eastAsia="Arial" w:hAnsi="Arial"/>
                <w:sz w:val="23"/>
                <w:szCs w:val="23"/>
                <w:color w:val="auto"/>
                <w:vertAlign w:val="superscript"/>
              </w:rPr>
              <w:t>(3)</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3,515,827</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4,182,178​​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Michael Bell</w:t>
            </w:r>
            <w:r>
              <w:rPr>
                <w:rFonts w:ascii="Arial" w:cs="Arial" w:eastAsia="Arial" w:hAnsi="Arial"/>
                <w:sz w:val="23"/>
                <w:szCs w:val="23"/>
                <w:color w:val="auto"/>
                <w:vertAlign w:val="superscript"/>
              </w:rPr>
              <w:t>(4)</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980" w:type="dxa"/>
            <w:vAlign w:val="bottom"/>
          </w:tcPr>
          <w:p>
            <w:pPr>
              <w:jc w:val="right"/>
              <w:spacing w:after="0"/>
              <w:rPr>
                <w:sz w:val="20"/>
                <w:szCs w:val="20"/>
                <w:color w:val="auto"/>
              </w:rPr>
            </w:pPr>
            <w:r>
              <w:rPr>
                <w:rFonts w:ascii="Arial" w:cs="Arial" w:eastAsia="Arial" w:hAnsi="Arial"/>
                <w:sz w:val="18"/>
                <w:szCs w:val="18"/>
                <w:color w:val="auto"/>
              </w:rPr>
              <w:t>606,977</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971,189​​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84"/>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1,312,183</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1,298,622​​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980" w:type="dxa"/>
            <w:vAlign w:val="bottom"/>
          </w:tcPr>
          <w:p>
            <w:pPr>
              <w:jc w:val="right"/>
              <w:spacing w:after="0"/>
              <w:rPr>
                <w:sz w:val="20"/>
                <w:szCs w:val="20"/>
                <w:color w:val="auto"/>
              </w:rPr>
            </w:pPr>
            <w:r>
              <w:rPr>
                <w:rFonts w:ascii="Arial" w:cs="Arial" w:eastAsia="Arial" w:hAnsi="Arial"/>
                <w:sz w:val="18"/>
                <w:szCs w:val="18"/>
                <w:color w:val="auto"/>
                <w:w w:val="97"/>
              </w:rPr>
              <w:t>13,872,135</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13,858,574​​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13,561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Nancy Gioia</w:t>
            </w:r>
            <w:r>
              <w:rPr>
                <w:rFonts w:ascii="Arial" w:cs="Arial" w:eastAsia="Arial" w:hAnsi="Arial"/>
                <w:sz w:val="23"/>
                <w:szCs w:val="23"/>
                <w:color w:val="auto"/>
                <w:vertAlign w:val="superscript"/>
              </w:rPr>
              <w:t>(7)</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 ​</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138,561</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125,000​​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13,561</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Tony Posawatz</w:t>
            </w:r>
            <w:r>
              <w:rPr>
                <w:rFonts w:ascii="Arial" w:cs="Arial" w:eastAsia="Arial" w:hAnsi="Arial"/>
                <w:sz w:val="23"/>
                <w:szCs w:val="23"/>
                <w:color w:val="auto"/>
                <w:vertAlign w:val="superscript"/>
              </w:rPr>
              <w:t>(8)</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980" w:type="dxa"/>
            <w:vAlign w:val="bottom"/>
          </w:tcPr>
          <w:p>
            <w:pPr>
              <w:jc w:val="right"/>
              <w:spacing w:after="0"/>
              <w:rPr>
                <w:sz w:val="20"/>
                <w:szCs w:val="20"/>
                <w:color w:val="auto"/>
              </w:rPr>
            </w:pPr>
            <w:r>
              <w:rPr>
                <w:rFonts w:ascii="Arial" w:cs="Arial" w:eastAsia="Arial" w:hAnsi="Arial"/>
                <w:sz w:val="18"/>
                <w:szCs w:val="18"/>
                <w:color w:val="auto"/>
              </w:rPr>
              <w:t>51,930</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38,369​​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13,561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Turqi Alnowaiser</w:t>
            </w:r>
            <w:r>
              <w:rPr>
                <w:rFonts w:ascii="Arial" w:cs="Arial" w:eastAsia="Arial" w:hAnsi="Arial"/>
                <w:sz w:val="23"/>
                <w:szCs w:val="23"/>
                <w:color w:val="auto"/>
                <w:vertAlign w:val="superscript"/>
              </w:rPr>
              <w:t>(9)</w:t>
            </w:r>
          </w:p>
        </w:tc>
        <w:tc>
          <w:tcPr>
            <w:tcW w:w="1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​1,103,056,371</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2,070,138​​ ​</w:t>
            </w:r>
          </w:p>
        </w:tc>
        <w:tc>
          <w:tcPr>
            <w:tcW w:w="1300" w:type="dxa"/>
            <w:vAlign w:val="bottom"/>
            <w:tcBorders>
              <w:right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1,100,986,233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3060" w:type="dxa"/>
            <w:vAlign w:val="bottom"/>
          </w:tcPr>
          <w:p>
            <w:pPr>
              <w:spacing w:after="0"/>
              <w:rPr>
                <w:sz w:val="20"/>
                <w:szCs w:val="20"/>
                <w:color w:val="auto"/>
              </w:rPr>
            </w:pPr>
            <w:r>
              <w:rPr>
                <w:rFonts w:ascii="Arial" w:cs="Arial" w:eastAsia="Arial" w:hAnsi="Arial"/>
                <w:sz w:val="18"/>
                <w:szCs w:val="18"/>
                <w:color w:val="auto"/>
              </w:rPr>
              <w:t>H.E. Yasir Othman Al-Rumayyan</w:t>
            </w:r>
            <w:r>
              <w:rPr>
                <w:rFonts w:ascii="Arial" w:cs="Arial" w:eastAsia="Arial" w:hAnsi="Arial"/>
                <w:sz w:val="23"/>
                <w:szCs w:val="23"/>
                <w:color w:val="auto"/>
                <w:vertAlign w:val="superscript"/>
              </w:rPr>
              <w:t>(10)</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 ​ ​1,105,619,797</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4,604,595​​ ​</w:t>
            </w:r>
          </w:p>
        </w:tc>
        <w:tc>
          <w:tcPr>
            <w:tcW w:w="130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99"/>
              </w:rPr>
              <w:t>​</w:t>
            </w:r>
            <w:r>
              <w:rPr>
                <w:rFonts w:ascii="Arial" w:cs="Arial" w:eastAsia="Arial" w:hAnsi="Arial"/>
                <w:sz w:val="18"/>
                <w:szCs w:val="18"/>
                <w:color w:val="auto"/>
                <w:w w:val="99"/>
              </w:rPr>
              <w:t>1,101,015,202</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r>
        <w:trPr>
          <w:trHeight w:val="284"/>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The Public Investment Fund</w:t>
            </w:r>
            <w:r>
              <w:rPr>
                <w:rFonts w:ascii="Arial" w:cs="Arial" w:eastAsia="Arial" w:hAnsi="Arial"/>
                <w:sz w:val="23"/>
                <w:szCs w:val="23"/>
                <w:color w:val="auto"/>
                <w:vertAlign w:val="superscript"/>
              </w:rPr>
              <w:t>(11)</w:t>
            </w:r>
          </w:p>
        </w:tc>
        <w:tc>
          <w:tcPr>
            <w:tcW w:w="1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 ​1,109,006,595</w:t>
            </w:r>
          </w:p>
        </w:tc>
        <w:tc>
          <w:tcPr>
            <w:tcW w:w="1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​​1,100,965,202​​ ​</w:t>
            </w:r>
          </w:p>
        </w:tc>
        <w:tc>
          <w:tcPr>
            <w:tcW w:w="32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8,041,393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312"/>
        </w:trPr>
        <w:tc>
          <w:tcPr>
            <w:tcW w:w="3060" w:type="dxa"/>
            <w:vAlign w:val="bottom"/>
          </w:tcPr>
          <w:p>
            <w:pPr>
              <w:spacing w:after="0"/>
              <w:rPr>
                <w:sz w:val="20"/>
                <w:szCs w:val="20"/>
                <w:color w:val="auto"/>
              </w:rPr>
            </w:pPr>
            <w:r>
              <w:rPr>
                <w:rFonts w:ascii="Arial" w:cs="Arial" w:eastAsia="Arial" w:hAnsi="Arial"/>
                <w:sz w:val="18"/>
                <w:szCs w:val="18"/>
                <w:color w:val="auto"/>
              </w:rPr>
              <w:t>José E. Feliciano</w:t>
            </w:r>
            <w:r>
              <w:rPr>
                <w:rFonts w:ascii="Arial" w:cs="Arial" w:eastAsia="Arial" w:hAnsi="Arial"/>
                <w:sz w:val="23"/>
                <w:szCs w:val="23"/>
                <w:color w:val="auto"/>
                <w:vertAlign w:val="superscript"/>
              </w:rPr>
              <w:t>(12)</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 ​ ​</w:t>
            </w:r>
          </w:p>
        </w:tc>
        <w:tc>
          <w:tcPr>
            <w:tcW w:w="980" w:type="dxa"/>
            <w:vAlign w:val="bottom"/>
          </w:tcPr>
          <w:p>
            <w:pPr>
              <w:jc w:val="right"/>
              <w:spacing w:after="0"/>
              <w:rPr>
                <w:sz w:val="20"/>
                <w:szCs w:val="20"/>
                <w:color w:val="auto"/>
              </w:rPr>
            </w:pPr>
            <w:r>
              <w:rPr>
                <w:rFonts w:ascii="Arial" w:cs="Arial" w:eastAsia="Arial" w:hAnsi="Arial"/>
                <w:sz w:val="18"/>
                <w:szCs w:val="18"/>
                <w:color w:val="auto"/>
              </w:rPr>
              <w:t>833,333</w:t>
            </w:r>
          </w:p>
        </w:tc>
        <w:tc>
          <w:tcPr>
            <w:tcW w:w="380" w:type="dxa"/>
            <w:vAlign w:val="bottom"/>
            <w:gridSpan w:val="2"/>
          </w:tcPr>
          <w:p>
            <w:pPr>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833,333​​ ​</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00" w:type="dxa"/>
            <w:vAlign w:val="bottom"/>
          </w:tcPr>
          <w:p>
            <w:pPr>
              <w:ind w:left="2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18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r>
    </w:tbl>
    <w:p>
      <w:pPr>
        <w:spacing w:after="0" w:line="17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Warrants Beneficially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Private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Owned After the Offered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Private Placement</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Placement Warrants</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Placement</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ind w:left="60"/>
              <w:spacing w:after="0" w:line="145" w:lineRule="exact"/>
              <w:rPr>
                <w:sz w:val="20"/>
                <w:szCs w:val="20"/>
                <w:color w:val="auto"/>
              </w:rPr>
            </w:pPr>
            <w:r>
              <w:rPr>
                <w:rFonts w:ascii="Arial" w:cs="Arial" w:eastAsia="Arial" w:hAnsi="Arial"/>
                <w:sz w:val="14"/>
                <w:szCs w:val="14"/>
                <w:b w:val="1"/>
                <w:bCs w:val="1"/>
                <w:color w:val="auto"/>
              </w:rPr>
              <w:t>​</w:t>
            </w: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jc w:val="right"/>
              <w:spacing w:after="0" w:line="145" w:lineRule="exact"/>
              <w:rPr>
                <w:sz w:val="20"/>
                <w:szCs w:val="20"/>
                <w:color w:val="auto"/>
              </w:rPr>
            </w:pPr>
            <w:r>
              <w:rPr>
                <w:rFonts w:ascii="Arial" w:cs="Arial" w:eastAsia="Arial" w:hAnsi="Arial"/>
                <w:sz w:val="14"/>
                <w:szCs w:val="14"/>
                <w:b w:val="1"/>
                <w:bCs w:val="1"/>
                <w:color w:val="auto"/>
              </w:rPr>
              <w:t>​</w:t>
            </w:r>
          </w:p>
        </w:tc>
        <w:tc>
          <w:tcPr>
            <w:tcW w:w="15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0"/>
              </w:rPr>
              <w:t>Warrants are Sold</w:t>
            </w:r>
          </w:p>
        </w:tc>
        <w:tc>
          <w:tcPr>
            <w:tcW w:w="60" w:type="dxa"/>
            <w:vAlign w:val="bottom"/>
          </w:tcPr>
          <w:p>
            <w:pPr>
              <w:spacing w:after="0" w:line="145"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68"/>
        </w:trPr>
        <w:tc>
          <w:tcPr>
            <w:tcW w:w="3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2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95"/>
              </w:rPr>
              <w:t>Beneficially Owned</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vMerge w:val="restart"/>
          </w:tcPr>
          <w:p>
            <w:pPr>
              <w:jc w:val="center"/>
              <w:spacing w:after="0" w:line="113" w:lineRule="exact"/>
              <w:rPr>
                <w:sz w:val="20"/>
                <w:szCs w:val="20"/>
                <w:color w:val="auto"/>
              </w:rPr>
            </w:pPr>
            <w:r>
              <w:rPr>
                <w:rFonts w:ascii="Arial" w:cs="Arial" w:eastAsia="Arial" w:hAnsi="Arial"/>
                <w:sz w:val="13"/>
                <w:szCs w:val="13"/>
                <w:b w:val="1"/>
                <w:bCs w:val="1"/>
                <w:color w:val="auto"/>
                <w:w w:val="97"/>
              </w:rPr>
              <w:t>Warrants Being</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22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color w:val="auto"/>
              </w:rPr>
              <w:t>​ ​</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Prior to Offering</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Offered</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 ​</w:t>
            </w:r>
          </w:p>
        </w:tc>
        <w:tc>
          <w:tcPr>
            <w:tcW w:w="6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Andrew Liveris</w:t>
            </w:r>
            <w:r>
              <w:rPr>
                <w:rFonts w:ascii="Arial" w:cs="Arial" w:eastAsia="Arial" w:hAnsi="Arial"/>
                <w:sz w:val="23"/>
                <w:szCs w:val="23"/>
                <w:color w:val="auto"/>
                <w:vertAlign w:val="superscript"/>
              </w:rPr>
              <w:t>(5)</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363,347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12"/>
        </w:trPr>
        <w:tc>
          <w:tcPr>
            <w:tcW w:w="3620" w:type="dxa"/>
            <w:vAlign w:val="bottom"/>
          </w:tcPr>
          <w:p>
            <w:pPr>
              <w:spacing w:after="0"/>
              <w:rPr>
                <w:sz w:val="20"/>
                <w:szCs w:val="20"/>
                <w:color w:val="auto"/>
              </w:rPr>
            </w:pPr>
            <w:r>
              <w:rPr>
                <w:rFonts w:ascii="Arial" w:cs="Arial" w:eastAsia="Arial" w:hAnsi="Arial"/>
                <w:sz w:val="18"/>
                <w:szCs w:val="18"/>
                <w:color w:val="auto"/>
              </w:rPr>
              <w:t>Glenn R. August</w:t>
            </w:r>
            <w:r>
              <w:rPr>
                <w:rFonts w:ascii="Arial" w:cs="Arial" w:eastAsia="Arial" w:hAnsi="Arial"/>
                <w:sz w:val="23"/>
                <w:szCs w:val="23"/>
                <w:color w:val="auto"/>
                <w:vertAlign w:val="superscript"/>
              </w:rPr>
              <w:t>(6)</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6,858,574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6,858,574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5463540</wp:posOffset>
            </wp:positionH>
            <wp:positionV relativeFrom="paragraph">
              <wp:posOffset>-386080</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-386080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-386080</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3097530</wp:posOffset>
            </wp:positionH>
            <wp:positionV relativeFrom="paragraph">
              <wp:posOffset>-386080</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9" w:lineRule="exact"/>
        <w:rPr>
          <w:sz w:val="20"/>
          <w:szCs w:val="20"/>
          <w:color w:val="auto"/>
        </w:rPr>
      </w:pPr>
    </w:p>
    <w:p>
      <w:pPr>
        <w:ind w:left="1620" w:hanging="360"/>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0" w:lineRule="exact"/>
        <w:rPr>
          <w:sz w:val="20"/>
          <w:szCs w:val="20"/>
          <w:color w:val="auto"/>
        </w:rPr>
      </w:pPr>
    </w:p>
    <w:p>
      <w:pPr>
        <w:ind w:left="1620" w:right="519" w:hanging="360"/>
        <w:spacing w:after="0" w:line="273"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Rawlinson has served as our Chief Executive Officer and Chief Technology Officer and director since April 2019. Shares offered hereby include (i) 10,442,791 currently issued and outstanding shares of common stock; (ii) 12,176,515 shares of common stock subject to currently outstanding Lucid Awards vested or exercisable, or vesting or becoming exercisable, as applicable, within 60 days of April 17, 2023; and (iii) 9,872,186 shares of common stock subject to currently outstanding Lucid Awards vesting or becoming exercisable, as applicable, after June 16, 2023.</w:t>
      </w:r>
    </w:p>
    <w:p>
      <w:pPr>
        <w:spacing w:after="0" w:line="29" w:lineRule="exact"/>
        <w:rPr>
          <w:rFonts w:ascii="Arial" w:cs="Arial" w:eastAsia="Arial" w:hAnsi="Arial"/>
          <w:sz w:val="17"/>
          <w:szCs w:val="17"/>
          <w:color w:val="auto"/>
        </w:rPr>
      </w:pPr>
    </w:p>
    <w:p>
      <w:pPr>
        <w:ind w:left="1620" w:hanging="360"/>
        <w:spacing w:after="0"/>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Ms. House has served as our Chief Financial Officer since May 2021. Shares offered hereby include</w:t>
      </w:r>
    </w:p>
    <w:p>
      <w:pPr>
        <w:spacing w:after="0" w:line="34" w:lineRule="exact"/>
        <w:rPr>
          <w:rFonts w:ascii="Arial" w:cs="Arial" w:eastAsia="Arial" w:hAnsi="Arial"/>
          <w:sz w:val="17"/>
          <w:szCs w:val="17"/>
          <w:color w:val="auto"/>
        </w:rPr>
      </w:pPr>
    </w:p>
    <w:p>
      <w:pPr>
        <w:ind w:left="1620" w:right="599"/>
        <w:spacing w:after="0" w:line="252" w:lineRule="auto"/>
        <w:tabs>
          <w:tab w:leader="none" w:pos="1849" w:val="left"/>
        </w:tabs>
        <w:numPr>
          <w:ilvl w:val="1"/>
          <w:numId w:val="35"/>
        </w:numPr>
        <w:rPr>
          <w:rFonts w:ascii="Arial" w:cs="Arial" w:eastAsia="Arial" w:hAnsi="Arial"/>
          <w:sz w:val="18"/>
          <w:szCs w:val="18"/>
          <w:color w:val="auto"/>
        </w:rPr>
      </w:pPr>
      <w:r>
        <w:rPr>
          <w:rFonts w:ascii="Arial" w:cs="Arial" w:eastAsia="Arial" w:hAnsi="Arial"/>
          <w:sz w:val="18"/>
          <w:szCs w:val="18"/>
          <w:color w:val="auto"/>
        </w:rPr>
        <w:t>137,441 currently issued and outstanding shares of common stock; (ii) 41,313 shares of common stock issuable upon exercise of outstanding Lucid RSUs that are currently exercisable or become exercisable within 60 days of April 17, 2023; and (iii) 330,500 shares of common stock subject to currently outstanding Lucid RSUs vesting after June 16, 2023. Upon vesting of such Lucid RSUs, the shares will be held by The House Revocable Trust, dated March 20, 2021, with Christopher A. House and /or Sherry A. House serving as Trustees. Christopher A. House and Sherry A. House are the beneficial owners of The House Revocable Trust.</w:t>
      </w:r>
    </w:p>
    <w:p>
      <w:pPr>
        <w:spacing w:after="0" w:line="57" w:lineRule="exact"/>
        <w:rPr>
          <w:rFonts w:ascii="Arial" w:cs="Arial" w:eastAsia="Arial" w:hAnsi="Arial"/>
          <w:sz w:val="18"/>
          <w:szCs w:val="18"/>
          <w:color w:val="auto"/>
        </w:rPr>
      </w:pPr>
    </w:p>
    <w:p>
      <w:pPr>
        <w:jc w:val="both"/>
        <w:ind w:left="1620" w:right="839" w:hanging="360"/>
        <w:spacing w:after="0" w:line="269"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Mr. Bach has served as our Senior Vice President, Product and Chief Engineer since March 2021. Mr. Bach previously served as our Vice President, Hardware Engineering from September 2018 to February 2021 and as Senior Director, Body Engineering from April 2015 to August 2018. Shares offered hereby include (i) 1,121,184 currently issued and outstanding shares of common stock;</w:t>
      </w:r>
    </w:p>
    <w:p>
      <w:pPr>
        <w:spacing w:after="0" w:line="1" w:lineRule="exact"/>
        <w:rPr>
          <w:rFonts w:ascii="Arial" w:cs="Arial" w:eastAsia="Arial" w:hAnsi="Arial"/>
          <w:sz w:val="17"/>
          <w:szCs w:val="17"/>
          <w:color w:val="auto"/>
        </w:rPr>
      </w:pPr>
    </w:p>
    <w:p>
      <w:pPr>
        <w:ind w:left="1620" w:right="659"/>
        <w:spacing w:after="0" w:line="265" w:lineRule="auto"/>
        <w:tabs>
          <w:tab w:leader="none" w:pos="1903" w:val="left"/>
        </w:tabs>
        <w:numPr>
          <w:ilvl w:val="1"/>
          <w:numId w:val="36"/>
        </w:numPr>
        <w:rPr>
          <w:rFonts w:ascii="Arial" w:cs="Arial" w:eastAsia="Arial" w:hAnsi="Arial"/>
          <w:sz w:val="17"/>
          <w:szCs w:val="17"/>
          <w:color w:val="auto"/>
        </w:rPr>
      </w:pPr>
      <w:r>
        <w:rPr>
          <w:rFonts w:ascii="Arial" w:cs="Arial" w:eastAsia="Arial" w:hAnsi="Arial"/>
          <w:sz w:val="17"/>
          <w:szCs w:val="17"/>
          <w:color w:val="auto"/>
        </w:rPr>
        <w:t>2,347,667 shares of common stock subject to currently outstanding Lucid Awards vested or exercisable, or vesting or becoming exercisable, as applicable, within 60 days of April 17, 2023; and</w:t>
      </w:r>
    </w:p>
    <w:p>
      <w:pPr>
        <w:ind w:left="1620" w:right="1099"/>
        <w:spacing w:after="0" w:line="260" w:lineRule="auto"/>
        <w:tabs>
          <w:tab w:leader="none" w:pos="1956" w:val="left"/>
        </w:tabs>
        <w:numPr>
          <w:ilvl w:val="1"/>
          <w:numId w:val="36"/>
        </w:numPr>
        <w:rPr>
          <w:rFonts w:ascii="Arial" w:cs="Arial" w:eastAsia="Arial" w:hAnsi="Arial"/>
          <w:sz w:val="18"/>
          <w:szCs w:val="18"/>
          <w:color w:val="auto"/>
        </w:rPr>
      </w:pPr>
      <w:r>
        <w:rPr>
          <w:rFonts w:ascii="Arial" w:cs="Arial" w:eastAsia="Arial" w:hAnsi="Arial"/>
          <w:sz w:val="18"/>
          <w:szCs w:val="18"/>
          <w:color w:val="auto"/>
        </w:rPr>
        <w:t>713,327 shares of common stock subject to currently outstanding Lucid Awards vesting or becoming exercisable, as applicable, after June 16, 2023.</w:t>
      </w:r>
    </w:p>
    <w:p>
      <w:pPr>
        <w:sectPr>
          <w:pgSz w:w="11900" w:h="16838" w:orient="portrait"/>
          <w:cols w:equalWidth="0" w:num="1">
            <w:col w:w="9879"/>
          </w:cols>
          <w:pgMar w:left="580" w:top="132" w:right="1440" w:bottom="1440" w:gutter="0" w:footer="0" w:header="0"/>
          <w:type w:val="continuous"/>
        </w:sectPr>
      </w:pPr>
    </w:p>
    <w:p>
      <w:pPr>
        <w:spacing w:after="0" w:line="361"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hanging="360"/>
        <w:spacing w:after="0" w:line="269"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Bell has served as our Senior Vice President, Digital since February 2021, and served as our consultant from August 2020 to February 2021. Shares offered hereby include (i) 475,439 currently issued and outstanding shares of common stock; (ii) 82,625 shares of common stock issuable upon exercise of outstanding Lucid RSUs that are currently exercisable or become exercisable within</w:t>
      </w:r>
    </w:p>
    <w:p>
      <w:pPr>
        <w:spacing w:after="0" w:line="1" w:lineRule="exact"/>
        <w:rPr>
          <w:rFonts w:ascii="Arial" w:cs="Arial" w:eastAsia="Arial" w:hAnsi="Arial"/>
          <w:sz w:val="17"/>
          <w:szCs w:val="17"/>
          <w:color w:val="auto"/>
        </w:rPr>
      </w:pPr>
    </w:p>
    <w:p>
      <w:pPr>
        <w:ind w:left="1620" w:right="499"/>
        <w:spacing w:after="0" w:line="260" w:lineRule="auto"/>
        <w:rPr>
          <w:rFonts w:ascii="Arial" w:cs="Arial" w:eastAsia="Arial" w:hAnsi="Arial"/>
          <w:sz w:val="17"/>
          <w:szCs w:val="17"/>
          <w:color w:val="auto"/>
        </w:rPr>
      </w:pPr>
      <w:r>
        <w:rPr>
          <w:rFonts w:ascii="Arial" w:cs="Arial" w:eastAsia="Arial" w:hAnsi="Arial"/>
          <w:sz w:val="18"/>
          <w:szCs w:val="18"/>
          <w:color w:val="auto"/>
        </w:rPr>
        <w:t>60 days of August 15, 2022; and (iii) 413,125 shares of common stock subject to currently outstanding Lucid RSUs vesting after June 16, 2023.</w:t>
      </w:r>
    </w:p>
    <w:p>
      <w:pPr>
        <w:spacing w:after="0" w:line="50" w:lineRule="exact"/>
        <w:rPr>
          <w:rFonts w:ascii="Arial" w:cs="Arial" w:eastAsia="Arial" w:hAnsi="Arial"/>
          <w:sz w:val="17"/>
          <w:szCs w:val="17"/>
          <w:color w:val="auto"/>
        </w:rPr>
      </w:pPr>
    </w:p>
    <w:p>
      <w:pPr>
        <w:ind w:left="1620" w:right="419" w:hanging="360"/>
        <w:spacing w:after="0" w:line="272"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Liveris has served as a member of our Board since April 2019. He was Chairman of our Board until April 2023. Shares offered hereby include (i) 535,275 shares of common stock held by Mr. Liveris and (ii) 400,000 shares of common stock and 363,347 shares of common stock issuable upon exercise of Private Placement Warrants held by Liveris Capital Partners LLC. Mr. Liveris has investment control over Liveris Capital Partners and disclaims beneficial ownership of such shares of common stock and Private Placement Warrants held by Liveris Capital Partners LLC. The business address for Liveris Capital Partners LLC is c/o BDO 225 N E Mizner Blvd, Suite 685, Boca Raton, FL 33432.</w:t>
      </w:r>
    </w:p>
    <w:p>
      <w:pPr>
        <w:spacing w:after="0" w:line="28" w:lineRule="exact"/>
        <w:rPr>
          <w:rFonts w:ascii="Arial" w:cs="Arial" w:eastAsia="Arial" w:hAnsi="Arial"/>
          <w:sz w:val="17"/>
          <w:szCs w:val="17"/>
          <w:color w:val="auto"/>
        </w:rPr>
      </w:pPr>
    </w:p>
    <w:p>
      <w:pPr>
        <w:ind w:left="1620" w:right="419" w:hanging="360"/>
        <w:spacing w:after="0" w:line="272"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Mr. August has served as a member of our Board since July 2021 and he previously served as a member of Churchill’s board of directors from August 2020. Shares offered hereby include (i) 7,000,000 shares of common stock and (ii) 6,858,574 shares of common stock issuable upon exercise of Private Placement Warrants held by OHA Partner Global Co-Investment III, LLP (“OHA PGCI3”). Mr. August has investment control over OHA PGCI3 and may be deemed to be a beneficial owner of such shares of common stock and Private Placement Warrants held by OHA PGCI3. The business address for OHA PGCI3 is OHA PGCI3, c/o Oak Hill Advisors, L.P., 1 Vanderbilt Avenue 16th Floor, NYC, NY 10017.</w:t>
      </w:r>
    </w:p>
    <w:p>
      <w:pPr>
        <w:spacing w:after="0" w:line="28" w:lineRule="exact"/>
        <w:rPr>
          <w:rFonts w:ascii="Arial" w:cs="Arial" w:eastAsia="Arial" w:hAnsi="Arial"/>
          <w:sz w:val="17"/>
          <w:szCs w:val="17"/>
          <w:color w:val="auto"/>
        </w:rPr>
      </w:pPr>
    </w:p>
    <w:p>
      <w:pPr>
        <w:ind w:left="1620" w:right="959" w:hanging="36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Gioia served as a member of our Board from July 2021 to April 2023. Shares offered hereby include 125,000 shares of common stock.</w:t>
      </w:r>
    </w:p>
    <w:p>
      <w:pPr>
        <w:spacing w:after="0" w:line="35" w:lineRule="exact"/>
        <w:rPr>
          <w:rFonts w:ascii="Arial" w:cs="Arial" w:eastAsia="Arial" w:hAnsi="Arial"/>
          <w:sz w:val="18"/>
          <w:szCs w:val="18"/>
          <w:color w:val="auto"/>
        </w:rPr>
      </w:pPr>
    </w:p>
    <w:p>
      <w:pPr>
        <w:ind w:left="1620" w:right="599" w:hanging="36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Posawatz served as a member of our Board from April 2019 to April 2023. Shares offered hereby include 38,369 shares of common stock.</w:t>
      </w:r>
    </w:p>
    <w:p>
      <w:pPr>
        <w:spacing w:after="0" w:line="21" w:lineRule="exact"/>
        <w:rPr>
          <w:rFonts w:ascii="Arial" w:cs="Arial" w:eastAsia="Arial" w:hAnsi="Arial"/>
          <w:sz w:val="18"/>
          <w:szCs w:val="18"/>
          <w:color w:val="auto"/>
        </w:rPr>
      </w:pPr>
    </w:p>
    <w:p>
      <w:pPr>
        <w:ind w:left="1620" w:right="439" w:hanging="360"/>
        <w:spacing w:after="0" w:line="259"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Alnowaiser has served as a member of our board of directors since April 2019. He has been Chairman of our Board since April 2023. Also see footnote 11. Mr. Alnowaiser disclaims beneficial ownership of the shares held by Ayar. Shares offered hereby include 2,070,138 shares of common stock issued to Mr. Alnowaiser upon the Closing.</w:t>
      </w:r>
    </w:p>
    <w:p>
      <w:pPr>
        <w:spacing w:after="0" w:line="38" w:lineRule="exact"/>
        <w:rPr>
          <w:rFonts w:ascii="Arial" w:cs="Arial" w:eastAsia="Arial" w:hAnsi="Arial"/>
          <w:sz w:val="18"/>
          <w:szCs w:val="18"/>
          <w:color w:val="auto"/>
        </w:rPr>
      </w:pPr>
    </w:p>
    <w:p>
      <w:pPr>
        <w:ind w:left="1620" w:right="419" w:hanging="360"/>
        <w:spacing w:after="0" w:line="263"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Also see footnote 11. H.E. Al-Rumayyan disclaims beneficial ownership of the shares held by Ayar. Shares offered hereby include 4,604,595 shares of common stock issued to H.E. Al-Rumayyan upon the Closing.</w:t>
      </w:r>
    </w:p>
    <w:p>
      <w:pPr>
        <w:spacing w:after="0" w:line="48" w:lineRule="exact"/>
        <w:rPr>
          <w:rFonts w:ascii="Arial" w:cs="Arial" w:eastAsia="Arial" w:hAnsi="Arial"/>
          <w:sz w:val="18"/>
          <w:szCs w:val="18"/>
          <w:color w:val="auto"/>
        </w:rPr>
      </w:pPr>
    </w:p>
    <w:p>
      <w:pPr>
        <w:ind w:left="1620" w:right="419" w:hanging="360"/>
        <w:spacing w:after="0" w:line="267" w:lineRule="auto"/>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the Schedule 13D/A filed with the SEC on December 28, 2022 by PIF. According to the Schedule 13D/A, PIF has sole voting power over 8,041,393 shares of common stock held directly by PIF, shared voting power over 1,100,965,202 shares of common stock held by Ayar and sole dispositive power over 1,109,006,595 shares of common stock held either by PIF or Ayar. Ayar is a wholly owned subsidiary of PIF. The Board of Directors of PIF has dispositive power over the shares held by PIF and Ayar. Each of the Board of Directors of PIF, H.E. Al-Rumayyan and Turqi Alnowaiser has shared voting power over the shares held by Ayar. Neither H.E. Al-Rumayyan, who is the Governor of PIF, nor Mr. Alnowaiser, who is Deputy Governor and Head of the International Investments Division of PIF, has a pecuniary interest in the shares held by Ayar, and each of H.E. Al-Rumayyan and Mr. Alnowaiser disclaims beneficial ownership of the shares held by Ayar. Interests shown for Ayar do not include 4,654,595 shares of common stock held by H.E. Al-Rumayyan or 2,091,169 shares of common stock held by Mr. Alnowaiser (which amount includes 7,470 shares issuable pursuant to restricted stock units that will not vest for more than 60 days after the date hereof). Shares offered by Ayar hereby include 1,015,252,523 shares of common stock issued to Ayar upon the Closing (including in connection with the PIPE Investment) and 85,712,679 shares issued to Ayar pursuant to the Subscription Agreement. The business address for PIF and for H.E. Al-Rumayyan is Alr’idah Digital City, Building MU04, Al Nakhil District, P.O. Box 6847, Riyadh 11452, The Kingdom of Saudi Arabia.</w:t>
      </w:r>
    </w:p>
    <w:p>
      <w:pPr>
        <w:spacing w:after="0" w:line="42" w:lineRule="exact"/>
        <w:rPr>
          <w:rFonts w:ascii="Arial" w:cs="Arial" w:eastAsia="Arial" w:hAnsi="Arial"/>
          <w:sz w:val="17"/>
          <w:szCs w:val="17"/>
          <w:color w:val="auto"/>
        </w:rPr>
      </w:pPr>
    </w:p>
    <w:p>
      <w:pPr>
        <w:ind w:left="1620" w:hanging="360"/>
        <w:spacing w:after="0"/>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Jose E. Feliciano is the beneficiary of Citibank NA as Custodian FBO Jose E. Feliciano.</w:t>
      </w:r>
    </w:p>
    <w:p>
      <w:pPr>
        <w:spacing w:after="0" w:line="200" w:lineRule="exact"/>
        <w:rPr>
          <w:sz w:val="20"/>
          <w:szCs w:val="20"/>
          <w:color w:val="auto"/>
        </w:rPr>
      </w:pPr>
    </w:p>
    <w:p>
      <w:pPr>
        <w:spacing w:after="0" w:line="2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62" w:lineRule="exact"/>
        <w:rPr>
          <w:sz w:val="20"/>
          <w:szCs w:val="20"/>
          <w:color w:val="auto"/>
        </w:rPr>
      </w:pPr>
    </w:p>
    <w:p>
      <w:pPr>
        <w:ind w:left="1260" w:right="699" w:firstLine="360"/>
        <w:spacing w:after="0" w:line="268" w:lineRule="auto"/>
        <w:rPr>
          <w:sz w:val="20"/>
          <w:szCs w:val="20"/>
          <w:color w:val="auto"/>
        </w:rPr>
      </w:pPr>
      <w:r>
        <w:rPr>
          <w:rFonts w:ascii="Arial" w:cs="Arial" w:eastAsia="Arial" w:hAnsi="Arial"/>
          <w:sz w:val="17"/>
          <w:szCs w:val="17"/>
          <w:color w:val="auto"/>
        </w:rPr>
        <w:t>The following is a discussion of certain material U.S. federal income and estate tax consequences of the ownership and disposition of our common stock and warrants, which we refer to collectively as our securities. This discussion applies only to securities that are purchased from us or the Selling Securityholders pursuant to this prospectus, and to securities that are held as capital assets.</w:t>
      </w:r>
    </w:p>
    <w:p>
      <w:pPr>
        <w:spacing w:after="0" w:line="9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7"/>
          <w:szCs w:val="17"/>
          <w:color w:val="auto"/>
        </w:rPr>
        <w:t>This discussion is a summary only and does not describe all of the tax consequences that may be relevant to you in light of your particular circumstances, including but not limited to U.S. federal estate and gift tax, alternative minimum tax or Medicare contribution tax considerations or any tax consequences arising under the laws of any state, local or non-U.S. jurisdiction. Further, this discussion does not apply to you if you are a beneficial owner of securities subject to special rules, such as:</w:t>
      </w:r>
    </w:p>
    <w:p>
      <w:pPr>
        <w:spacing w:after="0" w:line="63" w:lineRule="exact"/>
        <w:rPr>
          <w:sz w:val="20"/>
          <w:szCs w:val="20"/>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dealers or brokers in securities, commodities or foreign currencies;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traders in securities that elect to apply a mark-to-market method of tax accounting;</w:t>
      </w:r>
    </w:p>
    <w:p>
      <w:pPr>
        <w:spacing w:after="0" w:line="117" w:lineRule="exact"/>
        <w:rPr>
          <w:rFonts w:ascii="Arial" w:cs="Arial" w:eastAsia="Arial" w:hAnsi="Arial"/>
          <w:sz w:val="18"/>
          <w:szCs w:val="18"/>
          <w:color w:val="auto"/>
        </w:rPr>
      </w:pPr>
    </w:p>
    <w:p>
      <w:pPr>
        <w:ind w:left="1800" w:right="41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who are required to recognize income or gain no later than such income or gain is required to be reported on an applicable financial statement under Section 451(b) of the Internal Revenue Code of 1986, as amended (the “Code”);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banks and certain other financial institutions;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17" w:lineRule="exact"/>
        <w:rPr>
          <w:rFonts w:ascii="Arial" w:cs="Arial" w:eastAsia="Arial" w:hAnsi="Arial"/>
          <w:sz w:val="18"/>
          <w:szCs w:val="18"/>
          <w:color w:val="auto"/>
        </w:rPr>
      </w:pPr>
    </w:p>
    <w:p>
      <w:pPr>
        <w:ind w:left="1800" w:right="91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(5%) or more (by vote or value) of our common stock;</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partnerships, S corporations or other pass-through entities or investors therein;</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former citizens or residents of the United States;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17" w:lineRule="exact"/>
        <w:rPr>
          <w:rFonts w:ascii="Arial" w:cs="Arial" w:eastAsia="Arial" w:hAnsi="Arial"/>
          <w:sz w:val="18"/>
          <w:szCs w:val="18"/>
          <w:color w:val="auto"/>
        </w:rPr>
      </w:pPr>
    </w:p>
    <w:p>
      <w:pPr>
        <w:ind w:left="1800" w:right="117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who hold our securities as part of a hedge, straddle, constructive sale or conversion transaction or other integrated investment; or</w:t>
      </w:r>
    </w:p>
    <w:p>
      <w:pPr>
        <w:spacing w:after="0" w:line="62" w:lineRule="exact"/>
        <w:rPr>
          <w:rFonts w:ascii="Arial" w:cs="Arial" w:eastAsia="Arial" w:hAnsi="Arial"/>
          <w:sz w:val="18"/>
          <w:szCs w:val="18"/>
          <w:color w:val="auto"/>
        </w:rPr>
      </w:pPr>
    </w:p>
    <w:p>
      <w:pPr>
        <w:ind w:left="1800" w:right="4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persons who acquired our common stock pursuant to the exercise of employee stock options, through a tax qualified retirement plan or otherwise as compensation.</w:t>
      </w:r>
    </w:p>
    <w:p>
      <w:pPr>
        <w:spacing w:after="0" w:line="103"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If a partnership or other pass-through entity (including an entity or arrangement treated as a partnership or other type of pass-through entity for U.S. federal income tax purposes) owns our securities, the tax treatment of a partner or beneficial owner of the entity may depend upon the status of the partner or beneficial owner, the activities of the entity and certain determinations made at the partner or beneficial owner level. Partners and beneficial owners in partnerships or other pass-through entities that own our securities should consult their own tax advisors as to the particular U.S. federal income and estate tax consequences applicable to them.</w:t>
      </w:r>
    </w:p>
    <w:p>
      <w:pPr>
        <w:spacing w:after="0" w:line="127"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changes to any of which subsequent to the date of this prospectus may affect the tax consequences described herein (possibly with retroactive effect). We have not sought, and will not seek, a ruling from the Internal Revenue Service (the “IRS”) as to any U.S. federal income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color w:val="auto"/>
        </w:rPr>
        <w:t>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Prospective holders are urged to consult their tax advisors with respect to the particular tax consequences to them of owning and disposing of our securities, including the consequences under the laws of any state, local or non-U.S. jurisdiction.</w:t>
      </w:r>
    </w:p>
    <w:p>
      <w:pPr>
        <w:spacing w:after="0" w:line="18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U.S. Holders</w:t>
      </w:r>
    </w:p>
    <w:p>
      <w:pPr>
        <w:spacing w:after="0" w:line="162" w:lineRule="exact"/>
        <w:rPr>
          <w:sz w:val="20"/>
          <w:szCs w:val="20"/>
          <w:color w:val="auto"/>
        </w:rPr>
      </w:pPr>
    </w:p>
    <w:p>
      <w:pPr>
        <w:ind w:left="1260" w:right="639" w:firstLine="360"/>
        <w:spacing w:after="0" w:line="261" w:lineRule="auto"/>
        <w:rPr>
          <w:sz w:val="20"/>
          <w:szCs w:val="20"/>
          <w:color w:val="auto"/>
        </w:rPr>
      </w:pPr>
      <w:r>
        <w:rPr>
          <w:rFonts w:ascii="Arial" w:cs="Arial" w:eastAsia="Arial" w:hAnsi="Arial"/>
          <w:sz w:val="18"/>
          <w:szCs w:val="18"/>
          <w:color w:val="auto"/>
        </w:rPr>
        <w:t>This section applies to you if you are a U.S. Holder. You are a U.S. Holder if for U.S. federal income tax purposes you are a beneficial owner our securities who or that is:</w:t>
      </w:r>
    </w:p>
    <w:p>
      <w:pPr>
        <w:spacing w:after="0" w:line="63"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any state thereof or the District of Columbia; or</w:t>
      </w:r>
    </w:p>
    <w:p>
      <w:pPr>
        <w:spacing w:after="0" w:line="62" w:lineRule="exact"/>
        <w:rPr>
          <w:rFonts w:ascii="Arial" w:cs="Arial" w:eastAsia="Arial" w:hAnsi="Arial"/>
          <w:sz w:val="18"/>
          <w:szCs w:val="18"/>
          <w:color w:val="auto"/>
        </w:rPr>
      </w:pPr>
    </w:p>
    <w:p>
      <w:pPr>
        <w:ind w:left="1800" w:right="81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Distributions on our Common Stock</w:t>
      </w:r>
    </w:p>
    <w:p>
      <w:pPr>
        <w:spacing w:after="0" w:line="144"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To the extent that we make a distribution of cash or other property (other than certain pro rata distributions of our common stock) in respect of our common stock, the distribution generally will be treated as a dividend for U.S. federal income tax purposes to the extent it is paid out of our current or accumulated earnings and profits (as determined under U.S. federal income tax principles). Any portion of a distribution that exceeds our current and accumulated earnings and profits generally will be treated first as a tax-free return of capital that reduces the adjusted tax basis of a U.S. Holder’s common stock, and to the extent the amount of the distribution exceeds a U.S. Holder’s adjusted tax basis in our common stock, the excess will be treated as gain from the disposition of our common stock (the tax treatment of which is discussed below under “— Tax Consequences to U.S. Holders — Sale, Exchange or Other Taxable Disposition of our Common Stock and Warrants”).</w:t>
      </w:r>
    </w:p>
    <w:p>
      <w:pPr>
        <w:spacing w:after="0" w:line="19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 xml:space="preserve">The terms of each warrant provide for an adjustment to the number of shares of our common stock for which the warrant may be exercised or to the exercise price of the warrant on the occurrence of certain events. An adjustment which has the effect of preventing dilution generally is not a taxable event. U.S. Holders of the warrants would, however, be treated as receiving a constructive distribution from us if, for example, the adjustment to the number of such shares or to such exercise price increases the warrant holders’ proportionate interest in our assets or earnings and profits </w:t>
      </w:r>
      <w:r>
        <w:rPr>
          <w:rFonts w:ascii="Arial" w:cs="Arial" w:eastAsia="Arial" w:hAnsi="Arial"/>
          <w:sz w:val="17"/>
          <w:szCs w:val="17"/>
          <w:i w:val="1"/>
          <w:iCs w:val="1"/>
          <w:color w:val="auto"/>
        </w:rPr>
        <w:t>(e. g.,</w:t>
      </w:r>
      <w:r>
        <w:rPr>
          <w:rFonts w:ascii="Arial" w:cs="Arial" w:eastAsia="Arial" w:hAnsi="Arial"/>
          <w:sz w:val="17"/>
          <w:szCs w:val="17"/>
          <w:color w:val="auto"/>
        </w:rPr>
        <w:t xml:space="preserve"> through an increase in the number of shares of our common stock that would be obtained upon exercise or through a decrease in the exercise price of the warrants), including as a result of a distribution of cash or other property to the holders of shares of our common stock which is taxable to such holders of such shares as a distribution. Any constructive distribution received by a U.S. Holder would be subject to tax in the same manner as if such U.S. Holder received a cash distribution from us equal to the fair market value of such increased interest resulting from the adjustment. Generally, a U.S. Holder’s adjusted tax basis in its warrants would be increased to the extent any such constructive distribution is treated as a dividend.</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color w:val="auto"/>
        </w:rPr>
        <w:t>Upon sales, exchanges or other taxable dispositions of our common stock or warrants (which, in general, would include a redemption of our warrants that is treated as a taxable exchange of such warrants as described below under “— Tax Consequences to U.S. Holders — Exercise, Lapse or Redemption of a Warrant”), a U.S. Holder generally will recognize capital gain or loss equal to the difference between (i) the amount of cash and the fair market value of all other property received upon such disposition and (ii) such U.S. Holder’s adjusted tax basis in its common stock or warrant. Such capital gain or loss will be long-term capital gain or loss if the U.S. Holder’s holding period in the common stock or warrant is more than one year at the time of the taxable disposition. Long-term capital gains recognized by certain non-corporate U.S.</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959"/>
        <w:spacing w:after="0" w:line="277" w:lineRule="auto"/>
        <w:rPr>
          <w:sz w:val="20"/>
          <w:szCs w:val="20"/>
          <w:color w:val="auto"/>
        </w:rPr>
      </w:pPr>
      <w:r>
        <w:rPr>
          <w:rFonts w:ascii="Arial" w:cs="Arial" w:eastAsia="Arial" w:hAnsi="Arial"/>
          <w:sz w:val="18"/>
          <w:szCs w:val="18"/>
          <w:color w:val="auto"/>
        </w:rPr>
        <w:t>Holders (including individuals) generally are subject to reduced rates of U.S. federal income tax. The deductibility of capital losses is subject to limitations.</w:t>
      </w:r>
    </w:p>
    <w:p>
      <w:pPr>
        <w:spacing w:after="0" w:line="157"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as a result of the acquisition of our common stock upon exercise of a warrant for cash. The U.S. Holder’s tax basis in the shares of our common stock received upon exercise of the warrants generally will be an amount equal to the sum of the U.S. Holder’s initial investment in the warrants and the exercise price of such warrants. For U.S. federal income tax purposes, it is unclear whether the U.S. Holder’s holding period for our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18"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would equal such holder’s basis in the warrants. If the cashless exercise were treated as not being a realization event, it is unclear whether a U.S. Holder’s holding period in the common stock would be treated as commencing on the date following the date of exercise or on the date of exercise of the warrant. If the cashless exercise were treated as a recapitalization, the holding period of our common stock would include the holding period of the warrants exercised therefor.</w:t>
      </w:r>
    </w:p>
    <w:p>
      <w:pPr>
        <w:spacing w:after="0" w:line="10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portion of the warrants to be exercised on a cashless basis could, for U.S. federal income tax purposes, be deemed to have been surrendered in consideration for the exercise price of the remaining warrants, which would be deemed to be exercised. For this purpose, a U.S. Holder would be deemed to have surrendered a number of warrants having an aggregate value equal to the exercise price for the number of warrants deemed exercised. The U.S. Holder would recognize capital gain or loss in an amount equal to the difference between the exercise price of the warrants deemed exercised and such holder’s tax basis in the warrants deemed surrendered. Such gain or loss would be long-term or short-term depending on the U.S. Holder’s holding period in the warrants deemed surrendered. In this case, the U.S. Holder’s tax basis in the common stock received would equal the sum of its initial investment in the warrants deemed exercised and the exercise price of such warrants. It is unclear whether a U.S. Holder’s holding period for the common stock would commence on the date following the date of exercise or on the date of exercise of the warrant; in either case, the holding period would not include the period during which the U.S. Holder held the warrant.</w:t>
      </w:r>
    </w:p>
    <w:p>
      <w:pPr>
        <w:spacing w:after="0" w:line="107" w:lineRule="exact"/>
        <w:rPr>
          <w:sz w:val="20"/>
          <w:szCs w:val="20"/>
          <w:color w:val="auto"/>
        </w:rPr>
      </w:pPr>
    </w:p>
    <w:p>
      <w:pPr>
        <w:ind w:left="1260" w:right="619" w:firstLine="360"/>
        <w:spacing w:after="0" w:line="27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common stock received, there can be no assurance as to which, if any, of the alternative tax consequences and holding periods described above would be adopted by the IRS or a court of law. Accordingly, U.S. Holders should consult their own tax advisors regarding the tax consequences of a cashless exercise.</w:t>
      </w:r>
    </w:p>
    <w:p>
      <w:pPr>
        <w:spacing w:after="0" w:line="109" w:lineRule="exact"/>
        <w:rPr>
          <w:sz w:val="20"/>
          <w:szCs w:val="20"/>
          <w:color w:val="auto"/>
        </w:rPr>
      </w:pPr>
    </w:p>
    <w:p>
      <w:pPr>
        <w:ind w:left="1260" w:right="1019" w:firstLine="360"/>
        <w:spacing w:after="0" w:line="259" w:lineRule="auto"/>
        <w:rPr>
          <w:sz w:val="20"/>
          <w:szCs w:val="20"/>
          <w:color w:val="auto"/>
        </w:rPr>
      </w:pPr>
      <w:r>
        <w:rPr>
          <w:rFonts w:ascii="Arial" w:cs="Arial" w:eastAsia="Arial" w:hAnsi="Arial"/>
          <w:sz w:val="18"/>
          <w:szCs w:val="18"/>
          <w:color w:val="auto"/>
        </w:rPr>
        <w:t>If we redeem warrants for cash or if we purchase warrants in an open market transaction, such redemption or purchase generally will be treated as a taxable disposition to the U.S. Holder, taxed as described above under “— Sale, Exchange or Other Taxable Disposition of our Common Stock and Warrants.”</w:t>
      </w:r>
    </w:p>
    <w:p>
      <w:pPr>
        <w:spacing w:after="0" w:line="106" w:lineRule="exact"/>
        <w:rPr>
          <w:sz w:val="20"/>
          <w:szCs w:val="20"/>
          <w:color w:val="auto"/>
        </w:rPr>
      </w:pPr>
    </w:p>
    <w:p>
      <w:pPr>
        <w:ind w:left="1260" w:right="559" w:firstLine="360"/>
        <w:spacing w:after="0" w:line="279" w:lineRule="auto"/>
        <w:rPr>
          <w:sz w:val="20"/>
          <w:szCs w:val="20"/>
          <w:color w:val="auto"/>
        </w:rPr>
      </w:pPr>
      <w:r>
        <w:rPr>
          <w:rFonts w:ascii="Arial" w:cs="Arial" w:eastAsia="Arial" w:hAnsi="Arial"/>
          <w:sz w:val="17"/>
          <w:szCs w:val="17"/>
          <w:color w:val="auto"/>
        </w:rPr>
        <w:t>If we give notice of an intention to redeem warrants and a U.S. Holder exercises its warrants on a cashless basis and receives an amount of common stock in respect thereof, we intend to treat such exercise as a redemption of warrants for the common stock for U.S. federal income tax purposes. Such redemption should be treated as a “recapitalization” within the meaning of Section 368(a)(l)(E) of the Code.</w:t>
      </w:r>
    </w:p>
    <w:p>
      <w:pPr>
        <w:spacing w:after="0" w:line="104" w:lineRule="exact"/>
        <w:rPr>
          <w:sz w:val="20"/>
          <w:szCs w:val="20"/>
          <w:color w:val="auto"/>
        </w:rPr>
      </w:pPr>
    </w:p>
    <w:p>
      <w:pPr>
        <w:ind w:left="1260" w:right="759" w:firstLine="360"/>
        <w:spacing w:after="0" w:line="263" w:lineRule="auto"/>
        <w:rPr>
          <w:sz w:val="20"/>
          <w:szCs w:val="20"/>
          <w:color w:val="auto"/>
        </w:rPr>
      </w:pPr>
      <w:r>
        <w:rPr>
          <w:rFonts w:ascii="Arial" w:cs="Arial" w:eastAsia="Arial" w:hAnsi="Arial"/>
          <w:sz w:val="18"/>
          <w:szCs w:val="18"/>
          <w:color w:val="auto"/>
        </w:rPr>
        <w:t>Accordingly, a U.S. Holder should not recognize any gain or loss on the redemption of warrants for shares of our common stock. A U.S. Holder’s aggregate tax basis in the shares of our common stock received</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266700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39"/>
        <w:spacing w:after="0" w:line="288" w:lineRule="auto"/>
        <w:rPr>
          <w:sz w:val="20"/>
          <w:szCs w:val="20"/>
          <w:color w:val="auto"/>
        </w:rPr>
      </w:pPr>
      <w:r>
        <w:rPr>
          <w:rFonts w:ascii="Arial" w:cs="Arial" w:eastAsia="Arial" w:hAnsi="Arial"/>
          <w:sz w:val="16"/>
          <w:szCs w:val="16"/>
          <w:color w:val="auto"/>
        </w:rPr>
        <w:t>in the redemption generally should equal such holder’s aggregate tax basis in the warrants redeemed and the holding period for the shares of our common stock received should include such holder’s holding period for the surrendered warrants. However, there is some uncertainty regarding this tax treatment and it is possible such a redemption could be treated differently, including as, in part, a taxable exchange in which gain or loss would be recognized in a manner similar to that discussed above for a cashless exercise of warrants.</w:t>
      </w:r>
    </w:p>
    <w:p>
      <w:pPr>
        <w:spacing w:after="0" w:line="84" w:lineRule="exact"/>
        <w:rPr>
          <w:sz w:val="20"/>
          <w:szCs w:val="20"/>
          <w:color w:val="auto"/>
        </w:rPr>
      </w:pPr>
    </w:p>
    <w:p>
      <w:pPr>
        <w:ind w:left="1260" w:right="579" w:firstLine="360"/>
        <w:spacing w:after="0" w:line="261" w:lineRule="auto"/>
        <w:rPr>
          <w:sz w:val="20"/>
          <w:szCs w:val="20"/>
          <w:color w:val="auto"/>
        </w:rPr>
      </w:pPr>
      <w:r>
        <w:rPr>
          <w:rFonts w:ascii="Arial" w:cs="Arial" w:eastAsia="Arial" w:hAnsi="Arial"/>
          <w:sz w:val="18"/>
          <w:szCs w:val="18"/>
          <w:color w:val="auto"/>
        </w:rPr>
        <w:t>Accordingly, U.S. Holders are urged to consult their own tax advisors regarding the tax consequences of a redemption of warrants for shares of our common stock.</w:t>
      </w:r>
    </w:p>
    <w:p>
      <w:pPr>
        <w:spacing w:after="0" w:line="171"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Information reporting requirements generally will apply to payments to a U.S. Holder of dividends on shares of common stock (as well as constructive dividends deemed paid with respect to the warrants) and the proceeds of a sale of common stock or warrants, unless the U.S. Holder is an exempt recipient (such as a corporation).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w:t>
      </w:r>
    </w:p>
    <w:p>
      <w:pPr>
        <w:spacing w:after="0" w:line="110"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the U.S. Holder’s U.S. federal income tax liability provided the required information is furnished timely to the IRS.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 Consequences to Non-U.S. Holders</w:t>
      </w:r>
    </w:p>
    <w:p>
      <w:pPr>
        <w:spacing w:after="0" w:line="14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This section applies to you if you are a “non-U.S. Holder.” You are a non-U.S. Holder if, for U.S. federal income tax purposes, you are a beneficial owner of our securities who or that is, for U.S. federal income tax purposes:</w:t>
      </w:r>
    </w:p>
    <w:p>
      <w:pPr>
        <w:spacing w:after="0" w:line="76" w:lineRule="exact"/>
        <w:rPr>
          <w:sz w:val="20"/>
          <w:szCs w:val="20"/>
          <w:color w:val="auto"/>
        </w:rPr>
      </w:pPr>
    </w:p>
    <w:p>
      <w:pPr>
        <w:ind w:left="1800" w:right="51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non-resident alien individual, other than a former citizen or resident of the U.S. subject to U.S. tax as an expatriate;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1260" w:right="419" w:firstLine="360"/>
        <w:spacing w:after="0" w:line="252" w:lineRule="auto"/>
        <w:rPr>
          <w:sz w:val="20"/>
          <w:szCs w:val="20"/>
          <w:color w:val="auto"/>
        </w:rPr>
      </w:pPr>
      <w:r>
        <w:rPr>
          <w:rFonts w:ascii="Arial" w:cs="Arial" w:eastAsia="Arial" w:hAnsi="Arial"/>
          <w:sz w:val="18"/>
          <w:szCs w:val="18"/>
          <w:color w:val="auto"/>
        </w:rPr>
        <w:t>Distributions, other than certain pro rata distributions of our common stock made to a non-U.S. Holder,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will be subject to U.S. federal withholding tax at a 30% rate, or a reduced rate specified by an applicable income tax treaty, subject to the discussion of FATCA (as defined below) withholding taxes below. In order to obtain a reduced rate of withholding under an applicable income tax treaty, a non-U.S. holder generally will be required to provide a properly executed IRS Form W-8BEN or IRS Form W-8BEN-E, as applicable, certifying its entitlement to benefits under the treaty. In the case of any constructive dividend to a non-U.S. Holder of warrants (as described above under “— Tax Consequences to U.S. Holders — Possible Constructive Dividends”), it is possible that this tax would be withheld from any amount owed to the non-U.S. Holder by the applicable withholding agent, including cash distributions on other property or sale proceeds from warrants or other property subsequently paid or credit to such non-U.S. Holder.</w:t>
      </w:r>
    </w:p>
    <w:p>
      <w:pPr>
        <w:spacing w:after="0" w:line="13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Dividends paid to a non-U.S. holder that are effectively connected with the non-U.S. holder’s conduct of a trade or business within the United States (and, if required by an applicable income tax treaty, are attributable to a permanent establishment or fixed base maintained by the non-U.S. holder in the United States) will not be subject to U.S. federal withholding tax if the non-U.S. holder provides a properly executed IRS Form W-8ECI. Instead, the effectively connected dividend income will generally be subject to regular U.S. income tax as if the non-U.S. holder were a U.S. person as defined under the Code. A non-U.S. holder that is treated as a corporation for U.S. federal income tax purposes receiving effectively connected dividend</w:t>
      </w:r>
    </w:p>
    <w:p>
      <w:pPr>
        <w:sectPr>
          <w:pgSz w:w="11900" w:h="16838" w:orient="portrait"/>
          <w:cols w:equalWidth="0" w:num="1">
            <w:col w:w="9879"/>
          </w:cols>
          <w:pgMar w:left="580" w:top="132"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479"/>
        <w:spacing w:after="0" w:line="277" w:lineRule="auto"/>
        <w:rPr>
          <w:sz w:val="20"/>
          <w:szCs w:val="20"/>
          <w:color w:val="auto"/>
        </w:rPr>
      </w:pPr>
      <w:r>
        <w:rPr>
          <w:rFonts w:ascii="Arial" w:cs="Arial" w:eastAsia="Arial" w:hAnsi="Arial"/>
          <w:sz w:val="18"/>
          <w:szCs w:val="18"/>
          <w:color w:val="auto"/>
        </w:rPr>
        <w:t>income may also be subject to an additional “branch profits tax” imposed at a rate of 30% (or a lower treaty rate) on its effectively connected earnings and profits (subject to certain adjustments).</w:t>
      </w:r>
    </w:p>
    <w:p>
      <w:pPr>
        <w:spacing w:after="0" w:line="89"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A non -U.S. holder eligible for a reduced rate of U.S. federal withholding tax pursuant to an income tax treaty may obtain a refund of any excess amounts withheld by timely filing an appropriate claim for refund with the IRS.</w:t>
      </w:r>
    </w:p>
    <w:p>
      <w:pPr>
        <w:spacing w:after="0" w:line="19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Sale, Exchange or Other Taxable Disposition of our Common Stock and Warrants</w:t>
      </w:r>
    </w:p>
    <w:p>
      <w:pPr>
        <w:spacing w:after="0" w:line="144" w:lineRule="exact"/>
        <w:rPr>
          <w:sz w:val="20"/>
          <w:szCs w:val="20"/>
          <w:color w:val="auto"/>
        </w:rPr>
      </w:pPr>
    </w:p>
    <w:p>
      <w:pPr>
        <w:ind w:left="1260" w:right="979" w:firstLine="360"/>
        <w:spacing w:after="0" w:line="256" w:lineRule="auto"/>
        <w:rPr>
          <w:sz w:val="20"/>
          <w:szCs w:val="20"/>
          <w:color w:val="auto"/>
        </w:rPr>
      </w:pPr>
      <w:r>
        <w:rPr>
          <w:rFonts w:ascii="Arial" w:cs="Arial" w:eastAsia="Arial" w:hAnsi="Arial"/>
          <w:sz w:val="18"/>
          <w:szCs w:val="18"/>
          <w:color w:val="auto"/>
        </w:rPr>
        <w:t>Subject to the discussions of backup withholding and FATCA withholding tax below, a non-U.S. Holder generally will not be subject to U.S. federal income tax on gain realized on a sale or other disposition of our securities unless:</w:t>
      </w:r>
    </w:p>
    <w:p>
      <w:pPr>
        <w:spacing w:after="0" w:line="67" w:lineRule="exact"/>
        <w:rPr>
          <w:sz w:val="20"/>
          <w:szCs w:val="20"/>
          <w:color w:val="auto"/>
        </w:rPr>
      </w:pPr>
    </w:p>
    <w:p>
      <w:pPr>
        <w:ind w:left="1800" w:right="539" w:hanging="180"/>
        <w:spacing w:after="0" w:line="25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in the United States (and, if required by an applicable tax treaty, the gain is attributable to a permanent establishment or fixed base maintained by the non-U.S. Holder in the United States), in which case the gain will be subject to U.S. federal income tax generally in the same manner as effectively connected dividend income as described above;</w:t>
      </w:r>
    </w:p>
    <w:p>
      <w:pPr>
        <w:spacing w:after="0" w:line="79"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non-U.S. Holder is an individual present in the United States for 183 days or more in the taxable year of disposition and certain other conditions are met, in which case the gain (net of certain U.S.-source losses) generally will be subject to U.S. federal income tax at a rate of 30% (or a lower treaty rate); or</w:t>
      </w:r>
    </w:p>
    <w:p>
      <w:pPr>
        <w:spacing w:after="0" w:line="78" w:lineRule="exact"/>
        <w:rPr>
          <w:rFonts w:ascii="Arial" w:cs="Arial" w:eastAsia="Arial" w:hAnsi="Arial"/>
          <w:sz w:val="18"/>
          <w:szCs w:val="18"/>
          <w:color w:val="auto"/>
        </w:rPr>
      </w:pPr>
    </w:p>
    <w:p>
      <w:pPr>
        <w:ind w:left="1800" w:right="839" w:hanging="180"/>
        <w:spacing w:after="0" w:line="263"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(as​ described below) at any time within the five-year period preceding the disposition or the non-U.S. Holder’s holding period, whichever period is shorter, and certain exceptions do not apply.</w:t>
      </w:r>
    </w:p>
    <w:p>
      <w:pPr>
        <w:spacing w:after="0" w:line="103"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We will be a U.S. real property holding corporation at any time that the fair market value of our “U.S. real property interests” (as​ defined in the Code and applicable Treasury regulations), equals or exceeds 50% of the aggregate fair market value of our worldwide real property interests and our other assets used or held for use in a trade or business (all as determined for the U.S. federal income tax purposes). We believe that we are not, and do not anticipate becoming in the foreseeable future, a U.S. real property holding corporation.</w:t>
      </w:r>
    </w:p>
    <w:p>
      <w:pPr>
        <w:spacing w:after="0" w:line="185"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1260" w:right="479" w:firstLine="360"/>
        <w:spacing w:after="0" w:line="278"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or the redemption of a warrant held by a non-U.S. Holder generally will correspond to the U.S. federal income tax treatment of the exercise, lapse or redemption of a warrant by a</w:t>
      </w:r>
    </w:p>
    <w:p>
      <w:pPr>
        <w:spacing w:after="0" w:line="90" w:lineRule="exact"/>
        <w:rPr>
          <w:sz w:val="20"/>
          <w:szCs w:val="20"/>
          <w:color w:val="auto"/>
        </w:rPr>
      </w:pPr>
    </w:p>
    <w:p>
      <w:pPr>
        <w:ind w:left="1260" w:right="479" w:firstLine="360"/>
        <w:spacing w:after="0" w:line="276" w:lineRule="auto"/>
        <w:rPr>
          <w:sz w:val="20"/>
          <w:szCs w:val="20"/>
          <w:color w:val="auto"/>
        </w:rPr>
      </w:pPr>
      <w:r>
        <w:rPr>
          <w:rFonts w:ascii="Arial" w:cs="Arial" w:eastAsia="Arial" w:hAnsi="Arial"/>
          <w:sz w:val="16"/>
          <w:szCs w:val="16"/>
          <w:color w:val="auto"/>
        </w:rPr>
        <w:t xml:space="preserve">U.S. Holder, as described above under </w:t>
      </w:r>
      <w:r>
        <w:rPr>
          <w:rFonts w:ascii="Arial" w:cs="Arial" w:eastAsia="Arial" w:hAnsi="Arial"/>
          <w:sz w:val="16"/>
          <w:szCs w:val="16"/>
          <w:i w:val="1"/>
          <w:iCs w:val="1"/>
          <w:color w:val="auto"/>
        </w:rPr>
        <w:t>“Tax Consequences to U.S. Holders — Exercise, Lapse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of a Warrant”, </w:t>
      </w:r>
      <w:r>
        <w:rPr>
          <w:rFonts w:ascii="Arial" w:cs="Arial" w:eastAsia="Arial" w:hAnsi="Arial"/>
          <w:sz w:val="16"/>
          <w:szCs w:val="16"/>
          <w:color w:val="auto"/>
        </w:rPr>
        <w:t>although to the extent a cashless exercise or redemption of a warrant results in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taxable exchange, the consequences would be similar to those described above under </w:t>
      </w:r>
      <w:r>
        <w:rPr>
          <w:rFonts w:ascii="Arial" w:cs="Arial" w:eastAsia="Arial" w:hAnsi="Arial"/>
          <w:sz w:val="16"/>
          <w:szCs w:val="16"/>
          <w:i w:val="1"/>
          <w:iCs w:val="1"/>
          <w:color w:val="auto"/>
        </w:rPr>
        <w:t>“Tax Consequences to</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i w:val="1"/>
          <w:iCs w:val="1"/>
          <w:color w:val="auto"/>
        </w:rPr>
        <w:t>Non-U.S. Holders — Sale, Exchange or Other Taxable Disposition of our Common Stock and Warrants.”</w:t>
      </w:r>
    </w:p>
    <w:p>
      <w:pPr>
        <w:spacing w:after="0" w:line="209" w:lineRule="exact"/>
        <w:rPr>
          <w:sz w:val="20"/>
          <w:szCs w:val="20"/>
          <w:color w:val="auto"/>
        </w:rPr>
      </w:pPr>
    </w:p>
    <w:p>
      <w:pPr>
        <w:ind w:left="16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Distributions paid to a non-U.S.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13" w:lineRule="exact"/>
        <w:rPr>
          <w:sz w:val="20"/>
          <w:szCs w:val="20"/>
          <w:color w:val="auto"/>
        </w:rPr>
      </w:pPr>
    </w:p>
    <w:p>
      <w:pPr>
        <w:ind w:left="1260" w:right="439" w:firstLine="360"/>
        <w:spacing w:after="0" w:line="270" w:lineRule="auto"/>
        <w:rPr>
          <w:sz w:val="20"/>
          <w:szCs w:val="20"/>
          <w:color w:val="auto"/>
        </w:rPr>
      </w:pPr>
      <w:r>
        <w:rPr>
          <w:rFonts w:ascii="Arial" w:cs="Arial" w:eastAsia="Arial" w:hAnsi="Arial"/>
          <w:sz w:val="17"/>
          <w:szCs w:val="17"/>
          <w:color w:val="auto"/>
        </w:rPr>
        <w:t>A non-U.S. Holder will not be subject to backup withholding on dividends received if such holder certifies under penalty of perjury that it is a non-U.S. Holder (and the payor does not have actual knowledge or reason to know that such holder is a U.S. person), or such holder otherwise establishes an exemption.</w:t>
      </w:r>
    </w:p>
    <w:p>
      <w:pPr>
        <w:spacing w:after="0" w:line="96" w:lineRule="exact"/>
        <w:rPr>
          <w:sz w:val="20"/>
          <w:szCs w:val="20"/>
          <w:color w:val="auto"/>
        </w:rPr>
      </w:pPr>
    </w:p>
    <w:p>
      <w:pPr>
        <w:jc w:val="center"/>
        <w:ind w:right="-720"/>
        <w:spacing w:after="0"/>
        <w:rPr>
          <w:sz w:val="20"/>
          <w:szCs w:val="20"/>
          <w:color w:val="auto"/>
        </w:rPr>
      </w:pPr>
      <w:r>
        <w:rPr>
          <w:rFonts w:ascii="Arial" w:cs="Arial" w:eastAsia="Arial" w:hAnsi="Arial"/>
          <w:sz w:val="18"/>
          <w:szCs w:val="18"/>
          <w:color w:val="auto"/>
        </w:rPr>
        <w:t>Information reporting and, depending on the circumstances, backup withholding will apply to the</w:t>
      </w:r>
    </w:p>
    <w:p>
      <w:pPr>
        <w:spacing w:after="0" w:line="23" w:lineRule="exact"/>
        <w:rPr>
          <w:sz w:val="20"/>
          <w:szCs w:val="20"/>
          <w:color w:val="auto"/>
        </w:rPr>
      </w:pPr>
    </w:p>
    <w:p>
      <w:pPr>
        <w:ind w:left="1260" w:right="559"/>
        <w:spacing w:after="0" w:line="273" w:lineRule="auto"/>
        <w:rPr>
          <w:sz w:val="20"/>
          <w:szCs w:val="20"/>
          <w:color w:val="auto"/>
        </w:rPr>
      </w:pPr>
      <w:r>
        <w:rPr>
          <w:rFonts w:ascii="Arial" w:cs="Arial" w:eastAsia="Arial" w:hAnsi="Arial"/>
          <w:sz w:val="17"/>
          <w:szCs w:val="17"/>
          <w:color w:val="auto"/>
        </w:rPr>
        <w:t>proceeds of a sale or other disposition of our common stock and warrants made within the United States or conducted through certain U.S.-related financial intermediaries, unless the non-U.S. Holder complies with</w:t>
      </w:r>
    </w:p>
    <w:p>
      <w:pPr>
        <w:spacing w:after="0" w:line="35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86" w:lineRule="auto"/>
        <w:rPr>
          <w:sz w:val="20"/>
          <w:szCs w:val="20"/>
          <w:color w:val="auto"/>
        </w:rPr>
      </w:pPr>
      <w:r>
        <w:rPr>
          <w:rFonts w:ascii="Arial" w:cs="Arial" w:eastAsia="Arial" w:hAnsi="Arial"/>
          <w:sz w:val="17"/>
          <w:szCs w:val="17"/>
          <w:color w:val="auto"/>
        </w:rPr>
        <w:t>certification procedures to establish that it is not a U.S. person in order to avoid information reporting and backup withholding. The certification procedures required to claim a reduced rate of withholding under a treaty will generally satisfy the certification requirements necessary to avoid backup withholding as well.</w:t>
      </w:r>
    </w:p>
    <w:p>
      <w:pPr>
        <w:spacing w:after="0" w:line="9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Backup withholding is not an additional tax and the amount of any backup withholding from a payment to a non-U.S. Holder will be allowed as a credit against such non-U.S. Holder’s U.S. federal income tax liability and may entitle such holder to a refund, provided that the required information is furnished to the IRS in a timely manner.</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FATCA Withholding Tax</w:t>
      </w:r>
    </w:p>
    <w:p>
      <w:pPr>
        <w:spacing w:after="0" w:line="16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Under Sections 1471 through 1474 of the Code (commonly referred to as “FATCA”), payments of dividends on, and the gross proceeds of dispositions of, our securities paid to (i) a “foreign financial institution” (as​ specifically defined in the Code) or (ii) a “non-financial foreign entity” (as​ specifically defined in the Code) will be subject to a withholding tax (separate and apart from, but without duplication of, the withholding tax described above) at a rate of 30%, unless various U.S. information reporting and due diligence requirements (generally relating to ownership by U.S. persons of interests in or accounts with those entities) have been satisfied or an exemption from these rules applies. Under proposed U.S.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If a dividend payment is both subject to withholding under FATCA and subject to the withholding tax discussed above under “— Tax Consequences to Non-U.S. Holders — Taxation of Distributions,” the withholding under FATCA may be credited against, and therefore reduce, such other withholding tax. Non-U.S. holders should consult their tax advisors regarding the possible implications of this withholding tax on their investment in our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Davis Polk &amp; Wardwell LLP, Menlo Park,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The audited financial statements of Lucid Group, Inc.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7940040</wp:posOffset>
            </wp:positionV>
            <wp:extent cx="5212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1640205</wp:posOffset>
            </wp:positionH>
            <wp:positionV relativeFrom="paragraph">
              <wp:posOffset>3868420</wp:posOffset>
            </wp:positionV>
            <wp:extent cx="3540125" cy="2311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354012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Arial" w:cs="Arial" w:eastAsia="Arial" w:hAnsi="Arial"/>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255270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62" w:lineRule="exact"/>
        <w:rPr>
          <w:sz w:val="20"/>
          <w:szCs w:val="20"/>
          <w:color w:val="auto"/>
        </w:rPr>
      </w:pPr>
    </w:p>
    <w:p>
      <w:pPr>
        <w:jc w:val="both"/>
        <w:ind w:left="1260" w:right="719" w:firstLine="360"/>
        <w:spacing w:after="0" w:line="270" w:lineRule="auto"/>
        <w:rPr>
          <w:sz w:val="20"/>
          <w:szCs w:val="20"/>
          <w:color w:val="auto"/>
        </w:rPr>
      </w:pPr>
      <w:r>
        <w:rPr>
          <w:rFonts w:ascii="Arial" w:cs="Arial" w:eastAsia="Arial" w:hAnsi="Arial"/>
          <w:sz w:val="17"/>
          <w:szCs w:val="17"/>
          <w:color w:val="auto"/>
        </w:rPr>
        <w:t>The following table sets forth the costs and expenses payable in connection with the offering of the securities being registered, all of which will be paid by the registrant (except any underwriting discounts and commissions and expenses incurred by the Selling Securityholders in disposing of the securities).</w:t>
      </w:r>
    </w:p>
    <w:p>
      <w:pPr>
        <w:spacing w:after="0" w:line="1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4"/>
              </w:rPr>
              <w:t>Amount to Be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740" w:type="dxa"/>
            <w:vAlign w:val="bottom"/>
            <w:gridSpan w:val="3"/>
          </w:tcPr>
          <w:p>
            <w:pPr>
              <w:ind w:left="36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ind w:left="102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Paid</w:t>
            </w:r>
          </w:p>
        </w:tc>
        <w:tc>
          <w:tcPr>
            <w:tcW w:w="8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SEC registration fee</w:t>
            </w:r>
          </w:p>
        </w:tc>
        <w:tc>
          <w:tcPr>
            <w:tcW w:w="1020" w:type="dxa"/>
            <w:vAlign w:val="bottom"/>
          </w:tcPr>
          <w:p>
            <w:pPr>
              <w:spacing w:after="0"/>
              <w:rPr>
                <w:sz w:val="21"/>
                <w:szCs w:val="21"/>
                <w:color w:val="auto"/>
              </w:rPr>
            </w:pPr>
          </w:p>
        </w:tc>
        <w:tc>
          <w:tcPr>
            <w:tcW w:w="1140" w:type="dxa"/>
            <w:vAlign w:val="bottom"/>
            <w:gridSpan w:val="6"/>
          </w:tcPr>
          <w:p>
            <w:pPr>
              <w:ind w:left="60"/>
              <w:spacing w:after="0"/>
              <w:rPr>
                <w:sz w:val="20"/>
                <w:szCs w:val="20"/>
                <w:color w:val="auto"/>
              </w:rPr>
            </w:pPr>
            <w:r>
              <w:rPr>
                <w:rFonts w:ascii="Arial" w:cs="Arial" w:eastAsia="Arial" w:hAnsi="Arial"/>
                <w:sz w:val="18"/>
                <w:szCs w:val="18"/>
                <w:color w:val="auto"/>
              </w:rPr>
              <w:t>​ ​​$68,669.06</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57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FINRA filing fee</w:t>
            </w:r>
          </w:p>
        </w:tc>
        <w:tc>
          <w:tcPr>
            <w:tcW w:w="102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jc w:val="center"/>
              <w:ind w:right="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Printing expenses</w:t>
            </w:r>
          </w:p>
        </w:tc>
        <w:tc>
          <w:tcPr>
            <w:tcW w:w="102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jc w:val="center"/>
              <w:ind w:right="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3"/>
        </w:trPr>
        <w:tc>
          <w:tcPr>
            <w:tcW w:w="57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Legal fees and expenses (including Blue Sky fees)</w:t>
            </w:r>
          </w:p>
        </w:tc>
        <w:tc>
          <w:tcPr>
            <w:tcW w:w="102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jc w:val="center"/>
              <w:ind w:right="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2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jc w:val="center"/>
              <w:ind w:right="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3"/>
        </w:trPr>
        <w:tc>
          <w:tcPr>
            <w:tcW w:w="57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Trustee and transfer agent and registrar fees and expenses</w:t>
            </w:r>
          </w:p>
        </w:tc>
        <w:tc>
          <w:tcPr>
            <w:tcW w:w="1020" w:type="dxa"/>
            <w:vAlign w:val="bottom"/>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jc w:val="center"/>
              <w:ind w:right="20"/>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53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Miscellaneous</w:t>
            </w:r>
          </w:p>
        </w:tc>
        <w:tc>
          <w:tcPr>
            <w:tcW w:w="1020" w:type="dxa"/>
            <w:vAlign w:val="bottom"/>
            <w:shd w:val="clear" w:color="auto" w:fill="CCEEFF"/>
          </w:tcPr>
          <w:p>
            <w:pPr>
              <w:spacing w:after="0"/>
              <w:rPr>
                <w:sz w:val="17"/>
                <w:szCs w:val="17"/>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1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7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38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6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gridSpan w:val="2"/>
          </w:tcPr>
          <w:p>
            <w:pPr>
              <w:jc w:val="center"/>
              <w:ind w:right="20"/>
              <w:spacing w:after="0" w:line="68"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20" w:type="dxa"/>
            <w:vAlign w:val="bottom"/>
          </w:tcPr>
          <w:p>
            <w:pPr>
              <w:spacing w:after="0"/>
              <w:rPr>
                <w:sz w:val="18"/>
                <w:szCs w:val="18"/>
                <w:color w:val="auto"/>
              </w:rPr>
            </w:pPr>
          </w:p>
        </w:tc>
        <w:tc>
          <w:tcPr>
            <w:tcW w:w="16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40" w:type="dxa"/>
            <w:vAlign w:val="bottom"/>
            <w:gridSpan w:val="2"/>
          </w:tcPr>
          <w:p>
            <w:pPr>
              <w:spacing w:after="0"/>
              <w:rPr>
                <w:sz w:val="20"/>
                <w:szCs w:val="20"/>
                <w:color w:val="auto"/>
              </w:rPr>
            </w:pPr>
            <w:r>
              <w:rPr>
                <w:rFonts w:ascii="Arial" w:cs="Arial" w:eastAsia="Arial" w:hAnsi="Arial"/>
                <w:sz w:val="3"/>
                <w:szCs w:val="3"/>
                <w:color w:val="auto"/>
              </w:rPr>
              <w:t>​​</w:t>
            </w:r>
          </w:p>
        </w:tc>
        <w:tc>
          <w:tcPr>
            <w:tcW w:w="760" w:type="dxa"/>
            <w:vAlign w:val="bottom"/>
          </w:tcPr>
          <w:p>
            <w:pPr>
              <w:spacing w:after="0"/>
              <w:rPr>
                <w:sz w:val="4"/>
                <w:szCs w:val="4"/>
                <w:color w:val="auto"/>
              </w:rPr>
            </w:pPr>
          </w:p>
        </w:tc>
        <w:tc>
          <w:tcPr>
            <w:tcW w:w="80" w:type="dxa"/>
            <w:vAlign w:val="bottom"/>
            <w:gridSpan w:val="2"/>
          </w:tcPr>
          <w:p>
            <w:pPr>
              <w:jc w:val="center"/>
              <w:ind w:right="20"/>
              <w:spacing w:after="0"/>
              <w:rPr>
                <w:sz w:val="20"/>
                <w:szCs w:val="20"/>
                <w:color w:val="auto"/>
              </w:rPr>
            </w:pPr>
            <w:r>
              <w:rPr>
                <w:rFonts w:ascii="Arial" w:cs="Arial" w:eastAsia="Arial" w:hAnsi="Arial"/>
                <w:sz w:val="3"/>
                <w:szCs w:val="3"/>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3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-1104900</wp:posOffset>
            </wp:positionV>
            <wp:extent cx="4749165" cy="162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-779145</wp:posOffset>
            </wp:positionV>
            <wp:extent cx="474916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-453390</wp:posOffset>
            </wp:positionV>
            <wp:extent cx="4749165" cy="179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4749165" cy="17970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-1439545</wp:posOffset>
            </wp:positionV>
            <wp:extent cx="47491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4" w:lineRule="exact"/>
        <w:rPr>
          <w:sz w:val="20"/>
          <w:szCs w:val="20"/>
          <w:color w:val="auto"/>
        </w:rPr>
      </w:pPr>
    </w:p>
    <w:p>
      <w:pPr>
        <w:ind w:left="1620" w:hanging="360"/>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be provided in one or more prospectus supplements filed hereunder.</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Arial" w:cs="Arial" w:eastAsia="Arial" w:hAnsi="Arial"/>
          <w:sz w:val="18"/>
          <w:szCs w:val="18"/>
          <w:color w:val="auto"/>
        </w:rPr>
        <w:t>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 ty, failed to act in good faith, engaged in intentional misconduct or knowingly violated a law, authorized the payment of a dividend or approved a stock repurchase in violation of Delaware corporate law or obtained an improper personal benefit. The Company’s current certificate of incorporation provides for this limitation of liability.</w:t>
      </w:r>
    </w:p>
    <w:p>
      <w:pPr>
        <w:spacing w:after="0" w:line="120"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7"/>
          <w:szCs w:val="17"/>
          <w:color w:val="auto"/>
        </w:rPr>
        <w:t>Section 145 of the DGCL,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 i 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 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328" w:lineRule="exact"/>
        <w:rPr>
          <w:sz w:val="20"/>
          <w:szCs w:val="20"/>
          <w:color w:val="auto"/>
        </w:rPr>
      </w:pPr>
    </w:p>
    <w:p>
      <w:pPr>
        <w:ind w:left="1260" w:right="799" w:firstLine="360"/>
        <w:spacing w:after="0" w:line="291"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w:t>
      </w:r>
    </w:p>
    <w:p>
      <w:pPr>
        <w:sectPr>
          <w:pgSz w:w="11900" w:h="16838" w:orient="portrait"/>
          <w:cols w:equalWidth="0" w:num="1">
            <w:col w:w="9879"/>
          </w:cols>
          <w:pgMar w:left="580" w:top="132"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79"/>
        <w:spacing w:after="0" w:line="259" w:lineRule="auto"/>
        <w:rPr>
          <w:sz w:val="20"/>
          <w:szCs w:val="20"/>
          <w:color w:val="auto"/>
        </w:rPr>
      </w:pPr>
      <w:r>
        <w:rPr>
          <w:rFonts w:ascii="Arial" w:cs="Arial" w:eastAsia="Arial" w:hAnsi="Arial"/>
          <w:sz w:val="18"/>
          <w:szCs w:val="18"/>
          <w:color w:val="auto"/>
        </w:rPr>
        <w:t>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19" w:lineRule="exact"/>
        <w:rPr>
          <w:sz w:val="20"/>
          <w:szCs w:val="20"/>
          <w:color w:val="auto"/>
        </w:rPr>
      </w:pPr>
    </w:p>
    <w:p>
      <w:pPr>
        <w:ind w:left="1260" w:right="899" w:firstLine="360"/>
        <w:spacing w:after="0" w:line="277" w:lineRule="auto"/>
        <w:rPr>
          <w:sz w:val="20"/>
          <w:szCs w:val="20"/>
          <w:color w:val="auto"/>
        </w:rPr>
      </w:pPr>
      <w:r>
        <w:rPr>
          <w:rFonts w:ascii="Arial" w:cs="Arial" w:eastAsia="Arial" w:hAnsi="Arial"/>
          <w:sz w:val="18"/>
          <w:szCs w:val="18"/>
          <w:color w:val="auto"/>
        </w:rPr>
        <w:t>The Company’s current certificate of incorporation provides that we must indemnify and advance expenses to our directors and officers to the full extent authorized by the DGCL.</w:t>
      </w:r>
    </w:p>
    <w:p>
      <w:pPr>
        <w:spacing w:after="0" w:line="103"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We have entered into indemnification agreements with each of our directors and executive officers, and certain other officers. Such agreements may require us, among other things, to advance expenses and otherwise indemnify our officers and directors against certain liabilities that may arise by reason of their status or service as officers or directors, to the fullest extent permitted by law. We intend to enter into indemnification agreements with any new directors and executive officers, and certain other officers, in the future.</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any provision of the Company’s current certificate of incorporation, the Company’s current bylaws, agreement, vote of stockholders or disinterested directors or otherwise. Notwithstanding the foregoing, the Company shall not be obligated to indemnify a director or officer in respect of a proceeding (or part thereof) instituted by such director or officer, unless such proceeding (or part thereof) has been authorized by the Board pursuant to the applicable procedure outlined in the indemnification agreements.</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Company maintains and expect to maintain standard policies of insurance that provide coverage</w:t>
      </w:r>
    </w:p>
    <w:p>
      <w:pPr>
        <w:spacing w:after="0" w:line="35" w:lineRule="exact"/>
        <w:rPr>
          <w:sz w:val="20"/>
          <w:szCs w:val="20"/>
          <w:color w:val="auto"/>
        </w:rPr>
      </w:pPr>
    </w:p>
    <w:p>
      <w:pPr>
        <w:ind w:left="1260" w:right="459"/>
        <w:spacing w:after="0" w:line="255" w:lineRule="auto"/>
        <w:tabs>
          <w:tab w:leader="none" w:pos="152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its directors and officers against loss rising from claims made by reason of breach of duty or other wrongful act and (2) to the Company with respect to indemnification payments that the Company may make to such directors and officers.</w:t>
      </w:r>
    </w:p>
    <w:p>
      <w:pPr>
        <w:spacing w:after="0" w:line="109"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the Company and our stockholders. Furthermore, a stockholder’s investment may be adversely affected to the extent we pay the costs of settlement and damage awards against officers and directors pursuant to these indemnification provisions.</w:t>
      </w:r>
    </w:p>
    <w:p>
      <w:pPr>
        <w:spacing w:after="0" w:line="125"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The Company believes that these provisions, the insurance and the indemnity agreements are necessary to attract and retain talented and experienced officers and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16. Exhibits.</w:t>
      </w:r>
    </w:p>
    <w:p>
      <w:pPr>
        <w:spacing w:after="0" w:line="162" w:lineRule="exact"/>
        <w:rPr>
          <w:sz w:val="20"/>
          <w:szCs w:val="20"/>
          <w:color w:val="auto"/>
        </w:rPr>
      </w:pPr>
    </w:p>
    <w:p>
      <w:pPr>
        <w:ind w:left="1260" w:right="579" w:firstLine="360"/>
        <w:spacing w:after="0" w:line="261" w:lineRule="auto"/>
        <w:tabs>
          <w:tab w:leader="none" w:pos="19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exhibits are included or incorporated by reference in this registration statement on Form S-3:</w:t>
      </w:r>
    </w:p>
    <w:p>
      <w:pPr>
        <w:spacing w:after="0" w:line="135"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Exhibit</w:t>
      </w:r>
    </w:p>
    <w:p>
      <w:pPr>
        <w:jc w:val="right"/>
        <w:ind w:right="379"/>
        <w:spacing w:after="0" w:line="184" w:lineRule="auto"/>
        <w:tabs>
          <w:tab w:leader="none" w:pos="4100" w:val="left"/>
          <w:tab w:leader="none" w:pos="20" w:val="left"/>
        </w:tabs>
        <w:rPr>
          <w:sz w:val="20"/>
          <w:szCs w:val="20"/>
          <w:color w:val="auto"/>
        </w:rPr>
      </w:pPr>
      <w:r>
        <w:rPr>
          <w:rFonts w:ascii="Arial" w:cs="Arial" w:eastAsia="Arial" w:hAnsi="Arial"/>
          <w:sz w:val="24"/>
          <w:szCs w:val="24"/>
          <w:b w:val="1"/>
          <w:bCs w:val="1"/>
          <w:u w:val="single" w:color="auto"/>
          <w:color w:val="auto"/>
          <w:vertAlign w:val="subscript"/>
        </w:rPr>
        <w:t>​</w:t>
      </w:r>
      <w:r>
        <w:rPr>
          <w:rFonts w:ascii="Arial" w:cs="Arial" w:eastAsia="Arial" w:hAnsi="Arial"/>
          <w:sz w:val="13"/>
          <w:szCs w:val="13"/>
          <w:b w:val="1"/>
          <w:bCs w:val="1"/>
          <w:u w:val="single" w:color="auto"/>
          <w:color w:val="auto"/>
        </w:rPr>
        <w:t>Number</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 ​</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24"/>
          <w:szCs w:val="24"/>
          <w:b w:val="1"/>
          <w:bCs w:val="1"/>
          <w:color w:val="auto"/>
          <w:vertAlign w:val="subscript"/>
        </w:rPr>
        <w:t>​</w:t>
      </w:r>
    </w:p>
    <w:p>
      <w:pPr>
        <w:sectPr>
          <w:pgSz w:w="11900" w:h="16838" w:orient="portrait"/>
          <w:cols w:equalWidth="0" w:num="1">
            <w:col w:w="9879"/>
          </w:cols>
          <w:pgMar w:left="580" w:top="132" w:right="1440" w:bottom="1440" w:gutter="0" w:footer="0" w:header="0"/>
        </w:sectPr>
      </w:pPr>
    </w:p>
    <w:p>
      <w:pPr>
        <w:ind w:left="1360" w:hanging="100"/>
        <w:spacing w:after="0" w:line="182" w:lineRule="auto"/>
        <w:tabs>
          <w:tab w:leader="none" w:pos="1360" w:val="left"/>
        </w:tabs>
        <w:numPr>
          <w:ilvl w:val="0"/>
          <w:numId w:val="45"/>
        </w:numPr>
        <w:rPr>
          <w:rFonts w:ascii="Arial" w:cs="Arial" w:eastAsia="Arial" w:hAnsi="Arial"/>
          <w:sz w:val="31"/>
          <w:szCs w:val="31"/>
          <w:color w:val="auto"/>
          <w:vertAlign w:val="superscript"/>
        </w:rPr>
      </w:pPr>
      <w:r>
        <w:rPr>
          <w:rFonts w:ascii="Arial" w:cs="Arial" w:eastAsia="Arial" w:hAnsi="Arial"/>
          <w:sz w:val="16"/>
          <w:szCs w:val="16"/>
          <w:color w:val="auto"/>
        </w:rPr>
        <w:t>1.1*</w:t>
      </w:r>
    </w:p>
    <w:p>
      <w:pPr>
        <w:spacing w:after="0" w:line="29" w:lineRule="exact"/>
        <w:rPr>
          <w:rFonts w:ascii="Arial" w:cs="Arial" w:eastAsia="Arial" w:hAnsi="Arial"/>
          <w:sz w:val="31"/>
          <w:szCs w:val="31"/>
          <w:color w:val="auto"/>
          <w:vertAlign w:val="superscript"/>
        </w:rPr>
      </w:pPr>
    </w:p>
    <w:p>
      <w:pPr>
        <w:ind w:left="1360" w:hanging="100"/>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2.1</w:t>
      </w: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1360" w:hanging="100"/>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3.1</w:t>
      </w:r>
    </w:p>
    <w:p>
      <w:pPr>
        <w:spacing w:after="0" w:line="265" w:lineRule="exact"/>
        <w:rPr>
          <w:rFonts w:ascii="Arial" w:cs="Arial" w:eastAsia="Arial" w:hAnsi="Arial"/>
          <w:sz w:val="18"/>
          <w:szCs w:val="18"/>
          <w:color w:val="auto"/>
        </w:rPr>
      </w:pPr>
    </w:p>
    <w:p>
      <w:pPr>
        <w:ind w:left="1360" w:hanging="100"/>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3.2</w:t>
      </w:r>
    </w:p>
    <w:p>
      <w:pPr>
        <w:spacing w:after="0" w:line="265" w:lineRule="exact"/>
        <w:rPr>
          <w:rFonts w:ascii="Arial" w:cs="Arial" w:eastAsia="Arial" w:hAnsi="Arial"/>
          <w:sz w:val="18"/>
          <w:szCs w:val="18"/>
          <w:color w:val="auto"/>
        </w:rPr>
      </w:pPr>
    </w:p>
    <w:p>
      <w:pPr>
        <w:ind w:left="1360" w:hanging="100"/>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4.1</w:t>
      </w:r>
    </w:p>
    <w:p>
      <w:pPr>
        <w:spacing w:after="0" w:line="108" w:lineRule="exact"/>
        <w:rPr>
          <w:rFonts w:ascii="Arial" w:cs="Arial" w:eastAsia="Arial" w:hAnsi="Arial"/>
          <w:sz w:val="18"/>
          <w:szCs w:val="18"/>
          <w:color w:val="auto"/>
        </w:rPr>
      </w:pPr>
    </w:p>
    <w:p>
      <w:pPr>
        <w:ind w:left="1360" w:hanging="100"/>
        <w:spacing w:after="0"/>
        <w:tabs>
          <w:tab w:leader="none" w:pos="1360" w:val="left"/>
        </w:tabs>
        <w:numPr>
          <w:ilvl w:val="0"/>
          <w:numId w:val="45"/>
        </w:numPr>
        <w:rPr>
          <w:rFonts w:ascii="Arial" w:cs="Arial" w:eastAsia="Arial" w:hAnsi="Arial"/>
          <w:sz w:val="36"/>
          <w:szCs w:val="36"/>
          <w:color w:val="auto"/>
          <w:vertAlign w:val="superscript"/>
        </w:rPr>
      </w:pPr>
      <w:r>
        <w:rPr>
          <w:rFonts w:ascii="Arial" w:cs="Arial" w:eastAsia="Arial" w:hAnsi="Arial"/>
          <w:sz w:val="18"/>
          <w:szCs w:val="18"/>
          <w:color w:val="auto"/>
        </w:rPr>
        <w:t>4.2</w:t>
      </w:r>
    </w:p>
    <w:p>
      <w:pPr>
        <w:spacing w:after="0" w:line="42" w:lineRule="exact"/>
        <w:rPr>
          <w:rFonts w:ascii="Arial" w:cs="Arial" w:eastAsia="Arial" w:hAnsi="Arial"/>
          <w:sz w:val="36"/>
          <w:szCs w:val="36"/>
          <w:color w:val="auto"/>
          <w:vertAlign w:val="superscript"/>
        </w:rPr>
      </w:pPr>
    </w:p>
    <w:p>
      <w:pPr>
        <w:ind w:left="1360" w:hanging="100"/>
        <w:spacing w:after="0"/>
        <w:tabs>
          <w:tab w:leader="none" w:pos="1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75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Form of Underwriting Agreement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7"/>
        </w:trPr>
        <w:tc>
          <w:tcPr>
            <w:tcW w:w="7700" w:type="dxa"/>
            <w:vAlign w:val="bottom"/>
            <w:gridSpan w:val="5"/>
          </w:tcPr>
          <w:p>
            <w:pPr>
              <w:spacing w:after="0"/>
              <w:rPr>
                <w:rFonts w:ascii="Arial" w:cs="Arial" w:eastAsia="Arial" w:hAnsi="Arial"/>
                <w:sz w:val="18"/>
                <w:szCs w:val="18"/>
                <w:color w:val="auto"/>
              </w:rPr>
            </w:pPr>
            <w:r>
              <w:rPr>
                <w:rFonts w:ascii="Arial" w:cs="Arial" w:eastAsia="Arial" w:hAnsi="Arial"/>
                <w:sz w:val="18"/>
                <w:szCs w:val="18"/>
                <w:color w:val="auto"/>
              </w:rPr>
              <w:t xml:space="preserve">​ ​ </w:t>
            </w:r>
            <w:hyperlink r:id="rId111">
              <w:r>
                <w:rPr>
                  <w:rFonts w:ascii="Arial" w:cs="Arial" w:eastAsia="Arial" w:hAnsi="Arial"/>
                  <w:sz w:val="18"/>
                  <w:szCs w:val="18"/>
                  <w:color w:val="0000EE"/>
                </w:rPr>
                <w:t>Agreement and Plan of Merger, dated as of February 22, 2021, by and among Churchill Capital</w:t>
              </w:r>
            </w:hyperlink>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196"/>
        </w:trPr>
        <w:tc>
          <w:tcPr>
            <w:tcW w:w="20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6"/>
              </w:rPr>
            </w:pPr>
            <w:hyperlink r:id="rId111">
              <w:r>
                <w:rPr>
                  <w:rFonts w:ascii="Arial" w:cs="Arial" w:eastAsia="Arial" w:hAnsi="Arial"/>
                  <w:sz w:val="18"/>
                  <w:szCs w:val="18"/>
                  <w:color w:val="0000EE"/>
                  <w:w w:val="96"/>
                </w:rPr>
                <w:t>Corp IV, Air Merger Sub, Inc., and Atieva, Inc. (incorporated by reference to Exhibit 2.1 to</w:t>
              </w:r>
            </w:hyperlink>
          </w:p>
        </w:tc>
        <w:tc>
          <w:tcPr>
            <w:tcW w:w="3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6260" w:type="dxa"/>
            <w:vAlign w:val="bottom"/>
            <w:tcBorders>
              <w:bottom w:val="single" w:sz="8" w:color="0000EE"/>
            </w:tcBorders>
          </w:tcPr>
          <w:p>
            <w:pPr>
              <w:spacing w:after="0" w:line="196" w:lineRule="exact"/>
              <w:rPr>
                <w:rFonts w:ascii="Arial" w:cs="Arial" w:eastAsia="Arial" w:hAnsi="Arial"/>
                <w:sz w:val="18"/>
                <w:szCs w:val="18"/>
                <w:color w:val="0000EE"/>
                <w:w w:val="97"/>
              </w:rPr>
            </w:pPr>
            <w:hyperlink r:id="rId111">
              <w:r>
                <w:rPr>
                  <w:rFonts w:ascii="Arial" w:cs="Arial" w:eastAsia="Arial" w:hAnsi="Arial"/>
                  <w:sz w:val="18"/>
                  <w:szCs w:val="18"/>
                  <w:color w:val="0000EE"/>
                  <w:w w:val="97"/>
                </w:rPr>
                <w:t>Churchill Capital Corp IV’s Current Report on Form 8-K filed February 22, 2021).</w:t>
              </w:r>
            </w:hyperlink>
          </w:p>
        </w:tc>
        <w:tc>
          <w:tcPr>
            <w:tcW w:w="12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r>
    </w:tbl>
    <w:p>
      <w:pPr>
        <w:spacing w:after="0" w:line="26" w:lineRule="exact"/>
        <w:rPr>
          <w:sz w:val="20"/>
          <w:szCs w:val="20"/>
          <w:color w:val="auto"/>
        </w:rPr>
      </w:pPr>
    </w:p>
    <w:p>
      <w:pPr>
        <w:jc w:val="both"/>
        <w:ind w:left="200" w:right="359" w:hanging="201"/>
        <w:spacing w:after="0" w:line="274"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 ​ </w:t>
      </w:r>
      <w:hyperlink r:id="rId112">
        <w:r>
          <w:rPr>
            <w:rFonts w:ascii="Arial" w:cs="Arial" w:eastAsia="Arial" w:hAnsi="Arial"/>
            <w:sz w:val="18"/>
            <w:szCs w:val="18"/>
            <w:u w:val="single" w:color="auto"/>
            <w:color w:val="0000EE"/>
          </w:rPr>
          <w:t>Third Amended and Restated Certificate of Incorporation (incorporated by reference to Exhibit 3.1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EE"/>
          </w:rPr>
          <w:t>of the Company’s Current Report on Form 8-K filed April 24, 2023).</w:t>
        </w:r>
      </w:hyperlink>
    </w:p>
    <w:p>
      <w:pPr>
        <w:spacing w:after="0" w:line="1"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 ​ </w:t>
      </w:r>
      <w:hyperlink r:id="rId113">
        <w:r>
          <w:rPr>
            <w:rFonts w:ascii="Arial" w:cs="Arial" w:eastAsia="Arial" w:hAnsi="Arial"/>
            <w:sz w:val="17"/>
            <w:szCs w:val="17"/>
            <w:u w:val="single" w:color="auto"/>
            <w:color w:val="0000EE"/>
          </w:rPr>
          <w:t>Second Amended and Restated Bylaws (incorporated by reference to Exhibit 3.2 of the Company’s</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3820" w:type="dxa"/>
            <w:vAlign w:val="bottom"/>
            <w:tcBorders>
              <w:bottom w:val="single" w:sz="8" w:color="0000EE"/>
            </w:tcBorders>
          </w:tcPr>
          <w:p>
            <w:pPr>
              <w:spacing w:after="0"/>
              <w:rPr>
                <w:rFonts w:ascii="Arial" w:cs="Arial" w:eastAsia="Arial" w:hAnsi="Arial"/>
                <w:sz w:val="18"/>
                <w:szCs w:val="18"/>
                <w:color w:val="0000EE"/>
                <w:w w:val="96"/>
              </w:rPr>
            </w:pPr>
            <w:hyperlink r:id="rId113">
              <w:r>
                <w:rPr>
                  <w:rFonts w:ascii="Arial" w:cs="Arial" w:eastAsia="Arial" w:hAnsi="Arial"/>
                  <w:sz w:val="18"/>
                  <w:szCs w:val="18"/>
                  <w:color w:val="0000EE"/>
                  <w:w w:val="96"/>
                </w:rPr>
                <w:t>Current Report on Form 8-K filed March 3, 2023).</w:t>
              </w:r>
            </w:hyperlink>
          </w:p>
        </w:tc>
        <w:tc>
          <w:tcPr>
            <w:tcW w:w="34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r>
      <w:tr>
        <w:trPr>
          <w:trHeight w:val="237"/>
        </w:trPr>
        <w:tc>
          <w:tcPr>
            <w:tcW w:w="7480" w:type="dxa"/>
            <w:vAlign w:val="bottom"/>
            <w:gridSpan w:val="8"/>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 </w:t>
            </w:r>
            <w:hyperlink r:id="rId114">
              <w:r>
                <w:rPr>
                  <w:rFonts w:ascii="Arial" w:cs="Arial" w:eastAsia="Arial" w:hAnsi="Arial"/>
                  <w:sz w:val="18"/>
                  <w:szCs w:val="18"/>
                  <w:color w:val="0000EE"/>
                  <w:w w:val="96"/>
                </w:rPr>
                <w:t>Specimen Class A Common Stock Certificate of Lucid Group, Inc. (incorporated by reference to</w:t>
              </w:r>
            </w:hyperlink>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96"/>
        </w:trPr>
        <w:tc>
          <w:tcPr>
            <w:tcW w:w="200" w:type="dxa"/>
            <w:vAlign w:val="bottom"/>
          </w:tcPr>
          <w:p>
            <w:pPr>
              <w:spacing w:after="0"/>
              <w:rPr>
                <w:sz w:val="17"/>
                <w:szCs w:val="17"/>
                <w:color w:val="auto"/>
              </w:rPr>
            </w:pPr>
          </w:p>
        </w:tc>
        <w:tc>
          <w:tcPr>
            <w:tcW w:w="62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r:id="rId114">
              <w:r>
                <w:rPr>
                  <w:rFonts w:ascii="Arial" w:cs="Arial" w:eastAsia="Arial" w:hAnsi="Arial"/>
                  <w:sz w:val="18"/>
                  <w:szCs w:val="18"/>
                  <w:color w:val="0000EE"/>
                  <w:w w:val="96"/>
                </w:rPr>
                <w:t>Exhibit 4.1 to the Company’s Current Report on Form 8-K filed on July 26, 2021).</w:t>
              </w:r>
            </w:hyperlink>
          </w:p>
        </w:tc>
        <w:tc>
          <w:tcPr>
            <w:tcW w:w="1040" w:type="dxa"/>
            <w:vAlign w:val="bottom"/>
            <w:tcBorders>
              <w:top w:val="single" w:sz="8" w:color="0000EE"/>
            </w:tcBorders>
            <w:gridSpan w:val="3"/>
          </w:tcPr>
          <w:p>
            <w:pPr>
              <w:spacing w:after="0"/>
              <w:rPr>
                <w:sz w:val="17"/>
                <w:szCs w:val="17"/>
                <w:color w:val="auto"/>
              </w:rPr>
            </w:pPr>
          </w:p>
        </w:tc>
        <w:tc>
          <w:tcPr>
            <w:tcW w:w="280" w:type="dxa"/>
            <w:vAlign w:val="bottom"/>
          </w:tcPr>
          <w:p>
            <w:pPr>
              <w:spacing w:after="0"/>
              <w:rPr>
                <w:sz w:val="17"/>
                <w:szCs w:val="17"/>
                <w:color w:val="auto"/>
              </w:rPr>
            </w:pPr>
          </w:p>
        </w:tc>
      </w:tr>
      <w:tr>
        <w:trPr>
          <w:trHeight w:val="263"/>
        </w:trPr>
        <w:tc>
          <w:tcPr>
            <w:tcW w:w="7480" w:type="dxa"/>
            <w:vAlign w:val="bottom"/>
            <w:gridSpan w:val="8"/>
          </w:tcPr>
          <w:p>
            <w:pPr>
              <w:spacing w:after="0" w:line="264" w:lineRule="exact"/>
              <w:rPr>
                <w:rFonts w:ascii="Arial" w:cs="Arial" w:eastAsia="Arial" w:hAnsi="Arial"/>
                <w:sz w:val="16"/>
                <w:szCs w:val="16"/>
                <w:color w:val="0000EE"/>
              </w:rPr>
            </w:pPr>
            <w:hyperlink r:id="rId115"/>
            <w:r>
              <w:rPr>
                <w:rFonts w:ascii="Arial" w:cs="Arial" w:eastAsia="Arial" w:hAnsi="Arial"/>
                <w:sz w:val="30"/>
                <w:szCs w:val="30"/>
                <w:color w:val="000000"/>
                <w:vertAlign w:val="superscript"/>
              </w:rPr>
              <w:t>​</w:t>
            </w:r>
            <w:r>
              <w:rPr>
                <w:rFonts w:ascii="Arial" w:cs="Arial" w:eastAsia="Arial" w:hAnsi="Arial"/>
                <w:sz w:val="16"/>
                <w:szCs w:val="16"/>
                <w:color w:val="0000EE"/>
              </w:rPr>
              <w:t xml:space="preserve"> </w:t>
            </w:r>
            <w:r>
              <w:rPr>
                <w:rFonts w:ascii="Arial" w:cs="Arial" w:eastAsia="Arial" w:hAnsi="Arial"/>
                <w:sz w:val="30"/>
                <w:szCs w:val="30"/>
                <w:color w:val="000000"/>
                <w:vertAlign w:val="superscript"/>
              </w:rPr>
              <w:t>​</w:t>
            </w:r>
            <w:r>
              <w:rPr>
                <w:rFonts w:ascii="Arial" w:cs="Arial" w:eastAsia="Arial" w:hAnsi="Arial"/>
                <w:sz w:val="16"/>
                <w:szCs w:val="16"/>
                <w:color w:val="0000EE"/>
              </w:rPr>
              <w:t xml:space="preserve"> </w:t>
            </w:r>
            <w:hyperlink r:id="rId115">
              <w:r>
                <w:rPr>
                  <w:rFonts w:ascii="Arial" w:cs="Arial" w:eastAsia="Arial" w:hAnsi="Arial"/>
                  <w:sz w:val="16"/>
                  <w:szCs w:val="16"/>
                  <w:color w:val="0000EE"/>
                </w:rPr>
                <w:t>Specimen Warrant Certificate (included in Exhibit 4.3).</w:t>
              </w:r>
            </w:hyperlink>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0"/>
        </w:trPr>
        <w:tc>
          <w:tcPr>
            <w:tcW w:w="200" w:type="dxa"/>
            <w:vAlign w:val="bottom"/>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7"/>
        </w:trPr>
        <w:tc>
          <w:tcPr>
            <w:tcW w:w="7480" w:type="dxa"/>
            <w:vAlign w:val="bottom"/>
            <w:gridSpan w:val="8"/>
          </w:tcPr>
          <w:p>
            <w:pPr>
              <w:spacing w:after="0"/>
              <w:rPr>
                <w:rFonts w:ascii="Arial" w:cs="Arial" w:eastAsia="Arial" w:hAnsi="Arial"/>
                <w:sz w:val="18"/>
                <w:szCs w:val="18"/>
                <w:color w:val="auto"/>
                <w:w w:val="96"/>
              </w:rPr>
            </w:pPr>
            <w:r>
              <w:rPr>
                <w:rFonts w:ascii="Arial" w:cs="Arial" w:eastAsia="Arial" w:hAnsi="Arial"/>
                <w:sz w:val="18"/>
                <w:szCs w:val="18"/>
                <w:color w:val="auto"/>
                <w:w w:val="96"/>
              </w:rPr>
              <w:t xml:space="preserve">​ ​ </w:t>
            </w:r>
            <w:hyperlink r:id="rId115">
              <w:r>
                <w:rPr>
                  <w:rFonts w:ascii="Arial" w:cs="Arial" w:eastAsia="Arial" w:hAnsi="Arial"/>
                  <w:sz w:val="18"/>
                  <w:szCs w:val="18"/>
                  <w:color w:val="0000EE"/>
                  <w:w w:val="96"/>
                </w:rPr>
                <w:t>Warrant Agreement, dated July 29, 2020, between Continental Stock Transfer &amp; Trust Company</w:t>
              </w:r>
            </w:hyperlink>
          </w:p>
        </w:tc>
        <w:tc>
          <w:tcPr>
            <w:tcW w:w="28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196"/>
        </w:trPr>
        <w:tc>
          <w:tcPr>
            <w:tcW w:w="200" w:type="dxa"/>
            <w:vAlign w:val="bottom"/>
          </w:tcPr>
          <w:p>
            <w:pPr>
              <w:spacing w:after="0"/>
              <w:rPr>
                <w:sz w:val="17"/>
                <w:szCs w:val="17"/>
                <w:color w:val="auto"/>
              </w:rPr>
            </w:pPr>
          </w:p>
        </w:tc>
        <w:tc>
          <w:tcPr>
            <w:tcW w:w="6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and Churchill Capital Corp IV (incorporated by reference to Exhibit 4.1 to Churchill Capital</w:t>
              </w:r>
            </w:hyperlink>
          </w:p>
        </w:tc>
        <w:tc>
          <w:tcPr>
            <w:tcW w:w="2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200" w:type="dxa"/>
            <w:vAlign w:val="bottom"/>
          </w:tcPr>
          <w:p>
            <w:pPr>
              <w:spacing w:after="0"/>
              <w:rPr>
                <w:sz w:val="17"/>
                <w:szCs w:val="17"/>
                <w:color w:val="auto"/>
              </w:rPr>
            </w:pPr>
          </w:p>
        </w:tc>
        <w:tc>
          <w:tcPr>
            <w:tcW w:w="468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Corp IV’s Current Report on Form 8-K filed August 3, 2020).</w:t>
              </w:r>
            </w:hyperlink>
          </w:p>
        </w:tc>
        <w:tc>
          <w:tcPr>
            <w:tcW w:w="2600" w:type="dxa"/>
            <w:vAlign w:val="bottom"/>
            <w:gridSpan w:val="4"/>
          </w:tcPr>
          <w:p>
            <w:pPr>
              <w:spacing w:after="0"/>
              <w:rPr>
                <w:sz w:val="17"/>
                <w:szCs w:val="17"/>
                <w:color w:val="auto"/>
              </w:rPr>
            </w:pPr>
          </w:p>
        </w:tc>
        <w:tc>
          <w:tcPr>
            <w:tcW w:w="280" w:type="dxa"/>
            <w:vAlign w:val="bottom"/>
          </w:tcPr>
          <w:p>
            <w:pPr>
              <w:spacing w:after="0"/>
              <w:rPr>
                <w:sz w:val="17"/>
                <w:szCs w:val="17"/>
                <w:color w:val="auto"/>
              </w:rPr>
            </w:pPr>
          </w:p>
        </w:tc>
      </w:tr>
    </w:tbl>
    <w:p>
      <w:pPr>
        <w:spacing w:after="0" w:line="40" w:lineRule="exact"/>
        <w:rPr>
          <w:sz w:val="20"/>
          <w:szCs w:val="20"/>
          <w:color w:val="auto"/>
        </w:rPr>
      </w:pPr>
    </w:p>
    <w:p>
      <w:pPr>
        <w:sectPr>
          <w:pgSz w:w="11900" w:h="16838" w:orient="portrait"/>
          <w:cols w:equalWidth="0" w:num="2">
            <w:col w:w="1680" w:space="80"/>
            <w:col w:w="8119"/>
          </w:cols>
          <w:pgMar w:left="58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7"/>
        </w:trPr>
        <w:tc>
          <w:tcPr>
            <w:tcW w:w="8120" w:type="dxa"/>
            <w:vAlign w:val="bottom"/>
            <w:gridSpan w:val="5"/>
          </w:tcPr>
          <w:p>
            <w:pPr>
              <w:spacing w:after="0"/>
              <w:rPr>
                <w:rFonts w:ascii="Arial" w:cs="Arial" w:eastAsia="Arial" w:hAnsi="Arial"/>
                <w:sz w:val="18"/>
                <w:szCs w:val="18"/>
                <w:color w:val="auto"/>
              </w:rPr>
            </w:pPr>
            <w:r>
              <w:rPr>
                <w:rFonts w:ascii="Arial" w:cs="Arial" w:eastAsia="Arial" w:hAnsi="Arial"/>
                <w:sz w:val="18"/>
                <w:szCs w:val="18"/>
                <w:color w:val="auto"/>
              </w:rPr>
              <w:t xml:space="preserve">​ 4.4  ​ ​ </w:t>
            </w:r>
            <w:hyperlink r:id="rId116">
              <w:r>
                <w:rPr>
                  <w:rFonts w:ascii="Arial" w:cs="Arial" w:eastAsia="Arial" w:hAnsi="Arial"/>
                  <w:sz w:val="18"/>
                  <w:szCs w:val="18"/>
                  <w:color w:val="0000EE"/>
                </w:rPr>
                <w:t>Investor Rights Agreement, dated as of February 22, 2021, by and among Churchill Capital</w:t>
              </w:r>
            </w:hyperlink>
          </w:p>
        </w:tc>
        <w:tc>
          <w:tcPr>
            <w:tcW w:w="140" w:type="dxa"/>
            <w:vAlign w:val="bottom"/>
          </w:tcPr>
          <w:p>
            <w:pPr>
              <w:ind w:left="80"/>
              <w:spacing w:after="0"/>
              <w:rPr>
                <w:sz w:val="20"/>
                <w:szCs w:val="20"/>
                <w:color w:val="auto"/>
              </w:rPr>
            </w:pPr>
            <w:r>
              <w:rPr>
                <w:rFonts w:ascii="Arial" w:cs="Arial" w:eastAsia="Arial" w:hAnsi="Arial"/>
                <w:sz w:val="18"/>
                <w:szCs w:val="18"/>
                <w:color w:val="auto"/>
              </w:rPr>
              <w:t>​</w:t>
            </w:r>
          </w:p>
        </w:tc>
      </w:tr>
      <w:tr>
        <w:trPr>
          <w:trHeight w:val="20"/>
        </w:trPr>
        <w:tc>
          <w:tcPr>
            <w:tcW w:w="7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9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742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Corp IV, Ayar Third Investment Company, Churchill Sponsor IV LLC and the other parties named</w:t>
              </w:r>
            </w:hyperlink>
          </w:p>
        </w:tc>
        <w:tc>
          <w:tcPr>
            <w:tcW w:w="1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72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therein (incorporated by reference to Exhibit 10.1 to Churchill Capital Corp IV’s Current Report</w:t>
              </w:r>
            </w:hyperlink>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96"/>
        </w:trPr>
        <w:tc>
          <w:tcPr>
            <w:tcW w:w="700" w:type="dxa"/>
            <w:vAlign w:val="bottom"/>
          </w:tcPr>
          <w:p>
            <w:pPr>
              <w:spacing w:after="0"/>
              <w:rPr>
                <w:sz w:val="17"/>
                <w:szCs w:val="17"/>
                <w:color w:val="auto"/>
              </w:rPr>
            </w:pPr>
          </w:p>
        </w:tc>
        <w:tc>
          <w:tcPr>
            <w:tcW w:w="7420" w:type="dxa"/>
            <w:vAlign w:val="bottom"/>
            <w:gridSpan w:val="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on Form 8-K filed February 22, 2021).</w:t>
              </w:r>
            </w:hyperlink>
          </w:p>
        </w:tc>
        <w:tc>
          <w:tcPr>
            <w:tcW w:w="1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2920" w:type="dxa"/>
            <w:vAlign w:val="bottom"/>
            <w:shd w:val="clear" w:color="auto" w:fill="0000EE"/>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9879"/>
          </w:cols>
          <w:pgMar w:left="580" w:top="132"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7"/>
        </w:trPr>
        <w:tc>
          <w:tcPr>
            <w:tcW w:w="460" w:type="dxa"/>
            <w:vAlign w:val="bottom"/>
          </w:tcPr>
          <w:p>
            <w:pPr>
              <w:spacing w:after="0"/>
              <w:rPr>
                <w:sz w:val="20"/>
                <w:szCs w:val="20"/>
                <w:color w:val="auto"/>
              </w:rPr>
            </w:pPr>
            <w:r>
              <w:rPr>
                <w:rFonts w:ascii="Arial" w:cs="Arial" w:eastAsia="Arial" w:hAnsi="Arial"/>
                <w:sz w:val="18"/>
                <w:szCs w:val="18"/>
                <w:color w:val="auto"/>
              </w:rPr>
              <w:t>​ 4.5</w:t>
            </w:r>
          </w:p>
        </w:tc>
        <w:tc>
          <w:tcPr>
            <w:tcW w:w="7620" w:type="dxa"/>
            <w:vAlign w:val="bottom"/>
            <w:gridSpan w:val="9"/>
          </w:tcPr>
          <w:p>
            <w:pPr>
              <w:ind w:left="40"/>
              <w:spacing w:after="0"/>
              <w:rPr>
                <w:rFonts w:ascii="Arial" w:cs="Arial" w:eastAsia="Arial" w:hAnsi="Arial"/>
                <w:sz w:val="18"/>
                <w:szCs w:val="18"/>
                <w:color w:val="auto"/>
                <w:w w:val="99"/>
              </w:rPr>
            </w:pPr>
            <w:r>
              <w:rPr>
                <w:rFonts w:ascii="Arial" w:cs="Arial" w:eastAsia="Arial" w:hAnsi="Arial"/>
                <w:sz w:val="18"/>
                <w:szCs w:val="18"/>
                <w:color w:val="auto"/>
                <w:w w:val="99"/>
              </w:rPr>
              <w:t xml:space="preserve">​ ​ </w:t>
            </w:r>
            <w:hyperlink r:id="rId117">
              <w:r>
                <w:rPr>
                  <w:rFonts w:ascii="Arial" w:cs="Arial" w:eastAsia="Arial" w:hAnsi="Arial"/>
                  <w:sz w:val="18"/>
                  <w:szCs w:val="18"/>
                  <w:color w:val="0000EE"/>
                  <w:w w:val="99"/>
                </w:rPr>
                <w:t>Amendment No. 1 to the Investor Rights Agreement, dated November 8, 2022, between Lucid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120" w:type="dxa"/>
            <w:vAlign w:val="bottom"/>
            <w:tcBorders>
              <w:top w:val="single" w:sz="8" w:color="0000EE"/>
            </w:tcBorders>
            <w:gridSpan w:val="7"/>
          </w:tcPr>
          <w:p>
            <w:pPr>
              <w:spacing w:after="0" w:line="196"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Group, Inc., Ayar Third Investment Company and the other parties thereto (incorporated by</w:t>
              </w:r>
            </w:hyperlink>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38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r:id="rId117">
              <w:r>
                <w:rPr>
                  <w:rFonts w:ascii="Arial" w:cs="Arial" w:eastAsia="Arial" w:hAnsi="Arial"/>
                  <w:sz w:val="18"/>
                  <w:szCs w:val="18"/>
                  <w:color w:val="0000EE"/>
                  <w:w w:val="96"/>
                </w:rPr>
                <w:t>reference to Exhibit 10.2 to the Company’s Current Report on Form 8-K filed November 8, 2022)</w:t>
              </w:r>
            </w:hyperlink>
          </w:p>
        </w:tc>
        <w:tc>
          <w:tcPr>
            <w:tcW w:w="0" w:type="dxa"/>
            <w:vAlign w:val="bottom"/>
          </w:tcPr>
          <w:p>
            <w:pPr>
              <w:spacing w:after="0"/>
              <w:rPr>
                <w:sz w:val="1"/>
                <w:szCs w:val="1"/>
                <w:color w:val="auto"/>
              </w:rPr>
            </w:pPr>
          </w:p>
        </w:tc>
      </w:tr>
      <w:tr>
        <w:trPr>
          <w:trHeight w:val="263"/>
        </w:trPr>
        <w:tc>
          <w:tcPr>
            <w:tcW w:w="460" w:type="dxa"/>
            <w:vAlign w:val="bottom"/>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5.1^</w:t>
            </w:r>
          </w:p>
        </w:tc>
        <w:tc>
          <w:tcPr>
            <w:tcW w:w="7620" w:type="dxa"/>
            <w:vAlign w:val="bottom"/>
            <w:gridSpan w:val="9"/>
          </w:tcPr>
          <w:p>
            <w:pPr>
              <w:ind w:left="40"/>
              <w:spacing w:after="0" w:line="264" w:lineRule="exact"/>
              <w:rPr>
                <w:sz w:val="20"/>
                <w:szCs w:val="20"/>
                <w:color w:val="auto"/>
              </w:rPr>
            </w:pPr>
            <w:r>
              <w:rPr>
                <w:rFonts w:ascii="Arial" w:cs="Arial" w:eastAsia="Arial" w:hAnsi="Arial"/>
                <w:sz w:val="30"/>
                <w:szCs w:val="30"/>
                <w:color w:val="000000"/>
                <w:vertAlign w:val="superscript"/>
              </w:rPr>
              <w:t>​ ​</w:t>
            </w:r>
            <w:r>
              <w:rPr>
                <w:rFonts w:ascii="Arial" w:cs="Arial" w:eastAsia="Arial" w:hAnsi="Arial"/>
                <w:sz w:val="16"/>
                <w:szCs w:val="16"/>
                <w:color w:val="0000EE"/>
              </w:rPr>
              <w:t xml:space="preserve"> Opinion of Davis Polk &amp; Wardwell LLP</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 ​</w:t>
            </w: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5480" w:type="dxa"/>
            <w:vAlign w:val="bottom"/>
            <w:gridSpan w:val="4"/>
            <w:vMerge w:val="restart"/>
          </w:tcPr>
          <w:p>
            <w:pPr>
              <w:spacing w:after="0"/>
              <w:rPr>
                <w:sz w:val="20"/>
                <w:szCs w:val="20"/>
                <w:color w:val="auto"/>
              </w:rPr>
            </w:pPr>
            <w:r>
              <w:rPr>
                <w:rFonts w:ascii="Arial" w:cs="Arial" w:eastAsia="Arial" w:hAnsi="Arial"/>
                <w:sz w:val="18"/>
                <w:szCs w:val="18"/>
                <w:color w:val="0000EE"/>
                <w:w w:val="97"/>
              </w:rPr>
              <w:t>Consent of Davis Polk &amp; Wardwell LLP (included in Exhibit 5.1 hereto)</w:t>
            </w:r>
          </w:p>
        </w:tc>
        <w:tc>
          <w:tcPr>
            <w:tcW w:w="1900" w:type="dxa"/>
            <w:vAlign w:val="bottom"/>
            <w:gridSpan w:val="4"/>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0" w:type="dxa"/>
            <w:vAlign w:val="bottom"/>
          </w:tcPr>
          <w:p>
            <w:pPr>
              <w:spacing w:after="0" w:line="68" w:lineRule="exact"/>
              <w:rPr>
                <w:sz w:val="20"/>
                <w:szCs w:val="20"/>
                <w:color w:val="auto"/>
              </w:rPr>
            </w:pPr>
            <w:r>
              <w:rPr>
                <w:rFonts w:ascii="Arial" w:cs="Arial" w:eastAsia="Arial" w:hAnsi="Arial"/>
                <w:sz w:val="7"/>
                <w:szCs w:val="7"/>
                <w:color w:val="auto"/>
              </w:rPr>
              <w:t>23.1^</w:t>
            </w:r>
          </w:p>
        </w:tc>
        <w:tc>
          <w:tcPr>
            <w:tcW w:w="240" w:type="dxa"/>
            <w:vAlign w:val="bottom"/>
          </w:tcPr>
          <w:p>
            <w:pPr>
              <w:spacing w:after="0"/>
              <w:rPr>
                <w:sz w:val="5"/>
                <w:szCs w:val="5"/>
                <w:color w:val="auto"/>
              </w:rPr>
            </w:pPr>
          </w:p>
        </w:tc>
        <w:tc>
          <w:tcPr>
            <w:tcW w:w="5480" w:type="dxa"/>
            <w:vAlign w:val="bottom"/>
            <w:tcBorders>
              <w:bottom w:val="single" w:sz="8" w:color="0000EE"/>
            </w:tcBorders>
            <w:gridSpan w:val="4"/>
            <w:vMerge w:val="continue"/>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2" w:lineRule="exact"/>
              <w:rPr>
                <w:sz w:val="20"/>
                <w:szCs w:val="20"/>
                <w:color w:val="auto"/>
              </w:rPr>
            </w:pPr>
            <w:r>
              <w:rPr>
                <w:rFonts w:ascii="Arial" w:cs="Arial" w:eastAsia="Arial" w:hAnsi="Arial"/>
                <w:sz w:val="18"/>
                <w:szCs w:val="18"/>
                <w:color w:val="auto"/>
              </w:rPr>
              <w:t>​ ​</w:t>
            </w:r>
          </w:p>
        </w:tc>
        <w:tc>
          <w:tcPr>
            <w:tcW w:w="7380" w:type="dxa"/>
            <w:vAlign w:val="bottom"/>
            <w:gridSpan w:val="8"/>
            <w:vMerge w:val="restart"/>
          </w:tcPr>
          <w:p>
            <w:pPr>
              <w:spacing w:after="0"/>
              <w:rPr>
                <w:sz w:val="20"/>
                <w:szCs w:val="20"/>
                <w:color w:val="auto"/>
              </w:rPr>
            </w:pPr>
            <w:r>
              <w:rPr>
                <w:rFonts w:ascii="Arial" w:cs="Arial" w:eastAsia="Arial" w:hAnsi="Arial"/>
                <w:sz w:val="18"/>
                <w:szCs w:val="18"/>
                <w:color w:val="0000EE"/>
              </w:rPr>
              <w:t>Consent of Grant Thornton LLP</w:t>
            </w:r>
          </w:p>
        </w:tc>
        <w:tc>
          <w:tcPr>
            <w:tcW w:w="0" w:type="dxa"/>
            <w:vAlign w:val="bottom"/>
          </w:tcPr>
          <w:p>
            <w:pPr>
              <w:spacing w:after="0"/>
              <w:rPr>
                <w:sz w:val="1"/>
                <w:szCs w:val="1"/>
                <w:color w:val="auto"/>
              </w:rPr>
            </w:pPr>
          </w:p>
        </w:tc>
      </w:tr>
      <w:tr>
        <w:trPr>
          <w:trHeight w:val="68"/>
        </w:trPr>
        <w:tc>
          <w:tcPr>
            <w:tcW w:w="460" w:type="dxa"/>
            <w:vAlign w:val="bottom"/>
          </w:tcPr>
          <w:p>
            <w:pPr>
              <w:spacing w:after="0" w:line="68" w:lineRule="exact"/>
              <w:rPr>
                <w:sz w:val="20"/>
                <w:szCs w:val="20"/>
                <w:color w:val="auto"/>
              </w:rPr>
            </w:pPr>
            <w:r>
              <w:rPr>
                <w:rFonts w:ascii="Arial" w:cs="Arial" w:eastAsia="Arial" w:hAnsi="Arial"/>
                <w:sz w:val="7"/>
                <w:szCs w:val="7"/>
                <w:color w:val="auto"/>
              </w:rPr>
              <w:t>23.2^</w:t>
            </w:r>
          </w:p>
        </w:tc>
        <w:tc>
          <w:tcPr>
            <w:tcW w:w="240" w:type="dxa"/>
            <w:vAlign w:val="bottom"/>
          </w:tcPr>
          <w:p>
            <w:pPr>
              <w:spacing w:after="0"/>
              <w:rPr>
                <w:sz w:val="5"/>
                <w:szCs w:val="5"/>
                <w:color w:val="auto"/>
              </w:rPr>
            </w:pPr>
          </w:p>
        </w:tc>
        <w:tc>
          <w:tcPr>
            <w:tcW w:w="7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2" w:lineRule="exact"/>
              <w:rPr>
                <w:sz w:val="20"/>
                <w:szCs w:val="20"/>
                <w:color w:val="auto"/>
              </w:rPr>
            </w:pPr>
            <w:r>
              <w:rPr>
                <w:rFonts w:ascii="Arial" w:cs="Arial" w:eastAsia="Arial" w:hAnsi="Arial"/>
                <w:sz w:val="18"/>
                <w:szCs w:val="18"/>
                <w:color w:val="auto"/>
              </w:rPr>
              <w:t>​</w:t>
            </w:r>
          </w:p>
        </w:tc>
        <w:tc>
          <w:tcPr>
            <w:tcW w:w="240" w:type="dxa"/>
            <w:vAlign w:val="bottom"/>
            <w:vMerge w:val="restart"/>
          </w:tcPr>
          <w:p>
            <w:pPr>
              <w:ind w:left="40"/>
              <w:spacing w:after="0" w:line="202" w:lineRule="exact"/>
              <w:rPr>
                <w:sz w:val="20"/>
                <w:szCs w:val="20"/>
                <w:color w:val="auto"/>
              </w:rPr>
            </w:pPr>
            <w:r>
              <w:rPr>
                <w:rFonts w:ascii="Arial" w:cs="Arial" w:eastAsia="Arial" w:hAnsi="Arial"/>
                <w:sz w:val="18"/>
                <w:szCs w:val="18"/>
                <w:color w:val="auto"/>
              </w:rPr>
              <w:t>​ ​</w:t>
            </w:r>
          </w:p>
        </w:tc>
        <w:tc>
          <w:tcPr>
            <w:tcW w:w="12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7380" w:type="dxa"/>
            <w:vAlign w:val="bottom"/>
            <w:gridSpan w:val="8"/>
            <w:vMerge w:val="restart"/>
          </w:tcPr>
          <w:p>
            <w:pPr>
              <w:spacing w:after="0"/>
              <w:rPr>
                <w:sz w:val="20"/>
                <w:szCs w:val="20"/>
                <w:color w:val="auto"/>
              </w:rPr>
            </w:pPr>
            <w:r>
              <w:rPr>
                <w:rFonts w:ascii="Arial" w:cs="Arial" w:eastAsia="Arial" w:hAnsi="Arial"/>
                <w:sz w:val="18"/>
                <w:szCs w:val="18"/>
                <w:color w:val="0000EE"/>
              </w:rPr>
              <w:t>Power of Attorney (included in the signature page to this registration statement)</w:t>
            </w:r>
          </w:p>
        </w:tc>
        <w:tc>
          <w:tcPr>
            <w:tcW w:w="0" w:type="dxa"/>
            <w:vAlign w:val="bottom"/>
          </w:tcPr>
          <w:p>
            <w:pPr>
              <w:spacing w:after="0"/>
              <w:rPr>
                <w:sz w:val="1"/>
                <w:szCs w:val="1"/>
                <w:color w:val="auto"/>
              </w:rPr>
            </w:pPr>
          </w:p>
        </w:tc>
      </w:tr>
      <w:tr>
        <w:trPr>
          <w:trHeight w:val="68"/>
        </w:trPr>
        <w:tc>
          <w:tcPr>
            <w:tcW w:w="460" w:type="dxa"/>
            <w:vAlign w:val="bottom"/>
          </w:tcPr>
          <w:p>
            <w:pPr>
              <w:spacing w:after="0" w:line="68" w:lineRule="exact"/>
              <w:rPr>
                <w:sz w:val="20"/>
                <w:szCs w:val="20"/>
                <w:color w:val="auto"/>
              </w:rPr>
            </w:pPr>
            <w:r>
              <w:rPr>
                <w:rFonts w:ascii="Arial" w:cs="Arial" w:eastAsia="Arial" w:hAnsi="Arial"/>
                <w:sz w:val="7"/>
                <w:szCs w:val="7"/>
                <w:color w:val="auto"/>
              </w:rPr>
              <w:t>24.1^</w:t>
            </w:r>
          </w:p>
        </w:tc>
        <w:tc>
          <w:tcPr>
            <w:tcW w:w="240" w:type="dxa"/>
            <w:vAlign w:val="bottom"/>
          </w:tcPr>
          <w:p>
            <w:pPr>
              <w:spacing w:after="0"/>
              <w:rPr>
                <w:sz w:val="5"/>
                <w:szCs w:val="5"/>
                <w:color w:val="auto"/>
              </w:rPr>
            </w:pPr>
          </w:p>
        </w:tc>
        <w:tc>
          <w:tcPr>
            <w:tcW w:w="738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60" w:type="dxa"/>
            <w:vAlign w:val="bottom"/>
          </w:tcPr>
          <w:p>
            <w:pPr>
              <w:spacing w:after="0" w:line="182" w:lineRule="exact"/>
              <w:rPr>
                <w:sz w:val="20"/>
                <w:szCs w:val="20"/>
                <w:color w:val="auto"/>
              </w:rPr>
            </w:pPr>
            <w:r>
              <w:rPr>
                <w:rFonts w:ascii="Arial" w:cs="Arial" w:eastAsia="Arial" w:hAnsi="Arial"/>
                <w:sz w:val="18"/>
                <w:szCs w:val="18"/>
                <w:color w:val="auto"/>
              </w:rPr>
              <w:t>​</w:t>
            </w:r>
          </w:p>
        </w:tc>
        <w:tc>
          <w:tcPr>
            <w:tcW w:w="240" w:type="dxa"/>
            <w:vAlign w:val="bottom"/>
          </w:tcPr>
          <w:p>
            <w:pPr>
              <w:ind w:left="40"/>
              <w:spacing w:after="0" w:line="182" w:lineRule="exact"/>
              <w:rPr>
                <w:sz w:val="20"/>
                <w:szCs w:val="20"/>
                <w:color w:val="auto"/>
              </w:rPr>
            </w:pPr>
            <w:r>
              <w:rPr>
                <w:rFonts w:ascii="Arial" w:cs="Arial" w:eastAsia="Arial" w:hAnsi="Arial"/>
                <w:sz w:val="18"/>
                <w:szCs w:val="18"/>
                <w:color w:val="auto"/>
              </w:rPr>
              <w:t>​ ​</w:t>
            </w:r>
          </w:p>
        </w:tc>
        <w:tc>
          <w:tcPr>
            <w:tcW w:w="124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EE"/>
                <w:w w:val="94"/>
              </w:rPr>
              <w:t>Filing Fee Table</w:t>
            </w:r>
          </w:p>
        </w:tc>
        <w:tc>
          <w:tcPr>
            <w:tcW w:w="4800" w:type="dxa"/>
            <w:vAlign w:val="bottom"/>
            <w:tcBorders>
              <w:top w:val="single" w:sz="8" w:color="0000EE"/>
            </w:tcBorders>
            <w:gridSpan w:val="4"/>
            <w:vMerge w:val="restart"/>
          </w:tcPr>
          <w:p>
            <w:pPr>
              <w:spacing w:after="0"/>
              <w:rPr>
                <w:sz w:val="15"/>
                <w:szCs w:val="15"/>
                <w:color w:val="auto"/>
              </w:rPr>
            </w:pPr>
          </w:p>
        </w:tc>
        <w:tc>
          <w:tcPr>
            <w:tcW w:w="134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60" w:type="dxa"/>
            <w:vAlign w:val="bottom"/>
          </w:tcPr>
          <w:p>
            <w:pPr>
              <w:spacing w:after="0" w:line="68" w:lineRule="exact"/>
              <w:rPr>
                <w:sz w:val="20"/>
                <w:szCs w:val="20"/>
                <w:color w:val="auto"/>
              </w:rPr>
            </w:pPr>
            <w:r>
              <w:rPr>
                <w:rFonts w:ascii="Arial" w:cs="Arial" w:eastAsia="Arial" w:hAnsi="Arial"/>
                <w:sz w:val="7"/>
                <w:szCs w:val="7"/>
                <w:color w:val="auto"/>
              </w:rPr>
              <w:t>107^</w:t>
            </w:r>
          </w:p>
        </w:tc>
        <w:tc>
          <w:tcPr>
            <w:tcW w:w="240" w:type="dxa"/>
            <w:vAlign w:val="bottom"/>
          </w:tcPr>
          <w:p>
            <w:pPr>
              <w:spacing w:after="0"/>
              <w:rPr>
                <w:sz w:val="5"/>
                <w:szCs w:val="5"/>
                <w:color w:val="auto"/>
              </w:rPr>
            </w:pPr>
          </w:p>
        </w:tc>
        <w:tc>
          <w:tcPr>
            <w:tcW w:w="1240" w:type="dxa"/>
            <w:vAlign w:val="bottom"/>
            <w:tcBorders>
              <w:bottom w:val="single" w:sz="8" w:color="0000EE"/>
            </w:tcBorders>
            <w:vMerge w:val="continue"/>
          </w:tcPr>
          <w:p>
            <w:pPr>
              <w:spacing w:after="0"/>
              <w:rPr>
                <w:sz w:val="5"/>
                <w:szCs w:val="5"/>
                <w:color w:val="auto"/>
              </w:rPr>
            </w:pPr>
          </w:p>
        </w:tc>
        <w:tc>
          <w:tcPr>
            <w:tcW w:w="4800" w:type="dxa"/>
            <w:vAlign w:val="bottom"/>
            <w:gridSpan w:val="4"/>
            <w:vMerge w:val="continue"/>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right="360" w:hanging="360"/>
        <w:spacing w:after="0" w:line="277" w:lineRule="auto"/>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be provided in an amendment hereto or in a subsequent filing that is incorporated by reference herein.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6" w:lineRule="exact"/>
        <w:rPr>
          <w:sz w:val="20"/>
          <w:szCs w:val="20"/>
          <w:color w:val="auto"/>
        </w:rPr>
      </w:pPr>
    </w:p>
    <w:p>
      <w:pPr>
        <w:sectPr>
          <w:pgSz w:w="11900" w:h="16838" w:orient="portrait"/>
          <w:cols w:equalWidth="0" w:num="2">
            <w:col w:w="9340" w:space="120"/>
            <w:col w:w="419"/>
          </w:cols>
          <w:pgMar w:left="580" w:top="132" w:right="1440" w:bottom="1440" w:gutter="0" w:footer="0" w:header="0"/>
          <w:type w:val="continuous"/>
        </w:sectPr>
      </w:pPr>
    </w:p>
    <w:p>
      <w:pPr>
        <w:ind w:left="1620" w:hanging="360"/>
        <w:spacing w:after="0"/>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980" w:hanging="360"/>
        <w:spacing w:after="0"/>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44" w:lineRule="exact"/>
        <w:rPr>
          <w:rFonts w:ascii="Arial" w:cs="Arial" w:eastAsia="Arial" w:hAnsi="Arial"/>
          <w:sz w:val="18"/>
          <w:szCs w:val="18"/>
          <w:color w:val="auto"/>
        </w:rPr>
      </w:pPr>
    </w:p>
    <w:p>
      <w:pPr>
        <w:ind w:left="1620" w:right="839" w:firstLine="360"/>
        <w:spacing w:after="0" w:line="277" w:lineRule="auto"/>
        <w:tabs>
          <w:tab w:leader="none" w:pos="234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securities registered hereby, a post-effective amendment to this registration statement:</w:t>
      </w:r>
    </w:p>
    <w:p>
      <w:pPr>
        <w:spacing w:after="0" w:line="89" w:lineRule="exact"/>
        <w:rPr>
          <w:rFonts w:ascii="Arial" w:cs="Arial" w:eastAsia="Arial" w:hAnsi="Arial"/>
          <w:sz w:val="18"/>
          <w:szCs w:val="18"/>
          <w:color w:val="auto"/>
        </w:rPr>
      </w:pPr>
    </w:p>
    <w:p>
      <w:pPr>
        <w:ind w:left="2660" w:hanging="320"/>
        <w:spacing w:after="0"/>
        <w:tabs>
          <w:tab w:leader="none" w:pos="2660" w:val="left"/>
        </w:tabs>
        <w:numPr>
          <w:ilvl w:val="2"/>
          <w:numId w:val="4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ind w:left="1980" w:right="419" w:firstLine="360"/>
        <w:spacing w:after="0" w:line="261" w:lineRule="auto"/>
        <w:tabs>
          <w:tab w:leader="none" w:pos="2717" w:val="left"/>
        </w:tabs>
        <w:numPr>
          <w:ilvl w:val="2"/>
          <w:numId w:val="48"/>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w:t>
      </w:r>
    </w:p>
    <w:p>
      <w:pPr>
        <w:sectPr>
          <w:pgSz w:w="11900" w:h="16838" w:orient="portrait"/>
          <w:cols w:equalWidth="0" w:num="1">
            <w:col w:w="9879"/>
          </w:cols>
          <w:pgMar w:left="580" w:top="132" w:right="1440" w:bottom="1440" w:gutter="0" w:footer="0" w:header="0"/>
          <w:type w:val="continuous"/>
        </w:sect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879"/>
        <w:spacing w:after="0" w:line="256" w:lineRule="auto"/>
        <w:rPr>
          <w:sz w:val="20"/>
          <w:szCs w:val="20"/>
          <w:color w:val="auto"/>
        </w:rPr>
      </w:pPr>
      <w:r>
        <w:rPr>
          <w:rFonts w:ascii="Arial" w:cs="Arial" w:eastAsia="Arial" w:hAnsi="Arial"/>
          <w:sz w:val="18"/>
          <w:szCs w:val="18"/>
          <w:color w:val="auto"/>
        </w:rPr>
        <w:t>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07" w:lineRule="exact"/>
        <w:rPr>
          <w:sz w:val="20"/>
          <w:szCs w:val="20"/>
          <w:color w:val="auto"/>
        </w:rPr>
      </w:pPr>
    </w:p>
    <w:p>
      <w:pPr>
        <w:ind w:left="1980" w:right="419" w:firstLine="360"/>
        <w:spacing w:after="0" w:line="259" w:lineRule="auto"/>
        <w:tabs>
          <w:tab w:leader="none" w:pos="2770" w:val="left"/>
        </w:tabs>
        <w:numPr>
          <w:ilvl w:val="1"/>
          <w:numId w:val="49"/>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 provided, however, that paragraphs (i), (ii) and (iii) above do not apply if the information required to be included in a post-effective amendment by those paragraphs is contained in periodic reports filed with or furnished to the Securities and Exchange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07" w:lineRule="exact"/>
        <w:rPr>
          <w:rFonts w:ascii="Arial" w:cs="Arial" w:eastAsia="Arial" w:hAnsi="Arial"/>
          <w:sz w:val="17"/>
          <w:szCs w:val="17"/>
          <w:color w:val="auto"/>
        </w:rPr>
      </w:pPr>
    </w:p>
    <w:p>
      <w:pPr>
        <w:ind w:left="1620" w:right="419" w:firstLine="360"/>
        <w:spacing w:after="0" w:line="249" w:lineRule="auto"/>
        <w:tabs>
          <w:tab w:leader="none" w:pos="2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13" w:lineRule="exact"/>
        <w:rPr>
          <w:rFonts w:ascii="Arial" w:cs="Arial" w:eastAsia="Arial" w:hAnsi="Arial"/>
          <w:sz w:val="18"/>
          <w:szCs w:val="18"/>
          <w:color w:val="auto"/>
        </w:rPr>
      </w:pPr>
    </w:p>
    <w:p>
      <w:pPr>
        <w:ind w:left="1620" w:right="739" w:firstLine="360"/>
        <w:spacing w:after="0" w:line="277" w:lineRule="auto"/>
        <w:tabs>
          <w:tab w:leader="none" w:pos="2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89" w:lineRule="exact"/>
        <w:rPr>
          <w:rFonts w:ascii="Arial" w:cs="Arial" w:eastAsia="Arial" w:hAnsi="Arial"/>
          <w:sz w:val="18"/>
          <w:szCs w:val="18"/>
          <w:color w:val="auto"/>
        </w:rPr>
      </w:pPr>
    </w:p>
    <w:p>
      <w:pPr>
        <w:ind w:left="1620" w:right="1139" w:firstLine="360"/>
        <w:spacing w:after="0" w:line="261" w:lineRule="auto"/>
        <w:tabs>
          <w:tab w:leader="none" w:pos="234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03" w:lineRule="exact"/>
        <w:rPr>
          <w:sz w:val="20"/>
          <w:szCs w:val="20"/>
          <w:color w:val="auto"/>
        </w:rPr>
      </w:pPr>
    </w:p>
    <w:p>
      <w:pPr>
        <w:ind w:left="1980" w:right="479" w:firstLine="360"/>
        <w:spacing w:after="0" w:line="248" w:lineRule="auto"/>
        <w:tabs>
          <w:tab w:leader="none" w:pos="2746" w:val="left"/>
        </w:tabs>
        <w:numPr>
          <w:ilvl w:val="1"/>
          <w:numId w:val="5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4" w:lineRule="exact"/>
        <w:rPr>
          <w:rFonts w:ascii="Arial" w:cs="Arial" w:eastAsia="Arial" w:hAnsi="Arial"/>
          <w:sz w:val="18"/>
          <w:szCs w:val="18"/>
          <w:color w:val="auto"/>
        </w:rPr>
      </w:pPr>
    </w:p>
    <w:p>
      <w:pPr>
        <w:ind w:left="1980" w:right="519" w:firstLine="360"/>
        <w:spacing w:after="0" w:line="260" w:lineRule="auto"/>
        <w:tabs>
          <w:tab w:leader="none" w:pos="2736" w:val="left"/>
        </w:tabs>
        <w:numPr>
          <w:ilvl w:val="1"/>
          <w:numId w:val="51"/>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spacing w:after="0" w:line="1" w:lineRule="exact"/>
        <w:rPr>
          <w:rFonts w:ascii="Arial" w:cs="Arial" w:eastAsia="Arial" w:hAnsi="Arial"/>
          <w:sz w:val="17"/>
          <w:szCs w:val="17"/>
          <w:color w:val="auto"/>
        </w:rPr>
      </w:pPr>
    </w:p>
    <w:p>
      <w:pPr>
        <w:ind w:left="1980" w:right="419"/>
        <w:spacing w:after="0" w:line="256" w:lineRule="auto"/>
        <w:rPr>
          <w:rFonts w:ascii="Arial" w:cs="Arial" w:eastAsia="Arial" w:hAnsi="Arial"/>
          <w:sz w:val="17"/>
          <w:szCs w:val="17"/>
          <w:color w:val="auto"/>
        </w:rPr>
      </w:pPr>
      <w:r>
        <w:rPr>
          <w:rFonts w:ascii="Arial" w:cs="Arial" w:eastAsia="Arial" w:hAnsi="Arial"/>
          <w:sz w:val="17"/>
          <w:szCs w:val="17"/>
          <w:color w:val="auto"/>
        </w:rPr>
        <w:t>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8" w:lineRule="exact"/>
        <w:rPr>
          <w:rFonts w:ascii="Arial" w:cs="Arial" w:eastAsia="Arial" w:hAnsi="Arial"/>
          <w:sz w:val="17"/>
          <w:szCs w:val="17"/>
          <w:color w:val="auto"/>
        </w:rPr>
      </w:pPr>
    </w:p>
    <w:p>
      <w:pPr>
        <w:ind w:left="2340" w:hanging="360"/>
        <w:spacing w:after="0"/>
        <w:tabs>
          <w:tab w:leader="none" w:pos="2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1933 to any purchaser in the initial distribution of the securities:</w:t>
      </w:r>
    </w:p>
    <w:p>
      <w:pPr>
        <w:spacing w:after="0" w:line="130" w:lineRule="exact"/>
        <w:rPr>
          <w:sz w:val="20"/>
          <w:szCs w:val="20"/>
          <w:color w:val="auto"/>
        </w:rPr>
      </w:pPr>
    </w:p>
    <w:p>
      <w:pPr>
        <w:ind w:left="2340" w:right="499"/>
        <w:spacing w:after="0" w:line="243"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6" w:lineRule="exact"/>
        <w:rPr>
          <w:sz w:val="20"/>
          <w:szCs w:val="20"/>
          <w:color w:val="auto"/>
        </w:rPr>
      </w:pPr>
    </w:p>
    <w:p>
      <w:pPr>
        <w:ind w:left="3060" w:right="619" w:hanging="360"/>
        <w:spacing w:after="0" w:line="277" w:lineRule="auto"/>
        <w:tabs>
          <w:tab w:leader="none" w:pos="3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3060" w:right="559" w:hanging="360"/>
        <w:spacing w:after="0" w:line="308" w:lineRule="auto"/>
        <w:tabs>
          <w:tab w:leader="none" w:pos="3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60" w:right="439" w:hanging="360"/>
        <w:spacing w:after="0" w:line="263" w:lineRule="auto"/>
        <w:tabs>
          <w:tab w:leader="none" w:pos="30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3060" w:right="639" w:hanging="360"/>
        <w:spacing w:after="0" w:line="277" w:lineRule="auto"/>
        <w:tabs>
          <w:tab w:leader="none" w:pos="3060" w:val="left"/>
        </w:tabs>
        <w:numPr>
          <w:ilvl w:val="2"/>
          <w:numId w:val="5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02" w:lineRule="exact"/>
        <w:rPr>
          <w:rFonts w:ascii="Arial" w:cs="Arial" w:eastAsia="Arial" w:hAnsi="Arial"/>
          <w:sz w:val="18"/>
          <w:szCs w:val="18"/>
          <w:color w:val="auto"/>
        </w:rPr>
      </w:pPr>
    </w:p>
    <w:p>
      <w:pPr>
        <w:ind w:left="1620" w:right="519" w:firstLine="360"/>
        <w:spacing w:after="0" w:line="263" w:lineRule="auto"/>
        <w:tabs>
          <w:tab w:leader="none" w:pos="2343" w:val="left"/>
        </w:tabs>
        <w:numPr>
          <w:ilvl w:val="1"/>
          <w:numId w:val="55"/>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02" w:lineRule="exact"/>
        <w:rPr>
          <w:rFonts w:ascii="Arial" w:cs="Arial" w:eastAsia="Arial" w:hAnsi="Arial"/>
          <w:sz w:val="18"/>
          <w:szCs w:val="18"/>
          <w:color w:val="auto"/>
        </w:rPr>
      </w:pPr>
    </w:p>
    <w:p>
      <w:pPr>
        <w:ind w:left="1260" w:right="479" w:firstLine="360"/>
        <w:spacing w:after="0" w:line="254" w:lineRule="auto"/>
        <w:tabs>
          <w:tab w:leader="none" w:pos="19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 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7" w:lineRule="exact"/>
        <w:rPr>
          <w:rFonts w:ascii="Arial" w:cs="Arial" w:eastAsia="Arial" w:hAnsi="Arial"/>
          <w:sz w:val="18"/>
          <w:szCs w:val="18"/>
          <w:color w:val="auto"/>
        </w:rPr>
      </w:pPr>
    </w:p>
    <w:p>
      <w:pPr>
        <w:ind w:left="1260" w:right="439" w:firstLine="360"/>
        <w:spacing w:after="0" w:line="253" w:lineRule="auto"/>
        <w:tabs>
          <w:tab w:leader="none" w:pos="19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Newark, State of California, on the 8</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of May, 2023.</w:t>
      </w:r>
    </w:p>
    <w:p>
      <w:pPr>
        <w:spacing w:after="0" w:line="113"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Lucid Group, Inc.</w:t>
      </w:r>
    </w:p>
    <w:p>
      <w:pPr>
        <w:spacing w:after="0" w:line="32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Peter Rawlinson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2237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tabs>
          <w:tab w:leader="none" w:pos="6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Peter Rawlinson</w:t>
      </w:r>
    </w:p>
    <w:p>
      <w:pPr>
        <w:spacing w:after="0" w:line="23" w:lineRule="exact"/>
        <w:rPr>
          <w:sz w:val="20"/>
          <w:szCs w:val="20"/>
          <w:color w:val="auto"/>
        </w:rPr>
      </w:pPr>
    </w:p>
    <w:p>
      <w:pPr>
        <w:ind w:left="5940"/>
        <w:spacing w:after="0"/>
        <w:tabs>
          <w:tab w:leader="none" w:pos="66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Chief</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Technology Officer and Director</w:t>
      </w:r>
    </w:p>
    <w:p>
      <w:pPr>
        <w:spacing w:after="0" w:line="143"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Peter Rawlinson, Sherry House and Jonathan Butler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11" w:lineRule="exact"/>
        <w:rPr>
          <w:sz w:val="20"/>
          <w:szCs w:val="20"/>
          <w:color w:val="auto"/>
        </w:rPr>
      </w:pPr>
    </w:p>
    <w:p>
      <w:pPr>
        <w:ind w:left="1260" w:right="53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320" w:type="dxa"/>
            <w:vAlign w:val="bottom"/>
            <w:tcBorders>
              <w:bottom w:val="single" w:sz="8" w:color="auto"/>
            </w:tcBorders>
          </w:tcPr>
          <w:p>
            <w:pPr>
              <w:jc w:val="center"/>
              <w:ind w:right="191"/>
              <w:spacing w:after="0"/>
              <w:rPr>
                <w:sz w:val="20"/>
                <w:szCs w:val="20"/>
                <w:color w:val="auto"/>
              </w:rPr>
            </w:pPr>
            <w:r>
              <w:rPr>
                <w:rFonts w:ascii="Arial" w:cs="Arial" w:eastAsia="Arial" w:hAnsi="Arial"/>
                <w:sz w:val="14"/>
                <w:szCs w:val="14"/>
                <w:b w:val="1"/>
                <w:bCs w:val="1"/>
                <w:color w:val="auto"/>
                <w:w w:val="86"/>
              </w:rPr>
              <w:t>Signature</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368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2"/>
        </w:trPr>
        <w:tc>
          <w:tcPr>
            <w:tcW w:w="280" w:type="dxa"/>
            <w:vAlign w:val="bottom"/>
          </w:tcPr>
          <w:p>
            <w:pPr>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19"/>
                <w:szCs w:val="19"/>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4"/>
              </w:rPr>
              <w:t>/s/ Peter Rawlinson</w:t>
            </w:r>
          </w:p>
        </w:tc>
        <w:tc>
          <w:tcPr>
            <w:tcW w:w="200" w:type="dxa"/>
            <w:vAlign w:val="bottom"/>
          </w:tcPr>
          <w:p>
            <w:pPr>
              <w:spacing w:after="0"/>
              <w:rPr>
                <w:sz w:val="18"/>
                <w:szCs w:val="18"/>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Chief Executive Officer, Chief</w:t>
            </w:r>
          </w:p>
        </w:tc>
        <w:tc>
          <w:tcPr>
            <w:tcW w:w="2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
        </w:trPr>
        <w:tc>
          <w:tcPr>
            <w:tcW w:w="2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7"/>
              </w:rPr>
              <w:t>Technology Officer and Director</w:t>
            </w: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80" w:type="dxa"/>
            <w:vAlign w:val="bottom"/>
          </w:tcPr>
          <w:p>
            <w:pPr>
              <w:spacing w:after="0"/>
              <w:rPr>
                <w:sz w:val="12"/>
                <w:szCs w:val="12"/>
                <w:color w:val="auto"/>
              </w:rPr>
            </w:pPr>
          </w:p>
        </w:tc>
        <w:tc>
          <w:tcPr>
            <w:tcW w:w="2320" w:type="dxa"/>
            <w:vAlign w:val="bottom"/>
            <w:vMerge w:val="restart"/>
          </w:tcPr>
          <w:p>
            <w:pPr>
              <w:jc w:val="center"/>
              <w:ind w:right="191"/>
              <w:spacing w:after="0"/>
              <w:rPr>
                <w:sz w:val="20"/>
                <w:szCs w:val="20"/>
                <w:color w:val="auto"/>
              </w:rPr>
            </w:pPr>
            <w:r>
              <w:rPr>
                <w:rFonts w:ascii="Arial" w:cs="Arial" w:eastAsia="Arial" w:hAnsi="Arial"/>
                <w:sz w:val="18"/>
                <w:szCs w:val="18"/>
                <w:color w:val="auto"/>
                <w:w w:val="94"/>
              </w:rPr>
              <w:t>Peter Rawlinson</w:t>
            </w:r>
          </w:p>
        </w:tc>
        <w:tc>
          <w:tcPr>
            <w:tcW w:w="20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80" w:type="dxa"/>
            <w:vAlign w:val="bottom"/>
          </w:tcPr>
          <w:p>
            <w:pPr>
              <w:spacing w:after="0"/>
              <w:rPr>
                <w:sz w:val="9"/>
                <w:szCs w:val="9"/>
                <w:color w:val="auto"/>
              </w:rPr>
            </w:pPr>
          </w:p>
        </w:tc>
        <w:tc>
          <w:tcPr>
            <w:tcW w:w="23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9"/>
              </w:rPr>
              <w:t>(Principal Executive officer)</w:t>
            </w: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10"/>
                <w:szCs w:val="10"/>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continue"/>
          </w:tcPr>
          <w:p>
            <w:pPr>
              <w:spacing w:after="0"/>
              <w:rPr>
                <w:sz w:val="10"/>
                <w:szCs w:val="10"/>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10"/>
                <w:szCs w:val="10"/>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0" w:type="dxa"/>
            <w:vAlign w:val="bottom"/>
            <w:vMerge w:val="continue"/>
          </w:tcPr>
          <w:p>
            <w:pPr>
              <w:spacing w:after="0"/>
              <w:rPr>
                <w:sz w:val="19"/>
                <w:szCs w:val="19"/>
                <w:color w:val="auto"/>
              </w:rPr>
            </w:pPr>
          </w:p>
        </w:tc>
        <w:tc>
          <w:tcPr>
            <w:tcW w:w="232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3"/>
              </w:rPr>
              <w:t>/s/ Sherry House</w:t>
            </w:r>
          </w:p>
        </w:tc>
        <w:tc>
          <w:tcPr>
            <w:tcW w:w="2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Chief Financial Officer</w:t>
            </w: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9"/>
              </w:rPr>
              <w:t>(Principal Financial Officer)</w:t>
            </w: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vMerge w:val="restart"/>
          </w:tcPr>
          <w:p>
            <w:pPr>
              <w:jc w:val="center"/>
              <w:ind w:right="211"/>
              <w:spacing w:after="0"/>
              <w:rPr>
                <w:sz w:val="20"/>
                <w:szCs w:val="20"/>
                <w:color w:val="auto"/>
              </w:rPr>
            </w:pPr>
            <w:r>
              <w:rPr>
                <w:rFonts w:ascii="Arial" w:cs="Arial" w:eastAsia="Arial" w:hAnsi="Arial"/>
                <w:sz w:val="18"/>
                <w:szCs w:val="18"/>
                <w:color w:val="auto"/>
                <w:w w:val="92"/>
              </w:rPr>
              <w:t>Sherry House</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continue"/>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2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4"/>
              </w:rPr>
              <w:t>/s/ Gagan Dhingra</w:t>
            </w:r>
          </w:p>
        </w:tc>
        <w:tc>
          <w:tcPr>
            <w:tcW w:w="200" w:type="dxa"/>
            <w:vAlign w:val="bottom"/>
          </w:tcPr>
          <w:p>
            <w:pPr>
              <w:spacing w:after="0"/>
              <w:rPr>
                <w:sz w:val="19"/>
                <w:szCs w:val="19"/>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6"/>
              </w:rPr>
              <w:t>Vice President of Accounting</w:t>
            </w:r>
          </w:p>
        </w:tc>
        <w:tc>
          <w:tcPr>
            <w:tcW w:w="2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2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vMerge w:val="restart"/>
          </w:tcPr>
          <w:p>
            <w:pPr>
              <w:jc w:val="center"/>
              <w:ind w:right="211"/>
              <w:spacing w:after="0"/>
              <w:rPr>
                <w:sz w:val="20"/>
                <w:szCs w:val="20"/>
                <w:color w:val="auto"/>
              </w:rPr>
            </w:pPr>
            <w:r>
              <w:rPr>
                <w:rFonts w:ascii="Arial" w:cs="Arial" w:eastAsia="Arial" w:hAnsi="Arial"/>
                <w:sz w:val="18"/>
                <w:szCs w:val="18"/>
                <w:color w:val="auto"/>
                <w:w w:val="93"/>
              </w:rPr>
              <w:t>Gagan Dhingra</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vMerge w:val="continue"/>
          </w:tcPr>
          <w:p>
            <w:pPr>
              <w:spacing w:after="0"/>
              <w:rPr>
                <w:sz w:val="13"/>
                <w:szCs w:val="13"/>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13"/>
                <w:szCs w:val="13"/>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280" w:type="dxa"/>
            <w:vAlign w:val="bottom"/>
            <w:vMerge w:val="continue"/>
          </w:tcPr>
          <w:p>
            <w:pPr>
              <w:spacing w:after="0"/>
              <w:rPr>
                <w:sz w:val="8"/>
                <w:szCs w:val="8"/>
                <w:color w:val="auto"/>
              </w:rPr>
            </w:pPr>
          </w:p>
        </w:tc>
        <w:tc>
          <w:tcPr>
            <w:tcW w:w="232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6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320" w:type="dxa"/>
            <w:vAlign w:val="bottom"/>
          </w:tcPr>
          <w:p>
            <w:pPr>
              <w:jc w:val="center"/>
              <w:ind w:right="191"/>
              <w:spacing w:after="0"/>
              <w:rPr>
                <w:sz w:val="20"/>
                <w:szCs w:val="20"/>
                <w:color w:val="auto"/>
              </w:rPr>
            </w:pPr>
            <w:r>
              <w:rPr>
                <w:rFonts w:ascii="Arial" w:cs="Arial" w:eastAsia="Arial" w:hAnsi="Arial"/>
                <w:sz w:val="18"/>
                <w:szCs w:val="18"/>
                <w:color w:val="auto"/>
                <w:w w:val="98"/>
              </w:rPr>
              <w:t>/s/ Turqi Alnowaiser</w:t>
            </w:r>
          </w:p>
        </w:tc>
        <w:tc>
          <w:tcPr>
            <w:tcW w:w="2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191"/>
              <w:spacing w:after="0"/>
              <w:rPr>
                <w:sz w:val="20"/>
                <w:szCs w:val="20"/>
                <w:color w:val="auto"/>
              </w:rPr>
            </w:pPr>
            <w:r>
              <w:rPr>
                <w:rFonts w:ascii="Arial" w:cs="Arial" w:eastAsia="Arial" w:hAnsi="Arial"/>
                <w:sz w:val="18"/>
                <w:szCs w:val="18"/>
                <w:color w:val="auto"/>
                <w:w w:val="98"/>
              </w:rPr>
              <w:t>Turqi Alnowaiser</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21"/>
                <w:szCs w:val="21"/>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1"/>
                <w:szCs w:val="2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6"/>
              </w:rPr>
              <w:t>/s/ Glenn R. August</w:t>
            </w:r>
          </w:p>
        </w:tc>
        <w:tc>
          <w:tcPr>
            <w:tcW w:w="2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5"/>
              </w:rPr>
              <w:t>Glenn R. August</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21"/>
                <w:szCs w:val="21"/>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1"/>
                <w:szCs w:val="2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9"/>
              </w:rPr>
              <w:t>/s/ Andrew Liveris</w:t>
            </w:r>
          </w:p>
        </w:tc>
        <w:tc>
          <w:tcPr>
            <w:tcW w:w="2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28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80" w:type="dxa"/>
            <w:vAlign w:val="bottom"/>
            <w:vMerge w:val="restart"/>
          </w:tcPr>
          <w:p>
            <w:pPr>
              <w:spacing w:after="0"/>
              <w:rPr>
                <w:sz w:val="20"/>
                <w:szCs w:val="20"/>
                <w:color w:val="auto"/>
              </w:rPr>
            </w:pPr>
            <w:r>
              <w:rPr>
                <w:rFonts w:ascii="Arial" w:cs="Arial" w:eastAsia="Arial" w:hAnsi="Arial"/>
                <w:sz w:val="18"/>
                <w:szCs w:val="18"/>
                <w:color w:val="auto"/>
              </w:rPr>
              <w:t>​</w:t>
            </w: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9"/>
              </w:rPr>
              <w:t>Andrew Liveris</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3680" w:type="dxa"/>
            <w:vAlign w:val="bottom"/>
          </w:tcPr>
          <w:p>
            <w:pPr>
              <w:spacing w:after="0"/>
              <w:rPr>
                <w:sz w:val="21"/>
                <w:szCs w:val="21"/>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1"/>
                <w:szCs w:val="2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320" w:type="dxa"/>
            <w:vAlign w:val="bottom"/>
          </w:tcPr>
          <w:p>
            <w:pPr>
              <w:jc w:val="center"/>
              <w:ind w:right="211"/>
              <w:spacing w:after="0"/>
              <w:rPr>
                <w:sz w:val="20"/>
                <w:szCs w:val="20"/>
                <w:color w:val="auto"/>
              </w:rPr>
            </w:pPr>
            <w:r>
              <w:rPr>
                <w:rFonts w:ascii="Arial" w:cs="Arial" w:eastAsia="Arial" w:hAnsi="Arial"/>
                <w:sz w:val="18"/>
                <w:szCs w:val="18"/>
                <w:color w:val="auto"/>
                <w:w w:val="97"/>
              </w:rPr>
              <w:t>/s/ Sherif Marakby</w:t>
            </w:r>
          </w:p>
        </w:tc>
        <w:tc>
          <w:tcPr>
            <w:tcW w:w="200" w:type="dxa"/>
            <w:vAlign w:val="bottom"/>
          </w:tcPr>
          <w:p>
            <w:pPr>
              <w:spacing w:after="0"/>
              <w:rPr>
                <w:sz w:val="21"/>
                <w:szCs w:val="21"/>
                <w:color w:val="auto"/>
              </w:rPr>
            </w:pPr>
          </w:p>
        </w:tc>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26035</wp:posOffset>
            </wp:positionV>
            <wp:extent cx="16459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6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Sherif Marakby</w:t>
      </w: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24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6"/>
              </w:rPr>
              <w:t>Signature</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460" w:type="dxa"/>
            <w:vAlign w:val="bottom"/>
          </w:tcPr>
          <w:p>
            <w:pPr>
              <w:spacing w:after="0"/>
              <w:rPr>
                <w:sz w:val="19"/>
                <w:szCs w:val="19"/>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460" w:type="dxa"/>
            <w:vAlign w:val="bottom"/>
          </w:tcPr>
          <w:p>
            <w:pPr>
              <w:jc w:val="center"/>
              <w:ind w:right="52"/>
              <w:spacing w:after="0"/>
              <w:rPr>
                <w:sz w:val="20"/>
                <w:szCs w:val="20"/>
                <w:color w:val="auto"/>
              </w:rPr>
            </w:pPr>
            <w:r>
              <w:rPr>
                <w:rFonts w:ascii="Arial" w:cs="Arial" w:eastAsia="Arial" w:hAnsi="Arial"/>
                <w:sz w:val="18"/>
                <w:szCs w:val="18"/>
                <w:color w:val="auto"/>
                <w:w w:val="99"/>
              </w:rPr>
              <w:t>/s/ Nichelle Maynard-Elliott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2460" w:type="dxa"/>
            <w:vAlign w:val="bottom"/>
          </w:tcPr>
          <w:p>
            <w:pPr>
              <w:jc w:val="center"/>
              <w:ind w:right="72"/>
              <w:spacing w:after="0"/>
              <w:rPr>
                <w:sz w:val="20"/>
                <w:szCs w:val="20"/>
                <w:color w:val="auto"/>
              </w:rPr>
            </w:pPr>
            <w:r>
              <w:rPr>
                <w:rFonts w:ascii="Arial" w:cs="Arial" w:eastAsia="Arial" w:hAnsi="Arial"/>
                <w:sz w:val="18"/>
                <w:szCs w:val="18"/>
                <w:color w:val="auto"/>
              </w:rPr>
              <w:t>Nichelle Maynard-Elliott</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4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2460" w:type="dxa"/>
            <w:vAlign w:val="bottom"/>
          </w:tcPr>
          <w:p>
            <w:pPr>
              <w:jc w:val="center"/>
              <w:ind w:right="52"/>
              <w:spacing w:after="0"/>
              <w:rPr>
                <w:sz w:val="20"/>
                <w:szCs w:val="20"/>
                <w:color w:val="auto"/>
              </w:rPr>
            </w:pPr>
            <w:r>
              <w:rPr>
                <w:rFonts w:ascii="Arial" w:cs="Arial" w:eastAsia="Arial" w:hAnsi="Arial"/>
                <w:sz w:val="18"/>
                <w:szCs w:val="18"/>
                <w:color w:val="auto"/>
                <w:w w:val="97"/>
              </w:rPr>
              <w:t>/s/ Chabi Nouri</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2460" w:type="dxa"/>
            <w:vAlign w:val="bottom"/>
          </w:tcPr>
          <w:p>
            <w:pPr>
              <w:jc w:val="center"/>
              <w:ind w:right="72"/>
              <w:spacing w:after="0"/>
              <w:rPr>
                <w:sz w:val="20"/>
                <w:szCs w:val="20"/>
                <w:color w:val="auto"/>
              </w:rPr>
            </w:pPr>
            <w:r>
              <w:rPr>
                <w:rFonts w:ascii="Arial" w:cs="Arial" w:eastAsia="Arial" w:hAnsi="Arial"/>
                <w:sz w:val="18"/>
                <w:szCs w:val="18"/>
                <w:color w:val="auto"/>
                <w:w w:val="98"/>
              </w:rPr>
              <w:t>Chabi Nouri</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14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2460" w:type="dxa"/>
            <w:vAlign w:val="bottom"/>
          </w:tcPr>
          <w:p>
            <w:pPr>
              <w:jc w:val="center"/>
              <w:ind w:right="72"/>
              <w:spacing w:after="0"/>
              <w:rPr>
                <w:sz w:val="20"/>
                <w:szCs w:val="20"/>
                <w:color w:val="auto"/>
              </w:rPr>
            </w:pPr>
            <w:r>
              <w:rPr>
                <w:rFonts w:ascii="Arial" w:cs="Arial" w:eastAsia="Arial" w:hAnsi="Arial"/>
                <w:sz w:val="18"/>
                <w:szCs w:val="18"/>
                <w:color w:val="auto"/>
                <w:w w:val="99"/>
              </w:rPr>
              <w:t>/s/ Ori Winitzer</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2460" w:type="dxa"/>
            <w:vAlign w:val="bottom"/>
          </w:tcPr>
          <w:p>
            <w:pPr>
              <w:jc w:val="center"/>
              <w:ind w:right="72"/>
              <w:spacing w:after="0"/>
              <w:rPr>
                <w:sz w:val="20"/>
                <w:szCs w:val="20"/>
                <w:color w:val="auto"/>
              </w:rPr>
            </w:pPr>
            <w:r>
              <w:rPr>
                <w:rFonts w:ascii="Arial" w:cs="Arial" w:eastAsia="Arial" w:hAnsi="Arial"/>
                <w:sz w:val="18"/>
                <w:szCs w:val="18"/>
                <w:color w:val="auto"/>
                <w:w w:val="99"/>
              </w:rPr>
              <w:t>Ori Winitzer</w:t>
            </w: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140" w:type="dxa"/>
            <w:vAlign w:val="bottom"/>
            <w:vMerge w:val="continue"/>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2460" w:type="dxa"/>
            <w:vAlign w:val="bottom"/>
          </w:tcPr>
          <w:p>
            <w:pPr>
              <w:jc w:val="center"/>
              <w:ind w:right="72"/>
              <w:spacing w:after="0"/>
              <w:rPr>
                <w:sz w:val="20"/>
                <w:szCs w:val="20"/>
                <w:color w:val="auto"/>
              </w:rPr>
            </w:pPr>
            <w:r>
              <w:rPr>
                <w:rFonts w:ascii="Arial" w:cs="Arial" w:eastAsia="Arial" w:hAnsi="Arial"/>
                <w:sz w:val="18"/>
                <w:szCs w:val="18"/>
                <w:color w:val="auto"/>
                <w:w w:val="91"/>
              </w:rPr>
              <w:t>/s/ Janet S. Wong</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40" w:type="dxa"/>
            <w:vAlign w:val="bottom"/>
            <w:tcBorders>
              <w:bottom w:val="single" w:sz="8" w:color="auto"/>
            </w:tcBorders>
          </w:tcPr>
          <w:p>
            <w:pPr>
              <w:spacing w:after="0"/>
              <w:rPr>
                <w:sz w:val="4"/>
                <w:szCs w:val="4"/>
                <w:color w:val="auto"/>
              </w:rPr>
            </w:pPr>
          </w:p>
        </w:tc>
        <w:tc>
          <w:tcPr>
            <w:tcW w:w="24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2460" w:type="dxa"/>
            <w:vAlign w:val="bottom"/>
          </w:tcPr>
          <w:p>
            <w:pPr>
              <w:jc w:val="center"/>
              <w:ind w:right="52"/>
              <w:spacing w:after="0"/>
              <w:rPr>
                <w:sz w:val="20"/>
                <w:szCs w:val="20"/>
                <w:color w:val="auto"/>
              </w:rPr>
            </w:pPr>
            <w:r>
              <w:rPr>
                <w:rFonts w:ascii="Arial" w:cs="Arial" w:eastAsia="Arial" w:hAnsi="Arial"/>
                <w:sz w:val="18"/>
                <w:szCs w:val="18"/>
                <w:color w:val="auto"/>
                <w:w w:val="91"/>
              </w:rPr>
              <w:t>Janet S. Wong</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0"/>
        </w:trPr>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vMerge w:val="restart"/>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6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36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6"/>
        </w:trPr>
        <w:tc>
          <w:tcPr>
            <w:tcW w:w="36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7"/>
        </w:trPr>
        <w:tc>
          <w:tcPr>
            <w:tcW w:w="368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15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80" w:type="dxa"/>
            <w:vAlign w:val="bottom"/>
          </w:tcPr>
          <w:p>
            <w:pPr>
              <w:jc w:val="center"/>
              <w:spacing w:after="0"/>
              <w:rPr>
                <w:sz w:val="20"/>
                <w:szCs w:val="20"/>
                <w:color w:val="auto"/>
              </w:rPr>
            </w:pPr>
            <w:r>
              <w:rPr>
                <w:rFonts w:ascii="Arial" w:cs="Arial" w:eastAsia="Arial" w:hAnsi="Arial"/>
                <w:sz w:val="18"/>
                <w:szCs w:val="18"/>
                <w:color w:val="auto"/>
                <w:w w:val="98"/>
              </w:rPr>
              <w:t>Director</w:t>
            </w:r>
          </w:p>
        </w:tc>
        <w:tc>
          <w:tcPr>
            <w:tcW w:w="22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May 8, 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-2587625</wp:posOffset>
            </wp:positionH>
            <wp:positionV relativeFrom="paragraph">
              <wp:posOffset>250825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4060" w:space="0"/>
            <w:col w:w="5819"/>
          </w:cols>
          <w:pgMar w:left="580" w:top="132"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Exhibits 5.1 and 23.1</w:t>
      </w:r>
    </w:p>
    <w:p>
      <w:pPr>
        <w:spacing w:after="0" w:line="246"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071245"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1071245" cy="222885"/>
                    </a:xfrm>
                    <a:prstGeom prst="rect">
                      <a:avLst/>
                    </a:prstGeom>
                    <a:noFill/>
                  </pic:spPr>
                </pic:pic>
              </a:graphicData>
            </a:graphic>
          </wp:anchor>
        </w:drawing>
      </w:r>
    </w:p>
    <w:p>
      <w:pPr>
        <w:spacing w:after="0" w:line="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davispolk.com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May 8, 2023</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Lucid Group, Inc.</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7373 Gateway Boulevard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Newark, California 94560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Lucid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relating to the registration of securities in connection with the resale by the selling securityholder named in the Registration Statement, or its permitted transferees, of 85,712,679 shares of Class A common stock, par value $0.0001 per share, of the Company (the “</w:t>
      </w:r>
      <w:r>
        <w:rPr>
          <w:rFonts w:ascii="Arial" w:cs="Arial" w:eastAsia="Arial" w:hAnsi="Arial"/>
          <w:sz w:val="16"/>
          <w:szCs w:val="16"/>
          <w:b w:val="1"/>
          <w:bCs w:val="1"/>
          <w:color w:val="auto"/>
        </w:rPr>
        <w:t>Secondary Shares</w:t>
      </w:r>
      <w:r>
        <w:rPr>
          <w:rFonts w:ascii="Arial" w:cs="Arial" w:eastAsia="Arial" w:hAnsi="Arial"/>
          <w:sz w:val="16"/>
          <w:szCs w:val="16"/>
          <w:color w:val="auto"/>
        </w:rPr>
        <w:t>”). The Secondary Shares were issued pursuant to a subscription agreement, dated November 8, 2022, between the Company and Ayar Third Investment Company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w:t>
      </w:r>
    </w:p>
    <w:p>
      <w:pPr>
        <w:spacing w:after="0" w:line="1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 the Secondary Shares have been validly issued, fully paid and non-assessable.</w:t>
      </w:r>
    </w:p>
    <w:p>
      <w:pPr>
        <w:spacing w:after="0" w:line="1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connection with the opinion expressed above, we have assumed that the Subscription Agreement is valid, binding and enforceable agreements of each party thereto (other than as expressly covered above in respect of the Company). We have also assumed that the execution, delivery and performance by each party to the Subscription Agreement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5" w:name="page66"/>
    <w:bookmarkEnd w:id="6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071245" cy="2228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222885"/>
                    </a:xfrm>
                    <a:prstGeom prst="rect">
                      <a:avLst/>
                    </a:prstGeom>
                    <a:noFill/>
                  </pic:spPr>
                </pic:pic>
              </a:graphicData>
            </a:graphic>
          </wp:anchor>
        </w:drawing>
      </w:r>
    </w:p>
    <w:p>
      <w:pPr>
        <w:jc w:val="both"/>
        <w:ind w:right="20"/>
        <w:spacing w:after="0" w:line="263"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255" w:lineRule="exact"/>
        <w:rPr>
          <w:sz w:val="20"/>
          <w:szCs w:val="20"/>
          <w:color w:val="auto"/>
        </w:rPr>
      </w:pPr>
    </w:p>
    <w:p>
      <w:pPr>
        <w:spacing w:after="0"/>
        <w:tabs>
          <w:tab w:leader="none" w:pos="11140" w:val="left"/>
        </w:tabs>
        <w:rPr>
          <w:sz w:val="20"/>
          <w:szCs w:val="20"/>
          <w:color w:val="auto"/>
        </w:rPr>
      </w:pPr>
      <w:r>
        <w:rPr>
          <w:rFonts w:ascii="Arial" w:cs="Arial" w:eastAsia="Arial" w:hAnsi="Arial"/>
          <w:sz w:val="18"/>
          <w:szCs w:val="18"/>
          <w:color w:val="auto"/>
        </w:rPr>
        <w:t>May 8, 2023</w:t>
      </w:r>
      <w:r>
        <w:rPr>
          <w:sz w:val="20"/>
          <w:szCs w:val="20"/>
          <w:color w:val="auto"/>
        </w:rPr>
        <w:tab/>
      </w: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23.2</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have issued our reports dated February 28, 2023, with respect to the consolidated financial statements and internal control over financial reporting of Lucid Group, Inc. included in the Annual Report on Form 10-K for the year ended December 31, 2022, which are incorporated by reference in this Registration Statement. We consent to the incorporation by reference of the aforementioned reports in this Registration Statement and to the use of our name as it appears under the caption “Experts”.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S-3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1: Newly Registered and Carry Forward Securities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840" w:type="dxa"/>
            <w:vAlign w:val="bottom"/>
            <w:tcBorders>
              <w:top w:val="single" w:sz="8" w:color="auto"/>
              <w:left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9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1020" w:type="dxa"/>
            <w:vAlign w:val="bottom"/>
            <w:tcBorders>
              <w:top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1240" w:type="dxa"/>
            <w:vAlign w:val="bottom"/>
            <w:tcBorders>
              <w:top w:val="single" w:sz="8" w:color="auto"/>
              <w:righ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660" w:type="dxa"/>
            <w:vAlign w:val="bottom"/>
            <w:tcBorders>
              <w:top w:val="single" w:sz="8" w:color="auto"/>
              <w:right w:val="single" w:sz="8" w:color="auto"/>
            </w:tcBorders>
          </w:tcPr>
          <w:p>
            <w:pPr>
              <w:spacing w:after="0"/>
              <w:rPr>
                <w:sz w:val="19"/>
                <w:szCs w:val="19"/>
                <w:color w:val="auto"/>
              </w:rPr>
            </w:pPr>
          </w:p>
        </w:tc>
        <w:tc>
          <w:tcPr>
            <w:tcW w:w="700" w:type="dxa"/>
            <w:vAlign w:val="bottom"/>
            <w:tcBorders>
              <w:top w:val="single" w:sz="8" w:color="auto"/>
              <w:right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Filing Fee</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Previously</w:t>
            </w: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Proposed</w:t>
            </w: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Paid</w:t>
            </w: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3"/>
              </w:rPr>
              <w:t>Fee</w:t>
            </w:r>
          </w:p>
        </w:tc>
        <w:tc>
          <w:tcPr>
            <w:tcW w:w="10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Carry</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In</w:t>
            </w:r>
          </w:p>
        </w:tc>
        <w:tc>
          <w:tcPr>
            <w:tcW w:w="0" w:type="dxa"/>
            <w:vAlign w:val="bottom"/>
          </w:tcPr>
          <w:p>
            <w:pPr>
              <w:spacing w:after="0"/>
              <w:rPr>
                <w:sz w:val="1"/>
                <w:szCs w:val="1"/>
                <w:color w:val="auto"/>
              </w:rPr>
            </w:pPr>
          </w:p>
        </w:tc>
      </w:tr>
      <w:tr>
        <w:trPr>
          <w:trHeight w:val="135"/>
        </w:trPr>
        <w:tc>
          <w:tcPr>
            <w:tcW w:w="840" w:type="dxa"/>
            <w:vAlign w:val="bottom"/>
            <w:tcBorders>
              <w:left w:val="single" w:sz="8" w:color="auto"/>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7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4"/>
              </w:rPr>
              <w:t>Maximum</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Maximum</w:t>
            </w:r>
          </w:p>
        </w:tc>
        <w:tc>
          <w:tcPr>
            <w:tcW w:w="100" w:type="dxa"/>
            <w:vAlign w:val="bottom"/>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Amount of</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Carry</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Carry</w:t>
            </w:r>
          </w:p>
        </w:tc>
        <w:tc>
          <w:tcPr>
            <w:tcW w:w="700" w:type="dxa"/>
            <w:vAlign w:val="bottom"/>
            <w:tcBorders>
              <w:right w:val="single" w:sz="8" w:color="auto"/>
            </w:tcBorders>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40" w:type="dxa"/>
            <w:vAlign w:val="bottom"/>
            <w:tcBorders>
              <w:left w:val="single" w:sz="8" w:color="auto"/>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8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2"/>
              </w:rPr>
              <w:t>Calculation</w:t>
            </w:r>
          </w:p>
        </w:tc>
        <w:tc>
          <w:tcPr>
            <w:tcW w:w="102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66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w w:val="99"/>
              </w:rPr>
              <w:t>Forward</w:t>
            </w:r>
          </w:p>
        </w:tc>
        <w:tc>
          <w:tcPr>
            <w:tcW w:w="860" w:type="dxa"/>
            <w:vAlign w:val="bottom"/>
            <w:tcBorders>
              <w:right w:val="single" w:sz="8" w:color="auto"/>
            </w:tcBorders>
            <w:vMerge w:val="restart"/>
          </w:tcPr>
          <w:p>
            <w:pPr>
              <w:jc w:val="center"/>
              <w:spacing w:after="0" w:line="176" w:lineRule="exact"/>
              <w:rPr>
                <w:sz w:val="20"/>
                <w:szCs w:val="20"/>
                <w:color w:val="auto"/>
              </w:rPr>
            </w:pPr>
            <w:r>
              <w:rPr>
                <w:rFonts w:ascii="Arial" w:cs="Arial" w:eastAsia="Arial" w:hAnsi="Arial"/>
                <w:sz w:val="18"/>
                <w:szCs w:val="18"/>
                <w:color w:val="auto"/>
                <w:w w:val="90"/>
              </w:rPr>
              <w:t>Connection</w:t>
            </w: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Amount</w:t>
            </w:r>
          </w:p>
        </w:tc>
        <w:tc>
          <w:tcPr>
            <w:tcW w:w="78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Offering</w:t>
            </w:r>
          </w:p>
        </w:tc>
        <w:tc>
          <w:tcPr>
            <w:tcW w:w="12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Security</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Security</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or Carry</w:t>
            </w:r>
          </w:p>
        </w:tc>
        <w:tc>
          <w:tcPr>
            <w:tcW w:w="1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Aggregate</w:t>
            </w:r>
          </w:p>
        </w:tc>
        <w:tc>
          <w:tcPr>
            <w:tcW w:w="100" w:type="dxa"/>
            <w:vAlign w:val="bottom"/>
          </w:tcPr>
          <w:p>
            <w:pPr>
              <w:spacing w:after="0"/>
              <w:rPr>
                <w:sz w:val="10"/>
                <w:szCs w:val="10"/>
                <w:color w:val="auto"/>
              </w:rPr>
            </w:pPr>
          </w:p>
        </w:tc>
        <w:tc>
          <w:tcPr>
            <w:tcW w:w="780" w:type="dxa"/>
            <w:vAlign w:val="bottom"/>
            <w:tcBorders>
              <w:right w:val="single" w:sz="8" w:color="auto"/>
            </w:tcBorders>
            <w:vMerge w:val="restart"/>
          </w:tcPr>
          <w:p>
            <w:pPr>
              <w:jc w:val="center"/>
              <w:ind w:right="50"/>
              <w:spacing w:after="0"/>
              <w:rPr>
                <w:sz w:val="20"/>
                <w:szCs w:val="20"/>
                <w:color w:val="auto"/>
              </w:rPr>
            </w:pPr>
            <w:r>
              <w:rPr>
                <w:rFonts w:ascii="Arial" w:cs="Arial" w:eastAsia="Arial" w:hAnsi="Arial"/>
                <w:sz w:val="18"/>
                <w:szCs w:val="18"/>
                <w:color w:val="auto"/>
                <w:w w:val="86"/>
              </w:rPr>
              <w:t>Fee Rate</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Registration</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Forward</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Forward</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Initial</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0" w:type="dxa"/>
            <w:vAlign w:val="bottom"/>
          </w:tcPr>
          <w:p>
            <w:pPr>
              <w:spacing w:after="0"/>
              <w:rPr>
                <w:sz w:val="1"/>
                <w:szCs w:val="1"/>
                <w:color w:val="auto"/>
              </w:rPr>
            </w:pPr>
          </w:p>
        </w:tc>
      </w:tr>
      <w:tr>
        <w:trPr>
          <w:trHeight w:val="95"/>
        </w:trPr>
        <w:tc>
          <w:tcPr>
            <w:tcW w:w="840" w:type="dxa"/>
            <w:vAlign w:val="bottom"/>
            <w:tcBorders>
              <w:left w:val="single" w:sz="8" w:color="auto"/>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restart"/>
          </w:tcPr>
          <w:p>
            <w:pPr>
              <w:jc w:val="center"/>
              <w:spacing w:after="0" w:line="217" w:lineRule="exact"/>
              <w:rPr>
                <w:sz w:val="20"/>
                <w:szCs w:val="20"/>
                <w:color w:val="auto"/>
              </w:rPr>
            </w:pPr>
            <w:r>
              <w:rPr>
                <w:rFonts w:ascii="Arial" w:cs="Arial" w:eastAsia="Arial" w:hAnsi="Arial"/>
                <w:sz w:val="16"/>
                <w:szCs w:val="16"/>
                <w:color w:val="auto"/>
                <w:w w:val="96"/>
              </w:rPr>
              <w:t>Registered</w:t>
            </w:r>
            <w:r>
              <w:rPr>
                <w:rFonts w:ascii="Arial" w:cs="Arial" w:eastAsia="Arial" w:hAnsi="Arial"/>
                <w:sz w:val="25"/>
                <w:szCs w:val="25"/>
                <w:color w:val="auto"/>
                <w:w w:val="96"/>
                <w:vertAlign w:val="superscript"/>
              </w:rPr>
              <w:t>(1)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Price</w:t>
            </w:r>
          </w:p>
        </w:tc>
        <w:tc>
          <w:tcPr>
            <w:tcW w:w="1240" w:type="dxa"/>
            <w:vAlign w:val="bottom"/>
            <w:tcBorders>
              <w:right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660" w:type="dxa"/>
            <w:vAlign w:val="bottom"/>
            <w:tcBorders>
              <w:right w:val="single" w:sz="8" w:color="auto"/>
            </w:tcBorders>
            <w:vMerge w:val="continue"/>
          </w:tcPr>
          <w:p>
            <w:pPr>
              <w:spacing w:after="0"/>
              <w:rPr>
                <w:sz w:val="8"/>
                <w:szCs w:val="8"/>
                <w:color w:val="auto"/>
              </w:rPr>
            </w:pPr>
          </w:p>
        </w:tc>
        <w:tc>
          <w:tcPr>
            <w:tcW w:w="700" w:type="dxa"/>
            <w:vAlign w:val="bottom"/>
            <w:tcBorders>
              <w:right w:val="single" w:sz="8" w:color="auto"/>
            </w:tcBorders>
            <w:vMerge w:val="continue"/>
          </w:tcPr>
          <w:p>
            <w:pPr>
              <w:spacing w:after="0"/>
              <w:rPr>
                <w:sz w:val="8"/>
                <w:szCs w:val="8"/>
                <w:color w:val="auto"/>
              </w:rPr>
            </w:pPr>
          </w:p>
        </w:tc>
        <w:tc>
          <w:tcPr>
            <w:tcW w:w="8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840" w:type="dxa"/>
            <w:vAlign w:val="bottom"/>
            <w:tcBorders>
              <w:left w:val="single" w:sz="8" w:color="auto"/>
              <w:right w:val="single" w:sz="8" w:color="auto"/>
            </w:tcBorders>
          </w:tcPr>
          <w:p>
            <w:pPr>
              <w:spacing w:after="0"/>
              <w:rPr>
                <w:sz w:val="10"/>
                <w:szCs w:val="10"/>
                <w:color w:val="auto"/>
              </w:rPr>
            </w:pP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Type</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Class Title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Forward</w:t>
            </w:r>
          </w:p>
        </w:tc>
        <w:tc>
          <w:tcPr>
            <w:tcW w:w="102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Offering</w:t>
            </w:r>
          </w:p>
        </w:tc>
        <w:tc>
          <w:tcPr>
            <w:tcW w:w="100" w:type="dxa"/>
            <w:vAlign w:val="bottom"/>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vMerge w:val="restart"/>
          </w:tcPr>
          <w:p>
            <w:pPr>
              <w:jc w:val="center"/>
              <w:spacing w:after="0" w:line="324" w:lineRule="exact"/>
              <w:rPr>
                <w:sz w:val="20"/>
                <w:szCs w:val="20"/>
                <w:color w:val="auto"/>
              </w:rPr>
            </w:pPr>
            <w:r>
              <w:rPr>
                <w:rFonts w:ascii="Arial" w:cs="Arial" w:eastAsia="Arial" w:hAnsi="Arial"/>
                <w:sz w:val="18"/>
                <w:szCs w:val="18"/>
                <w:color w:val="auto"/>
                <w:w w:val="80"/>
              </w:rPr>
              <w:t>Fee</w:t>
            </w:r>
            <w:r>
              <w:rPr>
                <w:rFonts w:ascii="Arial" w:cs="Arial" w:eastAsia="Arial" w:hAnsi="Arial"/>
                <w:sz w:val="29"/>
                <w:szCs w:val="29"/>
                <w:color w:val="auto"/>
                <w:w w:val="80"/>
                <w:vertAlign w:val="superscript"/>
              </w:rPr>
              <w:t>(4)</w:t>
            </w:r>
          </w:p>
        </w:tc>
        <w:tc>
          <w:tcPr>
            <w:tcW w:w="6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Form</w:t>
            </w:r>
          </w:p>
        </w:tc>
        <w:tc>
          <w:tcPr>
            <w:tcW w:w="66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3"/>
                <w:szCs w:val="13"/>
                <w:color w:val="auto"/>
              </w:rPr>
              <w:t>File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Effective</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Unsold</w:t>
            </w:r>
          </w:p>
        </w:tc>
        <w:tc>
          <w:tcPr>
            <w:tcW w:w="0" w:type="dxa"/>
            <w:vAlign w:val="bottom"/>
          </w:tcPr>
          <w:p>
            <w:pPr>
              <w:spacing w:after="0"/>
              <w:rPr>
                <w:sz w:val="1"/>
                <w:szCs w:val="1"/>
                <w:color w:val="auto"/>
              </w:rPr>
            </w:pPr>
          </w:p>
        </w:tc>
      </w:tr>
      <w:tr>
        <w:trPr>
          <w:trHeight w:val="203"/>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5"/>
              </w:rPr>
              <w:t>Per</w:t>
            </w:r>
          </w:p>
        </w:tc>
        <w:tc>
          <w:tcPr>
            <w:tcW w:w="124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Price</w:t>
            </w: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vMerge w:val="continue"/>
          </w:tcPr>
          <w:p>
            <w:pPr>
              <w:spacing w:after="0"/>
              <w:rPr>
                <w:sz w:val="17"/>
                <w:szCs w:val="17"/>
                <w:color w:val="auto"/>
              </w:rPr>
            </w:pPr>
          </w:p>
        </w:tc>
        <w:tc>
          <w:tcPr>
            <w:tcW w:w="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Type</w:t>
            </w:r>
          </w:p>
        </w:tc>
        <w:tc>
          <w:tcPr>
            <w:tcW w:w="66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Number</w:t>
            </w:r>
          </w:p>
        </w:tc>
        <w:tc>
          <w:tcPr>
            <w:tcW w:w="700" w:type="dxa"/>
            <w:vAlign w:val="bottom"/>
            <w:tcBorders>
              <w:right w:val="single" w:sz="8" w:color="auto"/>
            </w:tcBorders>
            <w:vMerge w:val="continue"/>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840" w:type="dxa"/>
            <w:vAlign w:val="bottom"/>
            <w:tcBorders>
              <w:left w:val="single" w:sz="8" w:color="auto"/>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7"/>
              </w:rPr>
              <w:t>Rule</w:t>
            </w:r>
          </w:p>
        </w:tc>
        <w:tc>
          <w:tcPr>
            <w:tcW w:w="102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vMerge w:val="restart"/>
          </w:tcPr>
          <w:p>
            <w:pPr>
              <w:jc w:val="center"/>
              <w:spacing w:after="0" w:line="324" w:lineRule="exact"/>
              <w:rPr>
                <w:sz w:val="20"/>
                <w:szCs w:val="20"/>
                <w:color w:val="auto"/>
              </w:rPr>
            </w:pPr>
            <w:r>
              <w:rPr>
                <w:rFonts w:ascii="Arial" w:cs="Arial" w:eastAsia="Arial" w:hAnsi="Arial"/>
                <w:sz w:val="18"/>
                <w:szCs w:val="18"/>
                <w:color w:val="auto"/>
                <w:w w:val="89"/>
              </w:rPr>
              <w:t>Unit</w:t>
            </w:r>
            <w:r>
              <w:rPr>
                <w:rFonts w:ascii="Arial" w:cs="Arial" w:eastAsia="Arial" w:hAnsi="Arial"/>
                <w:sz w:val="29"/>
                <w:szCs w:val="29"/>
                <w:color w:val="auto"/>
                <w:w w:val="89"/>
                <w:vertAlign w:val="superscript"/>
              </w:rPr>
              <w:t>(3)</w:t>
            </w:r>
          </w:p>
        </w:tc>
        <w:tc>
          <w:tcPr>
            <w:tcW w:w="12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4"/>
              </w:rPr>
              <w:t>Date</w:t>
            </w:r>
          </w:p>
        </w:tc>
        <w:tc>
          <w:tcPr>
            <w:tcW w:w="8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7"/>
                <w:szCs w:val="17"/>
                <w:color w:val="auto"/>
                <w:w w:val="93"/>
              </w:rPr>
              <w:t>Securities</w:t>
            </w: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to be</w:t>
            </w:r>
          </w:p>
        </w:tc>
        <w:tc>
          <w:tcPr>
            <w:tcW w:w="0" w:type="dxa"/>
            <w:vAlign w:val="bottom"/>
          </w:tcPr>
          <w:p>
            <w:pPr>
              <w:spacing w:after="0"/>
              <w:rPr>
                <w:sz w:val="1"/>
                <w:szCs w:val="1"/>
                <w:color w:val="auto"/>
              </w:rPr>
            </w:pPr>
          </w:p>
        </w:tc>
      </w:tr>
      <w:tr>
        <w:trPr>
          <w:trHeight w:val="40"/>
        </w:trPr>
        <w:tc>
          <w:tcPr>
            <w:tcW w:w="840" w:type="dxa"/>
            <w:vAlign w:val="bottom"/>
            <w:tcBorders>
              <w:left w:val="single" w:sz="8" w:color="auto"/>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Carried</w:t>
            </w: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Forward</w:t>
            </w: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0"/>
              </w:rPr>
              <w:t>Newly Registered Securities</w:t>
            </w: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89"/>
              </w:rPr>
              <w:t>Fees to be</w:t>
            </w: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Class A</w:t>
            </w:r>
          </w:p>
        </w:tc>
        <w:tc>
          <w:tcPr>
            <w:tcW w:w="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Other</w:t>
            </w: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Paid</w:t>
            </w: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stock, par</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value</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85,712,679</w:t>
            </w:r>
            <w:r>
              <w:rPr>
                <w:rFonts w:ascii="Arial" w:cs="Arial" w:eastAsia="Arial" w:hAnsi="Arial"/>
                <w:sz w:val="29"/>
                <w:szCs w:val="29"/>
                <w:color w:val="auto"/>
                <w:w w:val="86"/>
                <w:vertAlign w:val="superscript"/>
              </w:rPr>
              <w:t>(2)</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$7.27</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$623,131,176.33</w:t>
            </w:r>
          </w:p>
        </w:tc>
        <w:tc>
          <w:tcPr>
            <w:tcW w:w="88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86"/>
              </w:rPr>
              <w:t>0.00011020</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$68,669.06</w:t>
            </w: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 w:type="dxa"/>
            <w:vAlign w:val="bottom"/>
            <w:tcBorders>
              <w:left w:val="single" w:sz="8" w:color="auto"/>
              <w:right w:val="single" w:sz="8" w:color="auto"/>
            </w:tcBorders>
          </w:tcPr>
          <w:p>
            <w:pPr>
              <w:spacing w:after="0"/>
              <w:rPr>
                <w:sz w:val="15"/>
                <w:szCs w:val="15"/>
                <w:color w:val="auto"/>
              </w:rPr>
            </w:pPr>
          </w:p>
        </w:tc>
        <w:tc>
          <w:tcPr>
            <w:tcW w:w="92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$0.0001 per</w:t>
            </w:r>
          </w:p>
        </w:tc>
        <w:tc>
          <w:tcPr>
            <w:tcW w:w="8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vMerge w:val="continue"/>
          </w:tcPr>
          <w:p>
            <w:pPr>
              <w:spacing w:after="0"/>
              <w:rPr>
                <w:sz w:val="15"/>
                <w:szCs w:val="15"/>
                <w:color w:val="auto"/>
              </w:rPr>
            </w:pPr>
          </w:p>
        </w:tc>
        <w:tc>
          <w:tcPr>
            <w:tcW w:w="780" w:type="dxa"/>
            <w:vAlign w:val="bottom"/>
            <w:tcBorders>
              <w:right w:val="single" w:sz="8" w:color="auto"/>
            </w:tcBorders>
            <w:vMerge w:val="continue"/>
          </w:tcPr>
          <w:p>
            <w:pPr>
              <w:spacing w:after="0"/>
              <w:rPr>
                <w:sz w:val="15"/>
                <w:szCs w:val="15"/>
                <w:color w:val="auto"/>
              </w:rPr>
            </w:pPr>
          </w:p>
        </w:tc>
        <w:tc>
          <w:tcPr>
            <w:tcW w:w="1240" w:type="dxa"/>
            <w:vAlign w:val="bottom"/>
            <w:tcBorders>
              <w:right w:val="single" w:sz="8" w:color="auto"/>
            </w:tcBorders>
            <w:vMerge w:val="continue"/>
          </w:tcPr>
          <w:p>
            <w:pPr>
              <w:spacing w:after="0"/>
              <w:rPr>
                <w:sz w:val="15"/>
                <w:szCs w:val="15"/>
                <w:color w:val="auto"/>
              </w:rPr>
            </w:pPr>
          </w:p>
        </w:tc>
        <w:tc>
          <w:tcPr>
            <w:tcW w:w="880" w:type="dxa"/>
            <w:vAlign w:val="bottom"/>
            <w:tcBorders>
              <w:right w:val="single" w:sz="8" w:color="auto"/>
            </w:tcBorders>
            <w:gridSpan w:val="2"/>
            <w:vMerge w:val="continue"/>
          </w:tcPr>
          <w:p>
            <w:pPr>
              <w:spacing w:after="0"/>
              <w:rPr>
                <w:sz w:val="15"/>
                <w:szCs w:val="15"/>
                <w:color w:val="auto"/>
              </w:rPr>
            </w:pPr>
          </w:p>
        </w:tc>
        <w:tc>
          <w:tcPr>
            <w:tcW w:w="920" w:type="dxa"/>
            <w:vAlign w:val="bottom"/>
            <w:tcBorders>
              <w:right w:val="single" w:sz="8" w:color="auto"/>
            </w:tcBorders>
            <w:vMerge w:val="continue"/>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8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840" w:type="dxa"/>
            <w:vAlign w:val="bottom"/>
            <w:tcBorders>
              <w:left w:val="single" w:sz="8" w:color="auto"/>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8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share</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(“common</w:t>
            </w: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stock”)</w:t>
            </w: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7"/>
              </w:rPr>
              <w:t>Preferred</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stock</w:t>
            </w: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Equity</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Depositary</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5"/>
              </w:rPr>
              <w:t>shares</w:t>
            </w: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Debt</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Debt</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securities</w:t>
            </w: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Warrants</w:t>
            </w:r>
          </w:p>
        </w:tc>
        <w:tc>
          <w:tcPr>
            <w:tcW w:w="8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Other</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Purchase</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contracts</w:t>
            </w: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Other</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Units</w:t>
            </w:r>
          </w:p>
        </w:tc>
        <w:tc>
          <w:tcPr>
            <w:tcW w:w="860" w:type="dxa"/>
            <w:vAlign w:val="bottom"/>
            <w:tcBorders>
              <w:bottom w:val="single" w:sz="8" w:color="auto"/>
              <w:right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Unallocated</w:t>
            </w:r>
          </w:p>
        </w:tc>
        <w:tc>
          <w:tcPr>
            <w:tcW w:w="9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spacing w:after="0"/>
              <w:rPr>
                <w:sz w:val="18"/>
                <w:szCs w:val="18"/>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(Universal)</w:t>
            </w: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Shelf</w:t>
            </w:r>
          </w:p>
        </w:tc>
        <w:tc>
          <w:tcPr>
            <w:tcW w:w="9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Fees</w:t>
            </w: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1"/>
              </w:rPr>
              <w:t>Previously</w:t>
            </w: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Paid</w:t>
            </w: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6"/>
              </w:rPr>
              <w:t>Carry Forward Securities</w:t>
            </w:r>
          </w:p>
        </w:tc>
        <w:tc>
          <w:tcPr>
            <w:tcW w:w="7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40" w:type="dxa"/>
            <w:vAlign w:val="bottom"/>
            <w:tcBorders>
              <w:left w:val="single" w:sz="8" w:color="auto"/>
              <w:right w:val="single" w:sz="8" w:color="auto"/>
            </w:tcBorders>
          </w:tcPr>
          <w:p>
            <w:pPr>
              <w:ind w:left="40"/>
              <w:spacing w:after="0" w:line="201" w:lineRule="exact"/>
              <w:rPr>
                <w:sz w:val="20"/>
                <w:szCs w:val="20"/>
                <w:color w:val="auto"/>
              </w:rPr>
            </w:pPr>
            <w:r>
              <w:rPr>
                <w:rFonts w:ascii="Arial" w:cs="Arial" w:eastAsia="Arial" w:hAnsi="Arial"/>
                <w:sz w:val="18"/>
                <w:szCs w:val="18"/>
                <w:color w:val="auto"/>
              </w:rPr>
              <w:t>Carry</w:t>
            </w:r>
          </w:p>
        </w:tc>
        <w:tc>
          <w:tcPr>
            <w:tcW w:w="9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Forward</w:t>
            </w:r>
          </w:p>
        </w:tc>
        <w:tc>
          <w:tcPr>
            <w:tcW w:w="92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Securities</w:t>
            </w:r>
          </w:p>
        </w:tc>
        <w:tc>
          <w:tcPr>
            <w:tcW w:w="92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780" w:type="dxa"/>
            <w:vAlign w:val="bottom"/>
            <w:tcBorders>
              <w:bottom w:val="single" w:sz="8" w:color="auto"/>
              <w:right w:val="single" w:sz="8" w:color="auto"/>
            </w:tcBorders>
            <w:gridSpan w:val="3"/>
          </w:tcPr>
          <w:p>
            <w:pPr>
              <w:jc w:val="center"/>
              <w:ind w:right="873"/>
              <w:spacing w:after="0"/>
              <w:rPr>
                <w:sz w:val="20"/>
                <w:szCs w:val="20"/>
                <w:color w:val="auto"/>
              </w:rPr>
            </w:pPr>
            <w:r>
              <w:rPr>
                <w:rFonts w:ascii="Arial" w:cs="Arial" w:eastAsia="Arial" w:hAnsi="Arial"/>
                <w:sz w:val="18"/>
                <w:szCs w:val="18"/>
                <w:color w:val="auto"/>
                <w:w w:val="93"/>
              </w:rPr>
              <w:t>Total Offering Amounts</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$623,131,176.33</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$68,669.06</w:t>
            </w: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89"/>
              </w:rPr>
              <w:t>Total Fees Previously Paid</w:t>
            </w: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840" w:type="dxa"/>
            <w:vAlign w:val="bottom"/>
            <w:tcBorders>
              <w:left w:val="single" w:sz="8" w:color="auto"/>
              <w:bottom w:val="single" w:sz="8" w:color="auto"/>
              <w:right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2"/>
          </w:tcPr>
          <w:p>
            <w:pPr>
              <w:jc w:val="center"/>
              <w:spacing w:after="0" w:line="256" w:lineRule="exact"/>
              <w:rPr>
                <w:sz w:val="20"/>
                <w:szCs w:val="20"/>
                <w:color w:val="auto"/>
              </w:rPr>
            </w:pPr>
            <w:r>
              <w:rPr>
                <w:rFonts w:ascii="Arial" w:cs="Arial" w:eastAsia="Arial" w:hAnsi="Arial"/>
                <w:sz w:val="18"/>
                <w:szCs w:val="18"/>
                <w:color w:val="auto"/>
                <w:w w:val="86"/>
              </w:rPr>
              <w:t>Total Fee Offsets</w:t>
            </w:r>
            <w:r>
              <w:rPr>
                <w:rFonts w:ascii="Arial" w:cs="Arial" w:eastAsia="Arial" w:hAnsi="Arial"/>
                <w:sz w:val="29"/>
                <w:szCs w:val="29"/>
                <w:color w:val="auto"/>
                <w:w w:val="86"/>
                <w:vertAlign w:val="superscript"/>
              </w:rPr>
              <w:t>(5)</w:t>
            </w:r>
          </w:p>
        </w:tc>
        <w:tc>
          <w:tcPr>
            <w:tcW w:w="1020" w:type="dxa"/>
            <w:vAlign w:val="bottom"/>
            <w:tcBorders>
              <w:bottom w:val="single" w:sz="8" w:color="auto"/>
              <w:right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right w:val="single" w:sz="8" w:color="auto"/>
            </w:tcBorders>
          </w:tcPr>
          <w:p>
            <w:pPr>
              <w:spacing w:after="0"/>
              <w:rPr>
                <w:sz w:val="22"/>
                <w:szCs w:val="22"/>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auto"/>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Net Fee Due</w:t>
            </w:r>
          </w:p>
        </w:tc>
        <w:tc>
          <w:tcPr>
            <w:tcW w:w="102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$68,669.06</w:t>
            </w:r>
          </w:p>
        </w:tc>
        <w:tc>
          <w:tcPr>
            <w:tcW w:w="6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0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the event of a stock split, stock dividend or similar transaction involving the registrant’s common stock, the number of shares registered hereby shall automatically be adjusted in accordance with Rule 416 under the Securities Act of 1933, as amended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ind w:left="660" w:right="160" w:hanging="652"/>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an aggregate of 85,712,679 shares of common stock issued to Ayar Third Investment Company (“Ayar”) pursuant to the Subscription Agreement, dated as of November 8, 2022 between the Company and Ayar.</w:t>
      </w:r>
    </w:p>
    <w:p>
      <w:pPr>
        <w:spacing w:after="0" w:line="170" w:lineRule="exact"/>
        <w:rPr>
          <w:rFonts w:ascii="Arial" w:cs="Arial" w:eastAsia="Arial" w:hAnsi="Arial"/>
          <w:sz w:val="18"/>
          <w:szCs w:val="18"/>
          <w:color w:val="auto"/>
        </w:rPr>
      </w:pPr>
    </w:p>
    <w:p>
      <w:pPr>
        <w:ind w:left="660" w:right="420" w:hanging="652"/>
        <w:spacing w:after="0" w:line="263"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under the Securities Act. The Proposed Maximum Offering Price Per Share is based on the average of the high and low prices of the Registrant’s common stock on The Nasdaq Global Select Market on May 2, 2023.</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Rounded to the nearest cent.</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 does not have any fee offsets.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3: Combined Prospectuses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1500" w:type="dxa"/>
            <w:vAlign w:val="bottom"/>
            <w:tcBorders>
              <w:top w:val="single" w:sz="8" w:color="auto"/>
              <w:left w:val="single" w:sz="8" w:color="auto"/>
              <w:right w:val="single" w:sz="8" w:color="auto"/>
            </w:tcBorders>
          </w:tcPr>
          <w:p>
            <w:pPr>
              <w:spacing w:after="0"/>
              <w:rPr>
                <w:sz w:val="23"/>
                <w:szCs w:val="23"/>
                <w:color w:val="auto"/>
              </w:rPr>
            </w:pPr>
          </w:p>
        </w:tc>
        <w:tc>
          <w:tcPr>
            <w:tcW w:w="1800" w:type="dxa"/>
            <w:vAlign w:val="bottom"/>
            <w:tcBorders>
              <w:top w:val="single" w:sz="8" w:color="auto"/>
              <w:right w:val="single" w:sz="8" w:color="auto"/>
            </w:tcBorders>
          </w:tcPr>
          <w:p>
            <w:pPr>
              <w:spacing w:after="0"/>
              <w:rPr>
                <w:sz w:val="23"/>
                <w:szCs w:val="23"/>
                <w:color w:val="auto"/>
              </w:rPr>
            </w:pPr>
          </w:p>
        </w:tc>
        <w:tc>
          <w:tcPr>
            <w:tcW w:w="25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Amount of Securities</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Maximum Aggregate</w:t>
            </w:r>
          </w:p>
        </w:tc>
        <w:tc>
          <w:tcPr>
            <w:tcW w:w="880" w:type="dxa"/>
            <w:vAlign w:val="bottom"/>
            <w:tcBorders>
              <w:top w:val="single" w:sz="8" w:color="auto"/>
              <w:right w:val="single" w:sz="8" w:color="auto"/>
            </w:tcBorders>
          </w:tcPr>
          <w:p>
            <w:pPr>
              <w:spacing w:after="0"/>
              <w:rPr>
                <w:sz w:val="23"/>
                <w:szCs w:val="23"/>
                <w:color w:val="auto"/>
              </w:rPr>
            </w:pP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File</w:t>
            </w:r>
          </w:p>
        </w:tc>
        <w:tc>
          <w:tcPr>
            <w:tcW w:w="1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Initial Effective</w:t>
            </w:r>
          </w:p>
        </w:tc>
        <w:tc>
          <w:tcPr>
            <w:tcW w:w="0" w:type="dxa"/>
            <w:vAlign w:val="bottom"/>
          </w:tcPr>
          <w:p>
            <w:pPr>
              <w:spacing w:after="0"/>
              <w:rPr>
                <w:sz w:val="1"/>
                <w:szCs w:val="1"/>
                <w:color w:val="auto"/>
              </w:rPr>
            </w:pPr>
          </w:p>
        </w:tc>
      </w:tr>
      <w:tr>
        <w:trPr>
          <w:trHeight w:val="89"/>
        </w:trPr>
        <w:tc>
          <w:tcPr>
            <w:tcW w:w="15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Security Type</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Security Class Title</w:t>
            </w:r>
          </w:p>
        </w:tc>
        <w:tc>
          <w:tcPr>
            <w:tcW w:w="2580" w:type="dxa"/>
            <w:vAlign w:val="bottom"/>
            <w:tcBorders>
              <w:right w:val="single" w:sz="8" w:color="auto"/>
            </w:tcBorders>
            <w:vMerge w:val="continue"/>
          </w:tcPr>
          <w:p>
            <w:pPr>
              <w:spacing w:after="0"/>
              <w:rPr>
                <w:sz w:val="7"/>
                <w:szCs w:val="7"/>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Offering Price of Securities</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3"/>
              </w:rPr>
              <w:t>Form Type</w:t>
            </w:r>
          </w:p>
        </w:tc>
        <w:tc>
          <w:tcPr>
            <w:tcW w:w="90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1500" w:type="dxa"/>
            <w:vAlign w:val="bottom"/>
            <w:tcBorders>
              <w:left w:val="single" w:sz="8" w:color="auto"/>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2580" w:type="dxa"/>
            <w:vAlign w:val="bottom"/>
            <w:tcBorders>
              <w:right w:val="single" w:sz="8" w:color="auto"/>
            </w:tcBorders>
          </w:tcPr>
          <w:p>
            <w:pPr>
              <w:jc w:val="center"/>
              <w:spacing w:after="0" w:line="213" w:lineRule="exact"/>
              <w:rPr>
                <w:sz w:val="20"/>
                <w:szCs w:val="20"/>
                <w:color w:val="auto"/>
              </w:rPr>
            </w:pPr>
            <w:r>
              <w:rPr>
                <w:rFonts w:ascii="Arial" w:cs="Arial" w:eastAsia="Arial" w:hAnsi="Arial"/>
                <w:sz w:val="15"/>
                <w:szCs w:val="15"/>
                <w:b w:val="1"/>
                <w:bCs w:val="1"/>
                <w:color w:val="auto"/>
              </w:rPr>
              <w:t>Previously Registered</w:t>
            </w:r>
            <w:r>
              <w:rPr>
                <w:rFonts w:ascii="Arial" w:cs="Arial" w:eastAsia="Arial" w:hAnsi="Arial"/>
                <w:sz w:val="24"/>
                <w:szCs w:val="24"/>
                <w:color w:val="auto"/>
                <w:vertAlign w:val="superscript"/>
              </w:rPr>
              <w:t>(6)</w:t>
            </w:r>
          </w:p>
        </w:tc>
        <w:tc>
          <w:tcPr>
            <w:tcW w:w="2360" w:type="dxa"/>
            <w:vAlign w:val="bottom"/>
            <w:tcBorders>
              <w:right w:val="single" w:sz="8" w:color="auto"/>
            </w:tcBorders>
            <w:vMerge w:val="continue"/>
          </w:tcPr>
          <w:p>
            <w:pPr>
              <w:spacing w:after="0"/>
              <w:rPr>
                <w:sz w:val="18"/>
                <w:szCs w:val="18"/>
                <w:color w:val="auto"/>
              </w:rPr>
            </w:pPr>
          </w:p>
        </w:tc>
        <w:tc>
          <w:tcPr>
            <w:tcW w:w="880" w:type="dxa"/>
            <w:vAlign w:val="bottom"/>
            <w:tcBorders>
              <w:right w:val="single" w:sz="8" w:color="auto"/>
            </w:tcBorders>
            <w:vMerge w:val="continue"/>
          </w:tcPr>
          <w:p>
            <w:pPr>
              <w:spacing w:after="0"/>
              <w:rPr>
                <w:sz w:val="18"/>
                <w:szCs w:val="18"/>
                <w:color w:val="auto"/>
              </w:rPr>
            </w:pP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3"/>
        </w:trPr>
        <w:tc>
          <w:tcPr>
            <w:tcW w:w="1500" w:type="dxa"/>
            <w:vAlign w:val="bottom"/>
            <w:tcBorders>
              <w:left w:val="single" w:sz="8" w:color="auto"/>
              <w:bottom w:val="single" w:sz="8" w:color="auto"/>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87"/>
              </w:rPr>
              <w:t>Previously Registered</w:t>
            </w:r>
          </w:p>
        </w:tc>
        <w:tc>
          <w:tcPr>
            <w:tcW w:w="88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44,350,000</w:t>
            </w:r>
            <w:r>
              <w:rPr>
                <w:rFonts w:ascii="Arial" w:cs="Arial" w:eastAsia="Arial" w:hAnsi="Arial"/>
                <w:sz w:val="29"/>
                <w:szCs w:val="29"/>
                <w:color w:val="auto"/>
                <w:w w:val="86"/>
                <w:vertAlign w:val="superscript"/>
              </w:rPr>
              <w:t>(7)</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$510,025,000.00</w:t>
            </w:r>
            <w:r>
              <w:rPr>
                <w:rFonts w:ascii="Arial" w:cs="Arial" w:eastAsia="Arial" w:hAnsi="Arial"/>
                <w:sz w:val="29"/>
                <w:szCs w:val="29"/>
                <w:color w:val="auto"/>
                <w:w w:val="86"/>
                <w:vertAlign w:val="superscript"/>
              </w:rPr>
              <w:t>(8)</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333-258348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08/24/2021</w:t>
            </w:r>
          </w:p>
        </w:tc>
        <w:tc>
          <w:tcPr>
            <w:tcW w:w="0" w:type="dxa"/>
            <w:vAlign w:val="bottom"/>
          </w:tcPr>
          <w:p>
            <w:pPr>
              <w:spacing w:after="0"/>
              <w:rPr>
                <w:sz w:val="1"/>
                <w:szCs w:val="1"/>
                <w:color w:val="auto"/>
              </w:rPr>
            </w:pPr>
          </w:p>
        </w:tc>
      </w:tr>
      <w:tr>
        <w:trPr>
          <w:trHeight w:val="358"/>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2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1,076,235,267</w:t>
            </w:r>
            <w:r>
              <w:rPr>
                <w:rFonts w:ascii="Arial" w:cs="Arial" w:eastAsia="Arial" w:hAnsi="Arial"/>
                <w:sz w:val="29"/>
                <w:szCs w:val="29"/>
                <w:color w:val="auto"/>
                <w:w w:val="86"/>
                <w:vertAlign w:val="superscript"/>
              </w:rPr>
              <w:t>(9)</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$25,345,340,537.85</w:t>
            </w:r>
            <w:r>
              <w:rPr>
                <w:rFonts w:ascii="Arial" w:cs="Arial" w:eastAsia="Arial" w:hAnsi="Arial"/>
                <w:sz w:val="29"/>
                <w:szCs w:val="29"/>
                <w:color w:val="auto"/>
                <w:w w:val="87"/>
                <w:vertAlign w:val="superscript"/>
              </w:rPr>
              <w:t>(10)</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333-258348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08/24/2021</w:t>
            </w:r>
          </w:p>
        </w:tc>
        <w:tc>
          <w:tcPr>
            <w:tcW w:w="0" w:type="dxa"/>
            <w:vAlign w:val="bottom"/>
          </w:tcPr>
          <w:p>
            <w:pPr>
              <w:spacing w:after="0"/>
              <w:rPr>
                <w:sz w:val="1"/>
                <w:szCs w:val="1"/>
                <w:color w:val="auto"/>
              </w:rPr>
            </w:pPr>
          </w:p>
        </w:tc>
      </w:tr>
      <w:tr>
        <w:trPr>
          <w:trHeight w:val="250"/>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Other</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Warrants to purchase</w:t>
            </w:r>
          </w:p>
        </w:tc>
        <w:tc>
          <w:tcPr>
            <w:tcW w:w="2580" w:type="dxa"/>
            <w:vAlign w:val="bottom"/>
            <w:tcBorders>
              <w:right w:val="single" w:sz="8" w:color="auto"/>
            </w:tcBorders>
          </w:tcPr>
          <w:p>
            <w:pPr>
              <w:jc w:val="center"/>
              <w:spacing w:after="0" w:line="250" w:lineRule="exact"/>
              <w:rPr>
                <w:sz w:val="20"/>
                <w:szCs w:val="20"/>
                <w:color w:val="auto"/>
              </w:rPr>
            </w:pPr>
            <w:r>
              <w:rPr>
                <w:rFonts w:ascii="Arial" w:cs="Arial" w:eastAsia="Arial" w:hAnsi="Arial"/>
                <w:sz w:val="17"/>
                <w:szCs w:val="17"/>
                <w:color w:val="auto"/>
                <w:w w:val="88"/>
              </w:rPr>
              <w:t>7,221,921</w:t>
            </w:r>
            <w:r>
              <w:rPr>
                <w:rFonts w:ascii="Arial" w:cs="Arial" w:eastAsia="Arial" w:hAnsi="Arial"/>
                <w:sz w:val="28"/>
                <w:szCs w:val="28"/>
                <w:color w:val="auto"/>
                <w:w w:val="88"/>
                <w:vertAlign w:val="superscript"/>
              </w:rPr>
              <w:t>(11)</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S-1</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333-258348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08/24/2021</w:t>
            </w:r>
          </w:p>
        </w:tc>
        <w:tc>
          <w:tcPr>
            <w:tcW w:w="0" w:type="dxa"/>
            <w:vAlign w:val="bottom"/>
          </w:tcPr>
          <w:p>
            <w:pPr>
              <w:spacing w:after="0"/>
              <w:rPr>
                <w:sz w:val="1"/>
                <w:szCs w:val="1"/>
                <w:color w:val="auto"/>
              </w:rPr>
            </w:pPr>
          </w:p>
        </w:tc>
      </w:tr>
      <w:tr>
        <w:trPr>
          <w:trHeight w:val="230"/>
        </w:trPr>
        <w:tc>
          <w:tcPr>
            <w:tcW w:w="150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shares of common stock</w:t>
            </w:r>
          </w:p>
        </w:tc>
        <w:tc>
          <w:tcPr>
            <w:tcW w:w="258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Equity</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Common stock</w:t>
            </w:r>
          </w:p>
        </w:tc>
        <w:tc>
          <w:tcPr>
            <w:tcW w:w="2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$7,400,017,750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333-267147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09/02/2022</w:t>
            </w:r>
          </w:p>
        </w:tc>
        <w:tc>
          <w:tcPr>
            <w:tcW w:w="0" w:type="dxa"/>
            <w:vAlign w:val="bottom"/>
          </w:tcPr>
          <w:p>
            <w:pPr>
              <w:spacing w:after="0"/>
              <w:rPr>
                <w:sz w:val="1"/>
                <w:szCs w:val="1"/>
                <w:color w:val="auto"/>
              </w:rPr>
            </w:pPr>
          </w:p>
        </w:tc>
      </w:tr>
      <w:tr>
        <w:trPr>
          <w:trHeight w:val="54"/>
        </w:trPr>
        <w:tc>
          <w:tcPr>
            <w:tcW w:w="1500" w:type="dxa"/>
            <w:vAlign w:val="bottom"/>
            <w:tcBorders>
              <w:left w:val="single" w:sz="8" w:color="auto"/>
              <w:bottom w:val="single" w:sz="8" w:color="auto"/>
              <w:right w:val="single" w:sz="8" w:color="auto"/>
            </w:tcBorders>
          </w:tcPr>
          <w:p>
            <w:pPr>
              <w:spacing w:after="0"/>
              <w:rPr>
                <w:sz w:val="4"/>
                <w:szCs w:val="4"/>
                <w:color w:val="auto"/>
              </w:rPr>
            </w:pPr>
          </w:p>
        </w:tc>
        <w:tc>
          <w:tcPr>
            <w:tcW w:w="1800" w:type="dxa"/>
            <w:vAlign w:val="bottom"/>
            <w:tcBorders>
              <w:bottom w:val="single" w:sz="8" w:color="auto"/>
              <w:right w:val="single" w:sz="8" w:color="auto"/>
            </w:tcBorders>
          </w:tcPr>
          <w:p>
            <w:pPr>
              <w:spacing w:after="0"/>
              <w:rPr>
                <w:sz w:val="4"/>
                <w:szCs w:val="4"/>
                <w:color w:val="auto"/>
              </w:rPr>
            </w:pPr>
          </w:p>
        </w:tc>
        <w:tc>
          <w:tcPr>
            <w:tcW w:w="258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1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20" w:hanging="652"/>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Pursuant to Rule 416 under the Securities Act, the amount of securities previously registered includes such indeterminate number of additional securities that may become issuable as a result of any stock dividend, stock split, recapitalization or other similar transaction.</w:t>
      </w:r>
    </w:p>
    <w:p>
      <w:pPr>
        <w:spacing w:after="0" w:line="146" w:lineRule="exact"/>
        <w:rPr>
          <w:rFonts w:ascii="Arial" w:cs="Arial" w:eastAsia="Arial" w:hAnsi="Arial"/>
          <w:sz w:val="17"/>
          <w:szCs w:val="17"/>
          <w:color w:val="auto"/>
        </w:rPr>
      </w:pPr>
    </w:p>
    <w:p>
      <w:pPr>
        <w:ind w:left="660" w:right="8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Consists of an aggregate of 44,350,000 shares of common stock, consisting of (a) 42,850,000 shares of common stock issuable upon exercise of the Private Placement Warrants (as defined herein) by the holders thereof and (b) 1,500,000 shares of common stock issuable upon exercise of the Working Capital Warrants (as defined herein) by the holders thereof.</w:t>
      </w:r>
    </w:p>
    <w:p>
      <w:pPr>
        <w:spacing w:after="0" w:line="183"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457(g) under the Securities Act based on the exercise price of $11.50 of the Private Placement Warrants and Working Capital Warrants.</w:t>
      </w:r>
    </w:p>
    <w:p>
      <w:pPr>
        <w:spacing w:after="0" w:line="170" w:lineRule="exact"/>
        <w:rPr>
          <w:rFonts w:ascii="Arial" w:cs="Arial" w:eastAsia="Arial" w:hAnsi="Arial"/>
          <w:sz w:val="18"/>
          <w:szCs w:val="18"/>
          <w:color w:val="auto"/>
        </w:rPr>
      </w:pPr>
    </w:p>
    <w:p>
      <w:pPr>
        <w:ind w:left="660" w:right="80" w:hanging="652"/>
        <w:spacing w:after="0" w:line="286"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Consists of 1,076,235,267 shares of common stock registered for resale by the Selling Securityholders (as defined herein), including issued and outstanding shares of common stock, shares of common stock subject to vesting and/or exercise of the assumed Legacy Lucid Awards (as defined herein), and shares of common stock issuable upon exercise of certain Private Placement Warrants.</w:t>
      </w:r>
    </w:p>
    <w:p>
      <w:pPr>
        <w:spacing w:after="0" w:line="165" w:lineRule="exact"/>
        <w:rPr>
          <w:rFonts w:ascii="Arial" w:cs="Arial" w:eastAsia="Arial" w:hAnsi="Arial"/>
          <w:sz w:val="17"/>
          <w:szCs w:val="17"/>
          <w:color w:val="auto"/>
        </w:rPr>
      </w:pPr>
    </w:p>
    <w:p>
      <w:pPr>
        <w:ind w:left="660" w:right="300" w:hanging="652"/>
        <w:spacing w:after="0" w:line="263"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Pursuant to Rule 457(c) under the Securities Act, and solely for the purpose of calculating the registration fee, the proposed maximum offering price is $23.55 per share, which is the average of the high and low prices of shares of common stock on July 23, 2021 on the New York Stock Exchange.</w:t>
      </w:r>
    </w:p>
    <w:p>
      <w:pPr>
        <w:spacing w:after="0" w:line="183"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the resale of 7,221,921 Private Placement Warrants held by certain of the Selling Securityholders.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1)"/>
      <w:numFmt w:val="lowerRoman"/>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1)"/>
      <w:numFmt w:val="lowerLetter"/>
      <w:start w:val="2"/>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lowerRoman"/>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1)"/>
      <w:numFmt w:val="decimal"/>
      <w:start w:val="1"/>
    </w:lvl>
    <w:lvl w:ilvl="1">
      <w:lvlJc w:val="left"/>
      <w:lvlText w:val="(%2)"/>
      <w:numFmt w:val="lowerRoman"/>
      <w:start w:val="1"/>
    </w:lvl>
  </w:abstractNum>
  <w:abstractNum w:abstractNumId="35">
    <w:nsid w:val="38437FDB"/>
    <w:multiLevelType w:val="hybridMultilevel"/>
    <w:lvl w:ilvl="0">
      <w:lvlJc w:val="left"/>
      <w:lvlText w:val="%1"/>
      <w:numFmt w:val="decimal"/>
      <w:start w:val="1"/>
    </w:lvl>
    <w:lvl w:ilvl="1">
      <w:lvlJc w:val="left"/>
      <w:lvlText w:val="(%2)"/>
      <w:numFmt w:val="lowerRoman"/>
      <w:start w:val="2"/>
    </w:lvl>
  </w:abstractNum>
  <w:abstractNum w:abstractNumId="36">
    <w:nsid w:val="7644A45C"/>
    <w:multiLevelType w:val="hybridMultilevel"/>
    <w:lvl w:ilvl="0">
      <w:lvlJc w:val="left"/>
      <w:lvlText w:val="(%1)"/>
      <w:numFmt w:val="decimal"/>
      <w:start w:val="4"/>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1)"/>
      <w:numFmt w:val="decimal"/>
      <w:start w:val="1"/>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8">
    <w:nsid w:val="374A3FE6"/>
    <w:multiLevelType w:val="hybridMultilevel"/>
    <w:lvl w:ilvl="0">
      <w:lvlJc w:val="left"/>
      <w:lvlText w:val="%1"/>
      <w:numFmt w:val="decimal"/>
      <w:start w:val="1"/>
    </w:lvl>
    <w:lvl w:ilvl="1">
      <w:lvlJc w:val="left"/>
      <w:lvlText w:val="(%2)"/>
      <w:numFmt w:val="lowerRoman"/>
      <w:start w:val="3"/>
    </w:lvl>
  </w:abstractNum>
  <w:abstractNum w:abstractNumId="49">
    <w:nsid w:val="4F4EF005"/>
    <w:multiLevelType w:val="hybridMultilevel"/>
    <w:lvl w:ilvl="0">
      <w:lvlJc w:val="left"/>
      <w:lvlText w:val="(%1)"/>
      <w:numFmt w:val="decimal"/>
      <w:start w:val="2"/>
    </w:lvl>
    <w:lvl w:ilvl="1">
      <w:lvlJc w:val="left"/>
      <w:lvlText w:val="%2"/>
      <w:numFmt w:val="lowerRoman"/>
      <w:start w:val="1"/>
    </w:lvl>
  </w:abstractNum>
  <w:abstractNum w:abstractNumId="50">
    <w:nsid w:val="23F9C13C"/>
    <w:multiLevelType w:val="hybridMultilevel"/>
    <w:lvl w:ilvl="0">
      <w:lvlJc w:val="left"/>
      <w:lvlText w:val="%1"/>
      <w:numFmt w:val="decimal"/>
      <w:start w:val="1"/>
    </w:lvl>
    <w:lvl w:ilvl="1">
      <w:lvlJc w:val="left"/>
      <w:lvlText w:val="(%2)"/>
      <w:numFmt w:val="upperLetter"/>
      <w:start w:val="1"/>
    </w:lvl>
  </w:abstractNum>
  <w:abstractNum w:abstractNumId="51">
    <w:nsid w:val="649BB77C"/>
    <w:multiLevelType w:val="hybridMultilevel"/>
    <w:lvl w:ilvl="0">
      <w:lvlJc w:val="left"/>
      <w:lvlText w:val="(%1)"/>
      <w:numFmt w:val="decimal"/>
      <w:start w:val="5"/>
    </w:lvl>
    <w:lvl w:ilvl="1">
      <w:lvlJc w:val="left"/>
      <w:lvlText w:val="%2"/>
      <w:numFmt w:val="upperLetter"/>
      <w:start w:val="1"/>
    </w:lvl>
  </w:abstractNum>
  <w:abstractNum w:abstractNumId="52">
    <w:nsid w:val="275AC794"/>
    <w:multiLevelType w:val="hybridMultilevel"/>
    <w:lvl w:ilvl="0">
      <w:lvlJc w:val="left"/>
      <w:lvlText w:val="(%1)"/>
      <w:numFmt w:val="lowerRoman"/>
      <w:start w:val="1"/>
    </w:lvl>
  </w:abstractNum>
  <w:abstractNum w:abstractNumId="53">
    <w:nsid w:val="3938657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54">
    <w:nsid w:val="1CF10FD8"/>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55">
    <w:nsid w:val="180115B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56">
    <w:nsid w:val="235BA861"/>
    <w:multiLevelType w:val="hybridMultilevel"/>
    <w:lvl w:ilvl="0">
      <w:lvlJc w:val="left"/>
      <w:lvlText w:val="(%1)"/>
      <w:numFmt w:val="decimal"/>
      <w:start w:val="1"/>
    </w:lvl>
  </w:abstractNum>
  <w:abstractNum w:abstractNumId="57">
    <w:nsid w:val="47398C89"/>
    <w:multiLevelType w:val="hybridMultilevel"/>
    <w:lvl w:ilvl="0">
      <w:lvlJc w:val="left"/>
      <w:lvlText w:val="(%1)"/>
      <w:numFmt w:val="decimal"/>
      <w:start w:val="2"/>
    </w:lvl>
  </w:abstractNum>
  <w:abstractNum w:abstractNumId="58">
    <w:nsid w:val="354FE9F9"/>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jpe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8" Type="http://schemas.openxmlformats.org/officeDocument/2006/relationships/image" Target="media/image97.png"/><Relationship Id="rId119" Type="http://schemas.openxmlformats.org/officeDocument/2006/relationships/image" Target="media/image98.png"/><Relationship Id="rId120" Type="http://schemas.openxmlformats.org/officeDocument/2006/relationships/image" Target="media/image99.png"/><Relationship Id="rId121" Type="http://schemas.openxmlformats.org/officeDocument/2006/relationships/image" Target="media/image100.png"/><Relationship Id="rId122" Type="http://schemas.openxmlformats.org/officeDocument/2006/relationships/image" Target="media/image101.png"/><Relationship Id="rId123" Type="http://schemas.openxmlformats.org/officeDocument/2006/relationships/image" Target="media/image102.png"/><Relationship Id="rId124" Type="http://schemas.openxmlformats.org/officeDocument/2006/relationships/image" Target="media/image103.png"/><Relationship Id="rId125" Type="http://schemas.openxmlformats.org/officeDocument/2006/relationships/image" Target="media/image104.png"/><Relationship Id="rId126" Type="http://schemas.openxmlformats.org/officeDocument/2006/relationships/image" Target="media/image105.jpeg"/><Relationship Id="rId127" Type="http://schemas.openxmlformats.org/officeDocument/2006/relationships/image" Target="media/image106.png"/><Relationship Id="rId128" Type="http://schemas.openxmlformats.org/officeDocument/2006/relationships/image" Target="media/image107.jpe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30" Type="http://schemas.openxmlformats.org/officeDocument/2006/relationships/hyperlink" Target="https://www.sec.gov/ix?doc=/Archives/edgar/data/1811210/000162828023005540/lcid-20221231.htm" TargetMode="External"/><Relationship Id="rId31" Type="http://schemas.openxmlformats.org/officeDocument/2006/relationships/hyperlink" Target="http://www.sec.gov/ix?doc=/Archives/edgar/data/0001811210/000162828023016405/lcid-20230331.htm" TargetMode="External"/><Relationship Id="rId32" Type="http://schemas.openxmlformats.org/officeDocument/2006/relationships/hyperlink" Target="https://www.sec.gov/ix?doc=/Archives/edgar/data/1811210/000110465923031532/tm232032d5_def14a.htm" TargetMode="External"/><Relationship Id="rId33" Type="http://schemas.openxmlformats.org/officeDocument/2006/relationships/hyperlink" Target="https://www.sec.gov/ix?doc=/Archives/edgar/data/1811210/000110465923007598/tm234549d1_8k.htm" TargetMode="External"/><Relationship Id="rId34" Type="http://schemas.openxmlformats.org/officeDocument/2006/relationships/hyperlink" Target="https://www.sec.gov/ix?doc=/Archives/edgar/data/1811210/000110465923008803/tm234958d1_8k.htm" TargetMode="External"/><Relationship Id="rId35" Type="http://schemas.openxmlformats.org/officeDocument/2006/relationships/hyperlink" Target="https://www.sec.gov/ix?doc=/Archives/edgar/data/1811210/000110465923054825/tm2314261d1_8k.htm" TargetMode="External"/><Relationship Id="rId36" Type="http://schemas.openxmlformats.org/officeDocument/2006/relationships/hyperlink" Target="https://www.sec.gov/Archives/edgar/data/1811210/000110465921095277/tm2120294d8_8a12b.htm" TargetMode="External"/><Relationship Id="rId111" Type="http://schemas.openxmlformats.org/officeDocument/2006/relationships/hyperlink" Target="https://www.sec.gov/Archives/edgar/data/1811210/000110465921026357/tm217491d2_ex2-1.htm" TargetMode="External"/><Relationship Id="rId112" Type="http://schemas.openxmlformats.org/officeDocument/2006/relationships/hyperlink" Target="https://www.sec.gov/Archives/edgar/data/1811210/000110465923049685/tm2313633d1_ex3-1.htm" TargetMode="External"/><Relationship Id="rId113" Type="http://schemas.openxmlformats.org/officeDocument/2006/relationships/hyperlink" Target="https://www.sec.gov/Archives/edgar/data/1811210/000110465923028423/tm238322d1_ex3-2.htm" TargetMode="External"/><Relationship Id="rId114" Type="http://schemas.openxmlformats.org/officeDocument/2006/relationships/hyperlink" Target="https://www.sec.gov/Archives/edgar/data/1811210/000110465921095842/tm2120294d5_ex4-1.htm" TargetMode="External"/><Relationship Id="rId115" Type="http://schemas.openxmlformats.org/officeDocument/2006/relationships/hyperlink" Target="https://www.sec.gov/Archives/edgar/data/1811210/000110465920090379/tm2026266d1_ex4-1.htm" TargetMode="External"/><Relationship Id="rId116" Type="http://schemas.openxmlformats.org/officeDocument/2006/relationships/hyperlink" Target="https://www.sec.gov/Archives/edgar/data/1811210/000110465921026357/tm217491d2_ex10-1.htm" TargetMode="External"/><Relationship Id="rId117" Type="http://schemas.openxmlformats.org/officeDocument/2006/relationships/hyperlink" Target="https://www.sec.gov/Archives/edgar/data/1811210/000110465922115976/tm2229867d2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2023-05-08T16:05:32Z</dcterms:created>
  <dcterms:modified xsi:type="dcterms:W3CDTF">2023-05-08T16:05:32Z</dcterms:modified>
</cp:coreProperties>
</file>