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-608965</wp:posOffset>
            </wp:positionV>
            <wp:extent cx="57150" cy="622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065" cy="556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56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Rawlinson Peter Dore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LUCID GROUP,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LCID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30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&amp; Chief Technology Officer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NEWARK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07/23/2021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537,919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537,919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07/23/2021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29,859,159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30,397,078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261,756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07/23/2021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261,756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07/23/2021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05/02/2023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261,756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4,395,416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07/23/2021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4,395,416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07/23/2021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04/16/2025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4,395,416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7,931,999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07/23/2021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7,931,999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07/23/2021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04/21/2029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7,931,999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-2582545</wp:posOffset>
            </wp:positionV>
            <wp:extent cx="28575" cy="2588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8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6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 203,449 shares of common stock of Atieva, Inc., d/b/a Lucid Motors ("Lucid") in connection with the merger by and among Churchill Capital Corp IV, Atieva, Inc., d/b/a Lucid Motors and Air Merger Sub, Inc. (the "Merger").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hanging="2"/>
        <w:spacing w:after="0" w:line="291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restricted stock units ("RSUs") received in exchange for 11,293,177 RSUs of Lucid in connection with the Merger. 13,834,748 of the RSUs are subject to a time-vesting requirement and will vest in sixteen equal quarterly installments beginning on December 5, 2021. 16,024,411 of the RSUs are subject to a performance-vesting requirement and will vest in five tranches based on the achievement of market capitalization goals applicable to each tranche over any six-month period subject to continued employment through the applicable vesting date.</w:t>
      </w:r>
    </w:p>
    <w:p>
      <w:pPr>
        <w:spacing w:after="0" w:line="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Lucid stock option was exchanged in the Merger for a stock option to acquire 2.644 shares of common stock of Lucid Group, Inc.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Jonathan Butler,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6985</wp:posOffset>
            </wp:positionV>
            <wp:extent cx="1308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Peter 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23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138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07/27/2021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6985</wp:posOffset>
            </wp:positionV>
            <wp:extent cx="471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2021-07-27T16:47:49Z</dcterms:created>
  <dcterms:modified xsi:type="dcterms:W3CDTF">2021-07-27T16:47:49Z</dcterms:modified>
</cp:coreProperties>
</file>