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297815</wp:posOffset>
            </wp:positionV>
            <wp:extent cx="714121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329565</wp:posOffset>
            </wp:positionV>
            <wp:extent cx="714121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Washington, D.C. 20549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SCHEDULE 14A INFORMATION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Securities Exchange Act of 1934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0" w:hanging="319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0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20" w:hanging="319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2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20" w:hanging="319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0" w:hanging="319"/>
        <w:spacing w:after="0"/>
        <w:tabs>
          <w:tab w:leader="none" w:pos="3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0" w:hanging="319"/>
        <w:spacing w:after="0"/>
        <w:tabs>
          <w:tab w:leader="none" w:pos="3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 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1629410</wp:posOffset>
            </wp:positionH>
            <wp:positionV relativeFrom="paragraph">
              <wp:posOffset>159385</wp:posOffset>
            </wp:positionV>
            <wp:extent cx="3851275" cy="2971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275" cy="297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Lucid Group,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14605</wp:posOffset>
            </wp:positionV>
            <wp:extent cx="714121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142875</wp:posOffset>
            </wp:positionV>
            <wp:extent cx="7141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 if Other Than the Registrant)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0" w:hanging="319"/>
        <w:spacing w:after="0"/>
        <w:tabs>
          <w:tab w:leader="none" w:pos="3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0" w:hanging="319"/>
        <w:spacing w:after="0"/>
        <w:tabs>
          <w:tab w:leader="none" w:pos="3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previously paid with preliminary materials.</w:t>
      </w:r>
    </w:p>
    <w:p>
      <w:pPr>
        <w:spacing w:after="0" w:line="208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20" w:hanging="319"/>
        <w:spacing w:after="0"/>
        <w:tabs>
          <w:tab w:leader="none" w:pos="3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287655</wp:posOffset>
            </wp:positionV>
            <wp:extent cx="71412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4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396240</wp:posOffset>
            </wp:positionH>
            <wp:positionV relativeFrom="page">
              <wp:posOffset>9572625</wp:posOffset>
            </wp:positionV>
            <wp:extent cx="6755765" cy="24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765" cy="2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71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7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2024-04-25T05:23:42Z</dcterms:created>
  <dcterms:modified xsi:type="dcterms:W3CDTF">2024-04-25T05:23:42Z</dcterms:modified>
</cp:coreProperties>
</file>